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7AF" w:rsidRPr="00D26163" w:rsidRDefault="00BB67AF" w:rsidP="00A22BE1">
      <w:pPr>
        <w:jc w:val="center"/>
        <w:rPr>
          <w:rFonts w:ascii="Calibri" w:hAnsi="Calibri" w:cs="Calibri"/>
          <w:b/>
          <w:sz w:val="48"/>
          <w:szCs w:val="48"/>
        </w:rPr>
      </w:pPr>
    </w:p>
    <w:p w:rsidR="00BB67AF" w:rsidRPr="00D26163" w:rsidRDefault="00BB67AF" w:rsidP="00A22BE1">
      <w:pPr>
        <w:jc w:val="center"/>
        <w:rPr>
          <w:rFonts w:ascii="Calibri" w:hAnsi="Calibri" w:cs="Calibri"/>
          <w:b/>
          <w:sz w:val="48"/>
          <w:szCs w:val="48"/>
        </w:rPr>
      </w:pPr>
    </w:p>
    <w:p w:rsidR="00BB67AF" w:rsidRPr="00D26163" w:rsidRDefault="00BB67AF" w:rsidP="00A22BE1">
      <w:pPr>
        <w:jc w:val="center"/>
        <w:rPr>
          <w:rFonts w:ascii="Calibri" w:hAnsi="Calibri" w:cs="Calibri"/>
          <w:b/>
          <w:sz w:val="48"/>
          <w:szCs w:val="48"/>
        </w:rPr>
      </w:pPr>
    </w:p>
    <w:p w:rsidR="00BB67AF" w:rsidRPr="00D26163" w:rsidRDefault="00BB67AF" w:rsidP="00A22BE1">
      <w:pPr>
        <w:jc w:val="center"/>
        <w:rPr>
          <w:rFonts w:ascii="Calibri" w:hAnsi="Calibri" w:cs="Calibri"/>
          <w:b/>
          <w:sz w:val="48"/>
          <w:szCs w:val="48"/>
        </w:rPr>
      </w:pPr>
    </w:p>
    <w:p w:rsidR="00BB67AF" w:rsidRPr="00D26163" w:rsidRDefault="00BB67AF" w:rsidP="00A22BE1">
      <w:pPr>
        <w:pBdr>
          <w:bottom w:val="single" w:sz="4" w:space="1" w:color="auto"/>
        </w:pBdr>
        <w:jc w:val="center"/>
        <w:rPr>
          <w:rFonts w:ascii="Calibri" w:hAnsi="Calibri" w:cs="Calibri"/>
          <w:b/>
          <w:sz w:val="52"/>
          <w:szCs w:val="52"/>
        </w:rPr>
      </w:pPr>
      <w:r w:rsidRPr="00D26163">
        <w:rPr>
          <w:rFonts w:ascii="Calibri" w:hAnsi="Calibri" w:cs="Calibri"/>
          <w:b/>
          <w:sz w:val="52"/>
          <w:szCs w:val="52"/>
        </w:rPr>
        <w:t>201</w:t>
      </w:r>
      <w:r>
        <w:rPr>
          <w:rFonts w:ascii="Calibri" w:hAnsi="Calibri" w:cs="Calibri"/>
          <w:b/>
          <w:sz w:val="52"/>
          <w:szCs w:val="52"/>
        </w:rPr>
        <w:t>5</w:t>
      </w:r>
      <w:r>
        <w:rPr>
          <w:rFonts w:ascii="Calibri" w:hAnsi="Calibri" w:cs="Calibri"/>
          <w:b/>
          <w:sz w:val="52"/>
          <w:szCs w:val="52"/>
        </w:rPr>
        <w:noBreakHyphen/>
      </w:r>
      <w:r w:rsidRPr="00D26163">
        <w:rPr>
          <w:rFonts w:ascii="Calibri" w:hAnsi="Calibri" w:cs="Calibri"/>
          <w:b/>
          <w:sz w:val="52"/>
          <w:szCs w:val="52"/>
        </w:rPr>
        <w:t>1</w:t>
      </w:r>
      <w:r>
        <w:rPr>
          <w:rFonts w:ascii="Calibri" w:hAnsi="Calibri" w:cs="Calibri"/>
          <w:b/>
          <w:sz w:val="52"/>
          <w:szCs w:val="52"/>
        </w:rPr>
        <w:t>6</w:t>
      </w:r>
      <w:r w:rsidRPr="00D26163">
        <w:rPr>
          <w:rFonts w:ascii="Calibri" w:hAnsi="Calibri" w:cs="Calibri"/>
          <w:b/>
          <w:sz w:val="52"/>
          <w:szCs w:val="52"/>
        </w:rPr>
        <w:t xml:space="preserve"> Mid</w:t>
      </w:r>
      <w:r>
        <w:rPr>
          <w:rFonts w:ascii="Calibri" w:hAnsi="Calibri" w:cs="Calibri"/>
          <w:b/>
          <w:sz w:val="52"/>
          <w:szCs w:val="52"/>
        </w:rPr>
        <w:noBreakHyphen/>
      </w:r>
      <w:r w:rsidRPr="00D26163">
        <w:rPr>
          <w:rFonts w:ascii="Calibri" w:hAnsi="Calibri" w:cs="Calibri"/>
          <w:b/>
          <w:sz w:val="52"/>
          <w:szCs w:val="52"/>
        </w:rPr>
        <w:t>Year Financial Report</w:t>
      </w:r>
    </w:p>
    <w:p w:rsidR="00BB67AF" w:rsidRPr="00D26163" w:rsidRDefault="00BB67AF" w:rsidP="00A22BE1">
      <w:pPr>
        <w:jc w:val="center"/>
        <w:rPr>
          <w:rFonts w:ascii="Calibri" w:hAnsi="Calibri" w:cs="Calibri"/>
          <w:b/>
          <w:sz w:val="40"/>
          <w:szCs w:val="40"/>
        </w:rPr>
      </w:pPr>
      <w:r w:rsidRPr="00D26163">
        <w:rPr>
          <w:rFonts w:ascii="Calibri" w:hAnsi="Calibri" w:cs="Calibri"/>
          <w:b/>
          <w:sz w:val="40"/>
          <w:szCs w:val="40"/>
        </w:rPr>
        <w:t>(incorporating Quarterly Financial Report No. 2)</w:t>
      </w:r>
    </w:p>
    <w:p w:rsidR="00BB67AF" w:rsidRPr="00D26163" w:rsidRDefault="00BB67AF" w:rsidP="00A22BE1">
      <w:pPr>
        <w:jc w:val="center"/>
        <w:rPr>
          <w:rFonts w:ascii="Calibri" w:hAnsi="Calibri" w:cs="Calibri"/>
          <w:szCs w:val="24"/>
        </w:rPr>
      </w:pPr>
    </w:p>
    <w:p w:rsidR="00BB67AF" w:rsidRPr="00D26163" w:rsidRDefault="00BB67AF" w:rsidP="00A22BE1">
      <w:pPr>
        <w:jc w:val="center"/>
        <w:rPr>
          <w:rFonts w:ascii="Calibri" w:hAnsi="Calibri" w:cs="Calibri"/>
          <w:szCs w:val="24"/>
        </w:rPr>
      </w:pPr>
    </w:p>
    <w:p w:rsidR="00BB67AF" w:rsidRPr="00D26163" w:rsidRDefault="00BB67AF" w:rsidP="00A22BE1">
      <w:pPr>
        <w:jc w:val="center"/>
        <w:rPr>
          <w:rFonts w:ascii="Calibri" w:hAnsi="Calibri" w:cs="Calibri"/>
          <w:szCs w:val="24"/>
        </w:rPr>
      </w:pPr>
      <w:r w:rsidRPr="00D26163">
        <w:rPr>
          <w:rFonts w:ascii="Calibri" w:hAnsi="Calibri" w:cs="Calibri"/>
          <w:noProof/>
          <w:lang w:eastAsia="en-AU"/>
        </w:rPr>
        <w:drawing>
          <wp:inline distT="0" distB="0" distL="0" distR="0" wp14:anchorId="05F41288" wp14:editId="7F77A8FE">
            <wp:extent cx="940435" cy="1147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rsidR="00BB67AF" w:rsidRPr="00D26163" w:rsidRDefault="00BB67AF" w:rsidP="00A22BE1">
      <w:pPr>
        <w:jc w:val="center"/>
        <w:rPr>
          <w:rFonts w:ascii="Calibri" w:hAnsi="Calibri" w:cs="Calibri"/>
          <w:szCs w:val="24"/>
        </w:rPr>
      </w:pPr>
    </w:p>
    <w:p w:rsidR="00BB67AF" w:rsidRPr="00D26163" w:rsidRDefault="00BB67AF" w:rsidP="00A22BE1">
      <w:pPr>
        <w:jc w:val="center"/>
        <w:rPr>
          <w:rFonts w:ascii="Calibri" w:hAnsi="Calibri" w:cs="Calibri"/>
          <w:szCs w:val="24"/>
        </w:rPr>
      </w:pPr>
    </w:p>
    <w:p w:rsidR="00BB67AF" w:rsidRPr="00D26163" w:rsidRDefault="00BB67AF" w:rsidP="00A22BE1">
      <w:pPr>
        <w:jc w:val="center"/>
        <w:rPr>
          <w:rFonts w:ascii="Calibri" w:hAnsi="Calibri" w:cs="Calibri"/>
          <w:b/>
          <w:sz w:val="36"/>
          <w:szCs w:val="36"/>
        </w:rPr>
      </w:pPr>
      <w:r>
        <w:rPr>
          <w:rFonts w:ascii="Calibri" w:hAnsi="Calibri" w:cs="Calibri"/>
          <w:b/>
          <w:sz w:val="36"/>
          <w:szCs w:val="36"/>
        </w:rPr>
        <w:t>March 2016</w:t>
      </w:r>
    </w:p>
    <w:p w:rsidR="00BB67AF" w:rsidRPr="00D26163" w:rsidRDefault="00BB67AF" w:rsidP="00A22BE1">
      <w:pPr>
        <w:jc w:val="center"/>
        <w:rPr>
          <w:rFonts w:ascii="Calibri" w:hAnsi="Calibri" w:cs="Calibri"/>
          <w:szCs w:val="24"/>
        </w:rPr>
      </w:pPr>
    </w:p>
    <w:p w:rsidR="00BB67AF" w:rsidRPr="00D26163" w:rsidRDefault="00BB67AF" w:rsidP="00A22BE1">
      <w:pPr>
        <w:jc w:val="center"/>
        <w:rPr>
          <w:rFonts w:ascii="Calibri" w:hAnsi="Calibri" w:cs="Calibri"/>
          <w:sz w:val="28"/>
          <w:szCs w:val="28"/>
        </w:rPr>
      </w:pPr>
    </w:p>
    <w:p w:rsidR="00BB67AF" w:rsidRPr="00D26163" w:rsidRDefault="00BB67AF" w:rsidP="00A22BE1">
      <w:pPr>
        <w:jc w:val="center"/>
        <w:rPr>
          <w:rFonts w:ascii="Calibri" w:hAnsi="Calibri" w:cs="Calibri"/>
          <w:sz w:val="28"/>
          <w:szCs w:val="28"/>
        </w:rPr>
      </w:pPr>
    </w:p>
    <w:p w:rsidR="00BB67AF" w:rsidRPr="00D26163" w:rsidRDefault="00BB67AF" w:rsidP="00A22BE1">
      <w:pPr>
        <w:jc w:val="center"/>
        <w:rPr>
          <w:rFonts w:ascii="Calibri" w:hAnsi="Calibri" w:cs="Calibri"/>
          <w:sz w:val="28"/>
          <w:szCs w:val="28"/>
        </w:rPr>
      </w:pPr>
    </w:p>
    <w:p w:rsidR="00BB67AF" w:rsidRPr="00D26163" w:rsidRDefault="00BB67AF" w:rsidP="00A22BE1">
      <w:pPr>
        <w:jc w:val="center"/>
        <w:rPr>
          <w:rFonts w:ascii="Calibri" w:hAnsi="Calibri" w:cs="Calibri"/>
          <w:sz w:val="28"/>
          <w:szCs w:val="28"/>
        </w:rPr>
      </w:pPr>
      <w:r w:rsidRPr="00D26163">
        <w:rPr>
          <w:rFonts w:ascii="Calibri" w:hAnsi="Calibri" w:cs="Calibri"/>
          <w:sz w:val="28"/>
          <w:szCs w:val="28"/>
        </w:rPr>
        <w:t>Presented by</w:t>
      </w:r>
    </w:p>
    <w:p w:rsidR="00BB67AF" w:rsidRPr="00D26163" w:rsidRDefault="00BB67AF" w:rsidP="00A22BE1">
      <w:pPr>
        <w:jc w:val="center"/>
        <w:rPr>
          <w:rFonts w:ascii="Calibri" w:hAnsi="Calibri" w:cs="Calibri"/>
          <w:b/>
          <w:sz w:val="36"/>
          <w:szCs w:val="36"/>
        </w:rPr>
      </w:pPr>
      <w:r w:rsidRPr="00D26163">
        <w:rPr>
          <w:rFonts w:ascii="Calibri" w:hAnsi="Calibri" w:cs="Calibri"/>
          <w:b/>
          <w:sz w:val="36"/>
          <w:szCs w:val="36"/>
        </w:rPr>
        <w:t>Tim Pallas MP</w:t>
      </w:r>
    </w:p>
    <w:p w:rsidR="00BB67AF" w:rsidRPr="00D26163" w:rsidRDefault="00BB67AF" w:rsidP="00A22BE1">
      <w:pPr>
        <w:jc w:val="center"/>
        <w:rPr>
          <w:rFonts w:ascii="Calibri" w:hAnsi="Calibri" w:cs="Calibri"/>
          <w:sz w:val="28"/>
          <w:szCs w:val="28"/>
        </w:rPr>
      </w:pPr>
      <w:r w:rsidRPr="00D26163">
        <w:rPr>
          <w:rFonts w:ascii="Calibri" w:hAnsi="Calibri" w:cs="Calibri"/>
          <w:sz w:val="28"/>
          <w:szCs w:val="28"/>
        </w:rPr>
        <w:t>Treasurer of the State of Victoria</w:t>
      </w:r>
    </w:p>
    <w:p w:rsidR="00BB67AF" w:rsidRPr="00D26163" w:rsidRDefault="00BB67AF" w:rsidP="00A22BE1"/>
    <w:p w:rsidR="00BB67AF" w:rsidRPr="00D26163" w:rsidRDefault="00BB67AF" w:rsidP="00A22BE1">
      <w:pPr>
        <w:jc w:val="center"/>
        <w:rPr>
          <w:rFonts w:ascii="Calibri" w:hAnsi="Calibri"/>
        </w:rPr>
      </w:pPr>
    </w:p>
    <w:p w:rsidR="00BB67AF" w:rsidRPr="00D26163" w:rsidRDefault="00BB67AF" w:rsidP="00A22BE1">
      <w:r w:rsidRPr="00D26163">
        <w:br w:type="page"/>
      </w:r>
    </w:p>
    <w:p w:rsidR="00BB67AF" w:rsidRPr="00D26163" w:rsidRDefault="00BB67AF" w:rsidP="00A22BE1"/>
    <w:p w:rsidR="00BB67AF" w:rsidRPr="00D26163" w:rsidRDefault="00BB67AF" w:rsidP="00A22BE1"/>
    <w:p w:rsidR="00BB67AF" w:rsidRPr="00D26163" w:rsidRDefault="00BB67AF" w:rsidP="00A22BE1"/>
    <w:p w:rsidR="00BB67AF" w:rsidRPr="00D26163" w:rsidRDefault="00BB67AF" w:rsidP="00A22BE1"/>
    <w:p w:rsidR="00BB67AF" w:rsidRPr="00D26163" w:rsidRDefault="00BB67AF" w:rsidP="00A22BE1"/>
    <w:p w:rsidR="00BB67AF" w:rsidRPr="00D26163" w:rsidRDefault="00BB67AF" w:rsidP="00A22BE1"/>
    <w:p w:rsidR="00BB67AF" w:rsidRPr="00D26163" w:rsidRDefault="00BB67AF" w:rsidP="00A22BE1"/>
    <w:p w:rsidR="00BB67AF" w:rsidRPr="00D26163" w:rsidRDefault="00BB67AF" w:rsidP="00A22BE1"/>
    <w:p w:rsidR="00BB67AF" w:rsidRPr="00D26163" w:rsidRDefault="00BB67AF" w:rsidP="00A22BE1"/>
    <w:p w:rsidR="00BB67AF" w:rsidRPr="00D26163" w:rsidRDefault="00BB67AF" w:rsidP="00A22BE1"/>
    <w:p w:rsidR="00BB67AF" w:rsidRPr="00D26163" w:rsidRDefault="00BB67AF" w:rsidP="00A22BE1"/>
    <w:p w:rsidR="00BB67AF" w:rsidRPr="00D26163" w:rsidRDefault="00BB67AF" w:rsidP="00A22BE1"/>
    <w:p w:rsidR="00BB67AF" w:rsidRPr="00D26163" w:rsidRDefault="00BB67AF" w:rsidP="00A22BE1"/>
    <w:p w:rsidR="00BB67AF" w:rsidRPr="00D26163" w:rsidRDefault="00BB67AF" w:rsidP="00A22BE1"/>
    <w:p w:rsidR="00BB67AF" w:rsidRPr="00D26163" w:rsidRDefault="00BB67AF" w:rsidP="00A22BE1"/>
    <w:p w:rsidR="00BB67AF" w:rsidRPr="00D26163" w:rsidRDefault="00BB67AF" w:rsidP="00A22BE1"/>
    <w:p w:rsidR="00BB67AF" w:rsidRPr="00D26163" w:rsidRDefault="00387CE8" w:rsidP="00A22BE1">
      <w:r w:rsidRPr="00387CE8">
        <w:drawing>
          <wp:inline distT="0" distB="0" distL="0" distR="0">
            <wp:extent cx="3028950" cy="518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8950" cy="5181600"/>
                    </a:xfrm>
                    <a:prstGeom prst="rect">
                      <a:avLst/>
                    </a:prstGeom>
                    <a:noFill/>
                    <a:ln>
                      <a:noFill/>
                    </a:ln>
                  </pic:spPr>
                </pic:pic>
              </a:graphicData>
            </a:graphic>
          </wp:inline>
        </w:drawing>
      </w:r>
    </w:p>
    <w:p w:rsidR="00BB67AF" w:rsidRPr="00D26163" w:rsidRDefault="00BB67AF" w:rsidP="00A22BE1">
      <w:pPr>
        <w:sectPr w:rsidR="00BB67AF" w:rsidRPr="00D26163" w:rsidSect="00FA2033">
          <w:headerReference w:type="even" r:id="rId11"/>
          <w:headerReference w:type="default" r:id="rId12"/>
          <w:footerReference w:type="even" r:id="rId13"/>
          <w:footerReference w:type="default" r:id="rId14"/>
          <w:headerReference w:type="first" r:id="rId15"/>
          <w:footerReference w:type="first" r:id="rId16"/>
          <w:type w:val="oddPage"/>
          <w:pgSz w:w="11906" w:h="16838" w:code="9"/>
          <w:pgMar w:top="1152" w:right="1152" w:bottom="1152" w:left="1152" w:header="720" w:footer="720" w:gutter="0"/>
          <w:cols w:space="708"/>
          <w:docGrid w:linePitch="360"/>
        </w:sectPr>
      </w:pPr>
      <w:bookmarkStart w:id="0" w:name="_GoBack"/>
      <w:bookmarkEnd w:id="0"/>
    </w:p>
    <w:p w:rsidR="00BB67AF" w:rsidRPr="00D26163" w:rsidRDefault="00BB67AF" w:rsidP="00A22BE1">
      <w:pPr>
        <w:pStyle w:val="TableofContentsheading"/>
      </w:pPr>
      <w:r w:rsidRPr="00D26163">
        <w:lastRenderedPageBreak/>
        <w:t>TABLE OF CONTENTS</w:t>
      </w:r>
    </w:p>
    <w:p w:rsidR="00842014" w:rsidRDefault="00BB67AF">
      <w:pPr>
        <w:pStyle w:val="TOC1"/>
        <w:rPr>
          <w:rFonts w:asciiTheme="minorHAnsi" w:eastAsiaTheme="minorEastAsia" w:hAnsiTheme="minorHAnsi" w:cstheme="minorBidi"/>
          <w:b w:val="0"/>
          <w:noProof/>
          <w:sz w:val="22"/>
          <w:szCs w:val="22"/>
          <w:lang w:eastAsia="en-AU"/>
        </w:rPr>
      </w:pPr>
      <w:r w:rsidRPr="00D26163">
        <w:rPr>
          <w:noProof/>
        </w:rPr>
        <w:fldChar w:fldCharType="begin"/>
      </w:r>
      <w:r w:rsidRPr="00D26163">
        <w:instrText xml:space="preserve"> TOC \h \z \t "Heading 1,2,Chapter Heading,1" </w:instrText>
      </w:r>
      <w:r w:rsidRPr="00D26163">
        <w:rPr>
          <w:noProof/>
        </w:rPr>
        <w:fldChar w:fldCharType="separate"/>
      </w:r>
      <w:hyperlink w:anchor="_Toc445283142" w:history="1">
        <w:r w:rsidR="00842014" w:rsidRPr="006451C9">
          <w:rPr>
            <w:rStyle w:val="Hyperlink"/>
            <w:noProof/>
          </w:rPr>
          <w:t>Chapter 1 – Mid-year results for the State of Victoria, including the general government sector</w:t>
        </w:r>
        <w:r w:rsidR="00842014">
          <w:rPr>
            <w:noProof/>
            <w:webHidden/>
          </w:rPr>
          <w:tab/>
        </w:r>
        <w:r w:rsidR="00842014">
          <w:rPr>
            <w:noProof/>
            <w:webHidden/>
          </w:rPr>
          <w:fldChar w:fldCharType="begin"/>
        </w:r>
        <w:r w:rsidR="00842014">
          <w:rPr>
            <w:noProof/>
            <w:webHidden/>
          </w:rPr>
          <w:instrText xml:space="preserve"> PAGEREF _Toc445283142 \h </w:instrText>
        </w:r>
        <w:r w:rsidR="00842014">
          <w:rPr>
            <w:noProof/>
            <w:webHidden/>
          </w:rPr>
        </w:r>
        <w:r w:rsidR="00842014">
          <w:rPr>
            <w:noProof/>
            <w:webHidden/>
          </w:rPr>
          <w:fldChar w:fldCharType="separate"/>
        </w:r>
        <w:r w:rsidR="00842014">
          <w:rPr>
            <w:noProof/>
            <w:webHidden/>
          </w:rPr>
          <w:t>1</w:t>
        </w:r>
        <w:r w:rsidR="00842014">
          <w:rPr>
            <w:noProof/>
            <w:webHidden/>
          </w:rPr>
          <w:fldChar w:fldCharType="end"/>
        </w:r>
      </w:hyperlink>
    </w:p>
    <w:p w:rsidR="00842014" w:rsidRDefault="00387CE8">
      <w:pPr>
        <w:pStyle w:val="TOC2"/>
        <w:rPr>
          <w:rFonts w:asciiTheme="minorHAnsi" w:eastAsiaTheme="minorEastAsia" w:hAnsiTheme="minorHAnsi" w:cstheme="minorBidi"/>
          <w:noProof/>
          <w:szCs w:val="22"/>
          <w:lang w:eastAsia="en-AU"/>
        </w:rPr>
      </w:pPr>
      <w:hyperlink w:anchor="_Toc445283143" w:history="1">
        <w:r w:rsidR="00842014" w:rsidRPr="006451C9">
          <w:rPr>
            <w:rStyle w:val="Hyperlink"/>
            <w:noProof/>
          </w:rPr>
          <w:t>State of Victoria – overview</w:t>
        </w:r>
        <w:r w:rsidR="00842014">
          <w:rPr>
            <w:noProof/>
            <w:webHidden/>
          </w:rPr>
          <w:tab/>
        </w:r>
        <w:r w:rsidR="00842014">
          <w:rPr>
            <w:noProof/>
            <w:webHidden/>
          </w:rPr>
          <w:fldChar w:fldCharType="begin"/>
        </w:r>
        <w:r w:rsidR="00842014">
          <w:rPr>
            <w:noProof/>
            <w:webHidden/>
          </w:rPr>
          <w:instrText xml:space="preserve"> PAGEREF _Toc445283143 \h </w:instrText>
        </w:r>
        <w:r w:rsidR="00842014">
          <w:rPr>
            <w:noProof/>
            <w:webHidden/>
          </w:rPr>
        </w:r>
        <w:r w:rsidR="00842014">
          <w:rPr>
            <w:noProof/>
            <w:webHidden/>
          </w:rPr>
          <w:fldChar w:fldCharType="separate"/>
        </w:r>
        <w:r w:rsidR="00842014">
          <w:rPr>
            <w:noProof/>
            <w:webHidden/>
          </w:rPr>
          <w:t>2</w:t>
        </w:r>
        <w:r w:rsidR="00842014">
          <w:rPr>
            <w:noProof/>
            <w:webHidden/>
          </w:rPr>
          <w:fldChar w:fldCharType="end"/>
        </w:r>
      </w:hyperlink>
    </w:p>
    <w:p w:rsidR="00842014" w:rsidRDefault="00387CE8">
      <w:pPr>
        <w:pStyle w:val="TOC2"/>
        <w:rPr>
          <w:rFonts w:asciiTheme="minorHAnsi" w:eastAsiaTheme="minorEastAsia" w:hAnsiTheme="minorHAnsi" w:cstheme="minorBidi"/>
          <w:noProof/>
          <w:szCs w:val="22"/>
          <w:lang w:eastAsia="en-AU"/>
        </w:rPr>
      </w:pPr>
      <w:hyperlink w:anchor="_Toc445283144" w:history="1">
        <w:r w:rsidR="00842014" w:rsidRPr="006451C9">
          <w:rPr>
            <w:rStyle w:val="Hyperlink"/>
            <w:noProof/>
          </w:rPr>
          <w:t>Financial performance</w:t>
        </w:r>
        <w:r w:rsidR="00842014">
          <w:rPr>
            <w:noProof/>
            <w:webHidden/>
          </w:rPr>
          <w:tab/>
        </w:r>
        <w:r w:rsidR="00842014">
          <w:rPr>
            <w:noProof/>
            <w:webHidden/>
          </w:rPr>
          <w:fldChar w:fldCharType="begin"/>
        </w:r>
        <w:r w:rsidR="00842014">
          <w:rPr>
            <w:noProof/>
            <w:webHidden/>
          </w:rPr>
          <w:instrText xml:space="preserve"> PAGEREF _Toc445283144 \h </w:instrText>
        </w:r>
        <w:r w:rsidR="00842014">
          <w:rPr>
            <w:noProof/>
            <w:webHidden/>
          </w:rPr>
        </w:r>
        <w:r w:rsidR="00842014">
          <w:rPr>
            <w:noProof/>
            <w:webHidden/>
          </w:rPr>
          <w:fldChar w:fldCharType="separate"/>
        </w:r>
        <w:r w:rsidR="00842014">
          <w:rPr>
            <w:noProof/>
            <w:webHidden/>
          </w:rPr>
          <w:t>3</w:t>
        </w:r>
        <w:r w:rsidR="00842014">
          <w:rPr>
            <w:noProof/>
            <w:webHidden/>
          </w:rPr>
          <w:fldChar w:fldCharType="end"/>
        </w:r>
      </w:hyperlink>
    </w:p>
    <w:p w:rsidR="00842014" w:rsidRDefault="00387CE8">
      <w:pPr>
        <w:pStyle w:val="TOC2"/>
        <w:rPr>
          <w:rFonts w:asciiTheme="minorHAnsi" w:eastAsiaTheme="minorEastAsia" w:hAnsiTheme="minorHAnsi" w:cstheme="minorBidi"/>
          <w:noProof/>
          <w:szCs w:val="22"/>
          <w:lang w:eastAsia="en-AU"/>
        </w:rPr>
      </w:pPr>
      <w:hyperlink w:anchor="_Toc445283145" w:history="1">
        <w:r w:rsidR="00842014" w:rsidRPr="006451C9">
          <w:rPr>
            <w:rStyle w:val="Hyperlink"/>
            <w:noProof/>
          </w:rPr>
          <w:t>Financial Position</w:t>
        </w:r>
        <w:r w:rsidR="00842014">
          <w:rPr>
            <w:noProof/>
            <w:webHidden/>
          </w:rPr>
          <w:tab/>
        </w:r>
        <w:r w:rsidR="00842014">
          <w:rPr>
            <w:noProof/>
            <w:webHidden/>
          </w:rPr>
          <w:fldChar w:fldCharType="begin"/>
        </w:r>
        <w:r w:rsidR="00842014">
          <w:rPr>
            <w:noProof/>
            <w:webHidden/>
          </w:rPr>
          <w:instrText xml:space="preserve"> PAGEREF _Toc445283145 \h </w:instrText>
        </w:r>
        <w:r w:rsidR="00842014">
          <w:rPr>
            <w:noProof/>
            <w:webHidden/>
          </w:rPr>
        </w:r>
        <w:r w:rsidR="00842014">
          <w:rPr>
            <w:noProof/>
            <w:webHidden/>
          </w:rPr>
          <w:fldChar w:fldCharType="separate"/>
        </w:r>
        <w:r w:rsidR="00842014">
          <w:rPr>
            <w:noProof/>
            <w:webHidden/>
          </w:rPr>
          <w:t>6</w:t>
        </w:r>
        <w:r w:rsidR="00842014">
          <w:rPr>
            <w:noProof/>
            <w:webHidden/>
          </w:rPr>
          <w:fldChar w:fldCharType="end"/>
        </w:r>
      </w:hyperlink>
    </w:p>
    <w:p w:rsidR="00842014" w:rsidRDefault="00387CE8">
      <w:pPr>
        <w:pStyle w:val="TOC2"/>
        <w:rPr>
          <w:rFonts w:asciiTheme="minorHAnsi" w:eastAsiaTheme="minorEastAsia" w:hAnsiTheme="minorHAnsi" w:cstheme="minorBidi"/>
          <w:noProof/>
          <w:szCs w:val="22"/>
          <w:lang w:eastAsia="en-AU"/>
        </w:rPr>
      </w:pPr>
      <w:hyperlink w:anchor="_Toc445283146" w:history="1">
        <w:r w:rsidR="00842014" w:rsidRPr="006451C9">
          <w:rPr>
            <w:rStyle w:val="Hyperlink"/>
            <w:noProof/>
          </w:rPr>
          <w:t>Cash flow</w:t>
        </w:r>
        <w:r w:rsidR="00842014">
          <w:rPr>
            <w:noProof/>
            <w:webHidden/>
          </w:rPr>
          <w:tab/>
        </w:r>
        <w:r w:rsidR="00842014">
          <w:rPr>
            <w:noProof/>
            <w:webHidden/>
          </w:rPr>
          <w:fldChar w:fldCharType="begin"/>
        </w:r>
        <w:r w:rsidR="00842014">
          <w:rPr>
            <w:noProof/>
            <w:webHidden/>
          </w:rPr>
          <w:instrText xml:space="preserve"> PAGEREF _Toc445283146 \h </w:instrText>
        </w:r>
        <w:r w:rsidR="00842014">
          <w:rPr>
            <w:noProof/>
            <w:webHidden/>
          </w:rPr>
        </w:r>
        <w:r w:rsidR="00842014">
          <w:rPr>
            <w:noProof/>
            <w:webHidden/>
          </w:rPr>
          <w:fldChar w:fldCharType="separate"/>
        </w:r>
        <w:r w:rsidR="00842014">
          <w:rPr>
            <w:noProof/>
            <w:webHidden/>
          </w:rPr>
          <w:t>7</w:t>
        </w:r>
        <w:r w:rsidR="00842014">
          <w:rPr>
            <w:noProof/>
            <w:webHidden/>
          </w:rPr>
          <w:fldChar w:fldCharType="end"/>
        </w:r>
      </w:hyperlink>
    </w:p>
    <w:p w:rsidR="00842014" w:rsidRDefault="00387CE8">
      <w:pPr>
        <w:pStyle w:val="TOC2"/>
        <w:rPr>
          <w:rFonts w:asciiTheme="minorHAnsi" w:eastAsiaTheme="minorEastAsia" w:hAnsiTheme="minorHAnsi" w:cstheme="minorBidi"/>
          <w:noProof/>
          <w:szCs w:val="22"/>
          <w:lang w:eastAsia="en-AU"/>
        </w:rPr>
      </w:pPr>
      <w:hyperlink w:anchor="_Toc445283147" w:history="1">
        <w:r w:rsidR="00842014" w:rsidRPr="006451C9">
          <w:rPr>
            <w:rStyle w:val="Hyperlink"/>
            <w:noProof/>
          </w:rPr>
          <w:t>Financial sustainability</w:t>
        </w:r>
        <w:r w:rsidR="00842014">
          <w:rPr>
            <w:noProof/>
            <w:webHidden/>
          </w:rPr>
          <w:tab/>
        </w:r>
        <w:r w:rsidR="00842014">
          <w:rPr>
            <w:noProof/>
            <w:webHidden/>
          </w:rPr>
          <w:fldChar w:fldCharType="begin"/>
        </w:r>
        <w:r w:rsidR="00842014">
          <w:rPr>
            <w:noProof/>
            <w:webHidden/>
          </w:rPr>
          <w:instrText xml:space="preserve"> PAGEREF _Toc445283147 \h </w:instrText>
        </w:r>
        <w:r w:rsidR="00842014">
          <w:rPr>
            <w:noProof/>
            <w:webHidden/>
          </w:rPr>
        </w:r>
        <w:r w:rsidR="00842014">
          <w:rPr>
            <w:noProof/>
            <w:webHidden/>
          </w:rPr>
          <w:fldChar w:fldCharType="separate"/>
        </w:r>
        <w:r w:rsidR="00842014">
          <w:rPr>
            <w:noProof/>
            <w:webHidden/>
          </w:rPr>
          <w:t>8</w:t>
        </w:r>
        <w:r w:rsidR="00842014">
          <w:rPr>
            <w:noProof/>
            <w:webHidden/>
          </w:rPr>
          <w:fldChar w:fldCharType="end"/>
        </w:r>
      </w:hyperlink>
    </w:p>
    <w:p w:rsidR="00842014" w:rsidRDefault="00387CE8">
      <w:pPr>
        <w:pStyle w:val="TOC1"/>
        <w:rPr>
          <w:rFonts w:asciiTheme="minorHAnsi" w:eastAsiaTheme="minorEastAsia" w:hAnsiTheme="minorHAnsi" w:cstheme="minorBidi"/>
          <w:b w:val="0"/>
          <w:noProof/>
          <w:sz w:val="22"/>
          <w:szCs w:val="22"/>
          <w:lang w:eastAsia="en-AU"/>
        </w:rPr>
      </w:pPr>
      <w:hyperlink w:anchor="_Toc445283148" w:history="1">
        <w:r w:rsidR="00842014" w:rsidRPr="006451C9">
          <w:rPr>
            <w:rStyle w:val="Hyperlink"/>
            <w:noProof/>
          </w:rPr>
          <w:t>Chapter 2 – Mid-year financial report</w:t>
        </w:r>
        <w:r w:rsidR="00842014">
          <w:rPr>
            <w:noProof/>
            <w:webHidden/>
          </w:rPr>
          <w:tab/>
        </w:r>
        <w:r w:rsidR="00842014">
          <w:rPr>
            <w:noProof/>
            <w:webHidden/>
          </w:rPr>
          <w:fldChar w:fldCharType="begin"/>
        </w:r>
        <w:r w:rsidR="00842014">
          <w:rPr>
            <w:noProof/>
            <w:webHidden/>
          </w:rPr>
          <w:instrText xml:space="preserve"> PAGEREF _Toc445283148 \h </w:instrText>
        </w:r>
        <w:r w:rsidR="00842014">
          <w:rPr>
            <w:noProof/>
            <w:webHidden/>
          </w:rPr>
        </w:r>
        <w:r w:rsidR="00842014">
          <w:rPr>
            <w:noProof/>
            <w:webHidden/>
          </w:rPr>
          <w:fldChar w:fldCharType="separate"/>
        </w:r>
        <w:r w:rsidR="00842014">
          <w:rPr>
            <w:noProof/>
            <w:webHidden/>
          </w:rPr>
          <w:t>11</w:t>
        </w:r>
        <w:r w:rsidR="00842014">
          <w:rPr>
            <w:noProof/>
            <w:webHidden/>
          </w:rPr>
          <w:fldChar w:fldCharType="end"/>
        </w:r>
      </w:hyperlink>
    </w:p>
    <w:p w:rsidR="00842014" w:rsidRDefault="00387CE8">
      <w:pPr>
        <w:pStyle w:val="TOC2"/>
        <w:rPr>
          <w:rFonts w:asciiTheme="minorHAnsi" w:eastAsiaTheme="minorEastAsia" w:hAnsiTheme="minorHAnsi" w:cstheme="minorBidi"/>
          <w:noProof/>
          <w:szCs w:val="22"/>
          <w:lang w:eastAsia="en-AU"/>
        </w:rPr>
      </w:pPr>
      <w:hyperlink w:anchor="_Toc445283149" w:history="1">
        <w:r w:rsidR="00842014" w:rsidRPr="006451C9">
          <w:rPr>
            <w:rStyle w:val="Hyperlink"/>
            <w:noProof/>
          </w:rPr>
          <w:t>Notes to the financial statements</w:t>
        </w:r>
        <w:r w:rsidR="00842014">
          <w:rPr>
            <w:noProof/>
            <w:webHidden/>
          </w:rPr>
          <w:tab/>
        </w:r>
        <w:r w:rsidR="00842014">
          <w:rPr>
            <w:noProof/>
            <w:webHidden/>
          </w:rPr>
          <w:fldChar w:fldCharType="begin"/>
        </w:r>
        <w:r w:rsidR="00842014">
          <w:rPr>
            <w:noProof/>
            <w:webHidden/>
          </w:rPr>
          <w:instrText xml:space="preserve"> PAGEREF _Toc445283149 \h </w:instrText>
        </w:r>
        <w:r w:rsidR="00842014">
          <w:rPr>
            <w:noProof/>
            <w:webHidden/>
          </w:rPr>
        </w:r>
        <w:r w:rsidR="00842014">
          <w:rPr>
            <w:noProof/>
            <w:webHidden/>
          </w:rPr>
          <w:fldChar w:fldCharType="separate"/>
        </w:r>
        <w:r w:rsidR="00842014">
          <w:rPr>
            <w:noProof/>
            <w:webHidden/>
          </w:rPr>
          <w:t>17</w:t>
        </w:r>
        <w:r w:rsidR="00842014">
          <w:rPr>
            <w:noProof/>
            <w:webHidden/>
          </w:rPr>
          <w:fldChar w:fldCharType="end"/>
        </w:r>
      </w:hyperlink>
    </w:p>
    <w:p w:rsidR="00842014" w:rsidRDefault="00387CE8">
      <w:pPr>
        <w:pStyle w:val="TOC1"/>
        <w:rPr>
          <w:rFonts w:asciiTheme="minorHAnsi" w:eastAsiaTheme="minorEastAsia" w:hAnsiTheme="minorHAnsi" w:cstheme="minorBidi"/>
          <w:b w:val="0"/>
          <w:noProof/>
          <w:sz w:val="22"/>
          <w:szCs w:val="22"/>
          <w:lang w:eastAsia="en-AU"/>
        </w:rPr>
      </w:pPr>
      <w:hyperlink w:anchor="_Toc445283150" w:history="1">
        <w:r w:rsidR="00842014" w:rsidRPr="006451C9">
          <w:rPr>
            <w:rStyle w:val="Hyperlink"/>
            <w:noProof/>
          </w:rPr>
          <w:t>Appendix A – General government sector quarterly financial report</w:t>
        </w:r>
        <w:r w:rsidR="00842014">
          <w:rPr>
            <w:noProof/>
            <w:webHidden/>
          </w:rPr>
          <w:tab/>
        </w:r>
        <w:r w:rsidR="00842014">
          <w:rPr>
            <w:noProof/>
            <w:webHidden/>
          </w:rPr>
          <w:fldChar w:fldCharType="begin"/>
        </w:r>
        <w:r w:rsidR="00842014">
          <w:rPr>
            <w:noProof/>
            <w:webHidden/>
          </w:rPr>
          <w:instrText xml:space="preserve"> PAGEREF _Toc445283150 \h </w:instrText>
        </w:r>
        <w:r w:rsidR="00842014">
          <w:rPr>
            <w:noProof/>
            <w:webHidden/>
          </w:rPr>
        </w:r>
        <w:r w:rsidR="00842014">
          <w:rPr>
            <w:noProof/>
            <w:webHidden/>
          </w:rPr>
          <w:fldChar w:fldCharType="separate"/>
        </w:r>
        <w:r w:rsidR="00842014">
          <w:rPr>
            <w:noProof/>
            <w:webHidden/>
          </w:rPr>
          <w:t>57</w:t>
        </w:r>
        <w:r w:rsidR="00842014">
          <w:rPr>
            <w:noProof/>
            <w:webHidden/>
          </w:rPr>
          <w:fldChar w:fldCharType="end"/>
        </w:r>
      </w:hyperlink>
    </w:p>
    <w:p w:rsidR="00842014" w:rsidRDefault="00387CE8">
      <w:pPr>
        <w:pStyle w:val="TOC1"/>
        <w:rPr>
          <w:rFonts w:asciiTheme="minorHAnsi" w:eastAsiaTheme="minorEastAsia" w:hAnsiTheme="minorHAnsi" w:cstheme="minorBidi"/>
          <w:b w:val="0"/>
          <w:noProof/>
          <w:sz w:val="22"/>
          <w:szCs w:val="22"/>
          <w:lang w:eastAsia="en-AU"/>
        </w:rPr>
      </w:pPr>
      <w:hyperlink w:anchor="_Toc445283151" w:history="1">
        <w:r w:rsidR="00842014" w:rsidRPr="006451C9">
          <w:rPr>
            <w:rStyle w:val="Hyperlink"/>
            <w:noProof/>
          </w:rPr>
          <w:t xml:space="preserve">Appendix B – </w:t>
        </w:r>
        <w:r w:rsidR="00842014" w:rsidRPr="006451C9">
          <w:rPr>
            <w:rStyle w:val="Hyperlink"/>
            <w:i/>
            <w:noProof/>
          </w:rPr>
          <w:t>Financial Management Act 1994</w:t>
        </w:r>
        <w:r w:rsidR="00842014" w:rsidRPr="006451C9">
          <w:rPr>
            <w:rStyle w:val="Hyperlink"/>
            <w:noProof/>
          </w:rPr>
          <w:t xml:space="preserve"> compliance index</w:t>
        </w:r>
        <w:r w:rsidR="00842014">
          <w:rPr>
            <w:noProof/>
            <w:webHidden/>
          </w:rPr>
          <w:tab/>
        </w:r>
        <w:r w:rsidR="00842014">
          <w:rPr>
            <w:noProof/>
            <w:webHidden/>
          </w:rPr>
          <w:fldChar w:fldCharType="begin"/>
        </w:r>
        <w:r w:rsidR="00842014">
          <w:rPr>
            <w:noProof/>
            <w:webHidden/>
          </w:rPr>
          <w:instrText xml:space="preserve"> PAGEREF _Toc445283151 \h </w:instrText>
        </w:r>
        <w:r w:rsidR="00842014">
          <w:rPr>
            <w:noProof/>
            <w:webHidden/>
          </w:rPr>
        </w:r>
        <w:r w:rsidR="00842014">
          <w:rPr>
            <w:noProof/>
            <w:webHidden/>
          </w:rPr>
          <w:fldChar w:fldCharType="separate"/>
        </w:r>
        <w:r w:rsidR="00842014">
          <w:rPr>
            <w:noProof/>
            <w:webHidden/>
          </w:rPr>
          <w:t>61</w:t>
        </w:r>
        <w:r w:rsidR="00842014">
          <w:rPr>
            <w:noProof/>
            <w:webHidden/>
          </w:rPr>
          <w:fldChar w:fldCharType="end"/>
        </w:r>
      </w:hyperlink>
    </w:p>
    <w:p w:rsidR="00842014" w:rsidRDefault="00387CE8">
      <w:pPr>
        <w:pStyle w:val="TOC1"/>
        <w:rPr>
          <w:rFonts w:asciiTheme="minorHAnsi" w:eastAsiaTheme="minorEastAsia" w:hAnsiTheme="minorHAnsi" w:cstheme="minorBidi"/>
          <w:b w:val="0"/>
          <w:noProof/>
          <w:sz w:val="22"/>
          <w:szCs w:val="22"/>
          <w:lang w:eastAsia="en-AU"/>
        </w:rPr>
      </w:pPr>
      <w:hyperlink w:anchor="_Toc445283152" w:history="1">
        <w:r w:rsidR="00842014" w:rsidRPr="006451C9">
          <w:rPr>
            <w:rStyle w:val="Hyperlink"/>
            <w:noProof/>
          </w:rPr>
          <w:t>Style conventions</w:t>
        </w:r>
        <w:r w:rsidR="00842014">
          <w:rPr>
            <w:noProof/>
            <w:webHidden/>
          </w:rPr>
          <w:tab/>
        </w:r>
        <w:r w:rsidR="00842014">
          <w:rPr>
            <w:noProof/>
            <w:webHidden/>
          </w:rPr>
          <w:fldChar w:fldCharType="begin"/>
        </w:r>
        <w:r w:rsidR="00842014">
          <w:rPr>
            <w:noProof/>
            <w:webHidden/>
          </w:rPr>
          <w:instrText xml:space="preserve"> PAGEREF _Toc445283152 \h </w:instrText>
        </w:r>
        <w:r w:rsidR="00842014">
          <w:rPr>
            <w:noProof/>
            <w:webHidden/>
          </w:rPr>
        </w:r>
        <w:r w:rsidR="00842014">
          <w:rPr>
            <w:noProof/>
            <w:webHidden/>
          </w:rPr>
          <w:fldChar w:fldCharType="separate"/>
        </w:r>
        <w:r w:rsidR="00842014">
          <w:rPr>
            <w:noProof/>
            <w:webHidden/>
          </w:rPr>
          <w:t>63</w:t>
        </w:r>
        <w:r w:rsidR="00842014">
          <w:rPr>
            <w:noProof/>
            <w:webHidden/>
          </w:rPr>
          <w:fldChar w:fldCharType="end"/>
        </w:r>
      </w:hyperlink>
    </w:p>
    <w:p w:rsidR="00BB67AF" w:rsidRPr="00D26163" w:rsidRDefault="00BB67AF" w:rsidP="00A22BE1">
      <w:r w:rsidRPr="00D26163">
        <w:fldChar w:fldCharType="end"/>
      </w:r>
    </w:p>
    <w:p w:rsidR="00BB67AF" w:rsidRPr="00D26163" w:rsidRDefault="00BB67AF" w:rsidP="00A22BE1">
      <w:pPr>
        <w:pStyle w:val="TOC1"/>
      </w:pPr>
    </w:p>
    <w:p w:rsidR="00BB67AF" w:rsidRPr="00D26163" w:rsidRDefault="00BB67AF" w:rsidP="00A22BE1"/>
    <w:p w:rsidR="00BB67AF" w:rsidRPr="00D26163" w:rsidRDefault="00BB67AF" w:rsidP="00A22BE1">
      <w:pPr>
        <w:spacing w:after="0"/>
      </w:pPr>
      <w:r w:rsidRPr="00D26163">
        <w:br w:type="page"/>
      </w:r>
    </w:p>
    <w:p w:rsidR="00BB67AF" w:rsidRPr="00D26163" w:rsidRDefault="00BB67AF" w:rsidP="00A22BE1"/>
    <w:p w:rsidR="00BB67AF" w:rsidRPr="00D26163" w:rsidRDefault="00BB67AF" w:rsidP="00A22BE1"/>
    <w:p w:rsidR="00BB67AF" w:rsidRPr="00A22BE1" w:rsidRDefault="00BB67AF" w:rsidP="00A22BE1">
      <w:pPr>
        <w:pStyle w:val="Heading1"/>
      </w:pPr>
    </w:p>
    <w:p w:rsidR="00BB67AF" w:rsidRDefault="00BB67AF" w:rsidP="00443963">
      <w:pPr>
        <w:sectPr w:rsidR="00BB67AF" w:rsidSect="00C36C4E">
          <w:footerReference w:type="even" r:id="rId17"/>
          <w:footerReference w:type="default" r:id="rId18"/>
          <w:type w:val="oddPage"/>
          <w:pgSz w:w="11906" w:h="16838" w:code="9"/>
          <w:pgMar w:top="1152" w:right="1152" w:bottom="1152" w:left="1152" w:header="720" w:footer="720" w:gutter="0"/>
          <w:pgNumType w:start="1"/>
          <w:cols w:space="708"/>
          <w:docGrid w:linePitch="360"/>
        </w:sectPr>
      </w:pPr>
    </w:p>
    <w:p w:rsidR="00BB67AF" w:rsidRPr="00C36C4E" w:rsidRDefault="00BB67AF" w:rsidP="003E6750">
      <w:pPr>
        <w:pStyle w:val="ChapterHeading"/>
      </w:pPr>
      <w:bookmarkStart w:id="1" w:name="_Toc445283142"/>
      <w:r w:rsidRPr="00C36C4E">
        <w:lastRenderedPageBreak/>
        <w:t xml:space="preserve">Chapter 1 – </w:t>
      </w:r>
      <w:r>
        <w:t>Mid-</w:t>
      </w:r>
      <w:r w:rsidRPr="00C36C4E">
        <w:t>year results for the State of Victoria, including the general government sector</w:t>
      </w:r>
      <w:bookmarkEnd w:id="1"/>
    </w:p>
    <w:p w:rsidR="00BB67AF" w:rsidRDefault="00BB67AF" w:rsidP="003E6750">
      <w:r>
        <w:t xml:space="preserve">The </w:t>
      </w:r>
      <w:r w:rsidRPr="006D30FE">
        <w:rPr>
          <w:i/>
        </w:rPr>
        <w:t>2015</w:t>
      </w:r>
      <w:r w:rsidRPr="006D30FE">
        <w:rPr>
          <w:i/>
        </w:rPr>
        <w:noBreakHyphen/>
        <w:t>16 Mid</w:t>
      </w:r>
      <w:r w:rsidRPr="006D30FE">
        <w:rPr>
          <w:i/>
        </w:rPr>
        <w:noBreakHyphen/>
        <w:t>Year Financial Report</w:t>
      </w:r>
      <w:r>
        <w:t xml:space="preserve"> presents the financial results for the State of Victoria, including the general government sector, for the six months to 31 December 2015. The report has been prepared in accordance with the </w:t>
      </w:r>
      <w:r w:rsidRPr="008D70D5">
        <w:rPr>
          <w:i/>
        </w:rPr>
        <w:t>Financial Management Act 1994</w:t>
      </w:r>
      <w:r>
        <w:t xml:space="preserve"> and applicable accounting standards.</w:t>
      </w:r>
    </w:p>
    <w:p w:rsidR="00BB67AF" w:rsidRDefault="00BB67AF" w:rsidP="003E6750">
      <w:r>
        <w:t xml:space="preserve">The actual results presented in this report are compared with the revised budget estimates as published in the </w:t>
      </w:r>
      <w:r w:rsidRPr="008D70D5">
        <w:rPr>
          <w:i/>
        </w:rPr>
        <w:t>2015</w:t>
      </w:r>
      <w:r w:rsidRPr="008D70D5">
        <w:rPr>
          <w:i/>
        </w:rPr>
        <w:noBreakHyphen/>
        <w:t>16 Budget Update</w:t>
      </w:r>
      <w:r>
        <w:t>. The likely 2015-16 full year results cannot be extrapolated from the half year results due to seasonal and other factors impacting on the timing of activity and transactions. In particular, they do not include the impact of significant revenue items recognised in the second half of the financial year. Land tax revenue is mainly recognised in the March quarter, and certain grant revenue from the Commonwealth Government is expected to be received later in the year.</w:t>
      </w:r>
    </w:p>
    <w:p w:rsidR="00BB67AF" w:rsidRDefault="00BB67AF" w:rsidP="003E6750">
      <w:r>
        <w:t xml:space="preserve">The Victorian unemployment rate trended downwards during 2015, ending the calendar year at 6 per cent. Job vacancies also increased during 2015, pointing to the likelihood of further employment gains for the rest of 2015-16. Victoria has continued to record the highest population growth rate among the states, with the latest data showing growth of 1.7 per cent over the year. Accompanying the strong population increase, dwelling investment growth has been robust, and the outlook remains positive with elevated levels of residential building approvals. Business investment has also strengthened in the past year. The lower Australian dollar has helped boost international service exports, especially in tourism and international education. Nevertheless, the international outlook remains uncertain, with some downside risks due to concerns over the possible extent of the slowdown in economic activity in China. However, Victoria’s strong financial and economic position means that the economy is well placed to deal with any flow-on effects should a sharp decline in Chinese growth materialise. </w:t>
      </w:r>
    </w:p>
    <w:p w:rsidR="00BB67AF" w:rsidRPr="004D6A1B" w:rsidRDefault="00BB67AF" w:rsidP="003E6750">
      <w:r w:rsidRPr="004D6A1B">
        <w:t>For the period to 31 December 2015, the general government sector recorded a positive net result from transactions of $1.5 billion. This includes the impact of the High Court of Australia’s decision to overturn the Court of Appeal’s previous decision relating to Tatts Group Limit</w:t>
      </w:r>
      <w:r w:rsidR="0042339E">
        <w:t>ed’s (Tatts) ‘Gambling Licenses’</w:t>
      </w:r>
      <w:r w:rsidRPr="004D6A1B">
        <w:t xml:space="preserve"> proceedings, which resulted in an additional $540.5 million of revenue plus interest recorded for the period to 31 December 2015. Except for this abnormal item, the net result from transactions was $940 million</w:t>
      </w:r>
      <w:r w:rsidRPr="004D6A1B">
        <w:rPr>
          <w:i/>
        </w:rPr>
        <w:t>.</w:t>
      </w:r>
      <w:r w:rsidRPr="004D6A1B">
        <w:t xml:space="preserve"> </w:t>
      </w:r>
    </w:p>
    <w:p w:rsidR="00BB67AF" w:rsidRPr="004D6A1B" w:rsidRDefault="00BB67AF" w:rsidP="003E6750">
      <w:r w:rsidRPr="004D6A1B">
        <w:t xml:space="preserve">The State recorded a positive net result from transactions of $1.1 billion and </w:t>
      </w:r>
      <w:r w:rsidR="003E6750">
        <w:t>a net result of $542 </w:t>
      </w:r>
      <w:r w:rsidRPr="004D6A1B">
        <w:t>million respectively. Excluding the impact of the High Court of Australia’s decision as explained above, the net result from transactions for the State was $579 million, and the net result, after taking into account other economic flows which mainly relate to asset and valuation movements driven by financial markets volatility, was a deficit of $25 million.</w:t>
      </w:r>
    </w:p>
    <w:p w:rsidR="00BB67AF" w:rsidRDefault="00BB67AF" w:rsidP="003E6750">
      <w:r>
        <w:t>Victoria maintains a stable triple</w:t>
      </w:r>
      <w:r>
        <w:noBreakHyphen/>
        <w:t>A credit rating from both major ratings agencies. The Government is committed to strong financial management, supporting a continuing stable triple</w:t>
      </w:r>
      <w:r>
        <w:noBreakHyphen/>
        <w:t>A credit rating into the future.</w:t>
      </w:r>
    </w:p>
    <w:p w:rsidR="00BB67AF" w:rsidRDefault="00BB67AF" w:rsidP="003E6750"/>
    <w:p w:rsidR="00BB67AF" w:rsidRDefault="00BB67AF">
      <w:pPr>
        <w:spacing w:after="0"/>
      </w:pPr>
      <w:r>
        <w:br w:type="page"/>
      </w:r>
    </w:p>
    <w:p w:rsidR="00BB67AF" w:rsidRPr="00C36C4E" w:rsidRDefault="00BB67AF" w:rsidP="003E6750">
      <w:pPr>
        <w:pStyle w:val="Heading1"/>
      </w:pPr>
      <w:bookmarkStart w:id="2" w:name="_Toc445283143"/>
      <w:r w:rsidRPr="00C36C4E">
        <w:lastRenderedPageBreak/>
        <w:t>State of Victoria – overview</w:t>
      </w:r>
      <w:bookmarkEnd w:id="2"/>
    </w:p>
    <w:p w:rsidR="00BB67AF" w:rsidRDefault="00BB67AF" w:rsidP="003E6750">
      <w:r>
        <w:t xml:space="preserve">The State comprises the general government sector, the public non-financial corporations (PNFC) sector and the public financial corporations (PFC) sector. </w:t>
      </w:r>
    </w:p>
    <w:p w:rsidR="00BB67AF" w:rsidRDefault="00BB67AF" w:rsidP="003E6750">
      <w:r>
        <w:t xml:space="preserve">The general government sector consists of all government departments and other public sector agencies that are controlled and largely financed by taxes and Commonwealth grants. The general government sector is primarily responsible for delivering government policy as set out in the annual budget. </w:t>
      </w:r>
    </w:p>
    <w:p w:rsidR="00BB67AF" w:rsidRDefault="00BB67AF" w:rsidP="003E6750">
      <w:r>
        <w:t xml:space="preserve">The PNFC and PFC sectors comprise a wide range of entities which provide services while meeting commercial principles through cost recovery via user charges and fees. The largest Victorian PNFCs are those providing water, housing, transport and port services. Victoria’s PFCs can be categorised into two broad types: those that provide services to the general public and businesses (such as the statutory insurers), and those that provide financial services to other areas of government. </w:t>
      </w:r>
    </w:p>
    <w:p w:rsidR="00BB67AF" w:rsidRDefault="00BB67AF" w:rsidP="003E6750">
      <w:r>
        <w:t>Due to transactions between the sectors, not all transactions in each sector will affect the overall State of Victoria outcome.</w:t>
      </w:r>
    </w:p>
    <w:p w:rsidR="00BB67AF" w:rsidRDefault="00BB67AF" w:rsidP="003E6750">
      <w:r>
        <w:t>Net infrastructure investment by the State for the period to 31 December 2015 was $3.0 billion, driven mainly by the general government and the PNFC sectors. Cash surpluses generated from operating activities are applied, in the first instance, to the funding of infrastructure investment. Net cash flow from operating activities for the State for the period to 31 December 2015 was $3.7 billion.</w:t>
      </w:r>
    </w:p>
    <w:p w:rsidR="00BB67AF" w:rsidRDefault="00BB67AF" w:rsidP="003E6750">
      <w:r>
        <w:t>The material level of investment in infrastructure within the non-financial public sector (NFPS) makes the sector significant to the overall State. The NFPS represents the general government sector and the PNFC sector after eliminating transactions between the two sectors.</w:t>
      </w:r>
    </w:p>
    <w:p w:rsidR="0042339E" w:rsidRDefault="00BB67AF" w:rsidP="003E6750">
      <w:r>
        <w:t xml:space="preserve">Net debt for the NFPS was $37.0 billion, or 9.8 per cent of gross state product (GSP), at 31 December 2015 (10.1 per cent 30 June 2015), largely reflecting </w:t>
      </w:r>
      <w:r w:rsidRPr="00110C79">
        <w:t>a greater increase in the economic output of the State (GSP) compared to the incre</w:t>
      </w:r>
      <w:r>
        <w:t>ase in NFPS net debt.</w:t>
      </w:r>
      <w:r w:rsidRPr="00110C79">
        <w:t xml:space="preserve"> </w:t>
      </w:r>
    </w:p>
    <w:p w:rsidR="0042339E" w:rsidRDefault="0042339E">
      <w:pPr>
        <w:spacing w:after="0"/>
      </w:pPr>
      <w:r>
        <w:br w:type="page"/>
      </w:r>
    </w:p>
    <w:p w:rsidR="00BB67AF" w:rsidRPr="00C36C4E" w:rsidRDefault="00BB67AF" w:rsidP="003E6750">
      <w:pPr>
        <w:pStyle w:val="Heading1"/>
      </w:pPr>
      <w:bookmarkStart w:id="3" w:name="_Toc445283144"/>
      <w:r w:rsidRPr="00C36C4E">
        <w:lastRenderedPageBreak/>
        <w:t>Financial performance</w:t>
      </w:r>
      <w:bookmarkEnd w:id="3"/>
    </w:p>
    <w:p w:rsidR="00BB67AF" w:rsidRPr="004D6A1B" w:rsidRDefault="00BB67AF" w:rsidP="003E6750">
      <w:r w:rsidRPr="004D6A1B">
        <w:t>For the six months to 31 December 2015, the general government sector recorded a positive net result from transactions of $1.5 billion. This includes the impact of the High Court of Australia’s decision to overturn the Court of Appeal’s previous decision relating to Tatts’ ‘Gambling Licenses</w:t>
      </w:r>
      <w:r w:rsidR="0042339E">
        <w:t>’</w:t>
      </w:r>
      <w:r w:rsidRPr="004D6A1B">
        <w:t xml:space="preserve"> proceedings, which resulted in an additional $540.5 million of revenue plus interest recorded for the period to 31 December 2015. Except for this abnormal item, the net result from transactions was $940 million. Compared to the same time last year, the net movement in the result largely reflects higher revenues, mainly due to higher taxation revenue from land transfer duties and revenue from grants.</w:t>
      </w:r>
    </w:p>
    <w:p w:rsidR="00BB67AF" w:rsidRDefault="00BB67AF" w:rsidP="003E6750">
      <w:r w:rsidRPr="004D6A1B">
        <w:t>The net result from transactions and the net result for the State was a surplus of $1.1 billion and $542 million respectively. Excluding the impact of the High Court of Australia’s decision as explained above, the net result from transactions for the State was $579 million and the net result, after taking into account other economic flows which mainly relate to asset and valuation movements driven by financial market volatility, was a deficit of $25 million.</w:t>
      </w:r>
    </w:p>
    <w:p w:rsidR="00BB67AF" w:rsidRDefault="00BB67AF" w:rsidP="003E6750">
      <w:r>
        <w:t>The likely result of the 2015</w:t>
      </w:r>
      <w:r>
        <w:noBreakHyphen/>
        <w:t>16 financial year cannot be extrapolated from the half year results due to seasonal and other factors impacting on the timing of activity and transactions.</w:t>
      </w:r>
    </w:p>
    <w:p w:rsidR="00BB67AF" w:rsidRDefault="00BB67AF" w:rsidP="003E6750">
      <w:pPr>
        <w:pStyle w:val="Tableheading"/>
        <w:rPr>
          <w:vertAlign w:val="superscript"/>
        </w:rPr>
      </w:pPr>
      <w:r>
        <w:t>Table 1.1:</w:t>
      </w:r>
      <w:r>
        <w:tab/>
        <w:t xml:space="preserve">Summary comprehensive operating statement for the period ended 31 December </w:t>
      </w:r>
      <w:r w:rsidRPr="00144CBF">
        <w:rPr>
          <w:vertAlign w:val="superscript"/>
        </w:rPr>
        <w:t>(a)</w:t>
      </w:r>
    </w:p>
    <w:p w:rsidR="00BB67AF" w:rsidRPr="00510164" w:rsidRDefault="00BB67AF" w:rsidP="003E6750">
      <w:pPr>
        <w:pStyle w:val="million"/>
      </w:pPr>
      <w:r w:rsidRPr="00BF1FBB">
        <w:t>($</w:t>
      </w:r>
      <w:r>
        <w:t> million</w:t>
      </w:r>
      <w:r w:rsidRPr="00BF1FBB">
        <w:t>)</w:t>
      </w:r>
    </w:p>
    <w:tbl>
      <w:tblPr>
        <w:tblW w:w="9648" w:type="dxa"/>
        <w:tblInd w:w="45" w:type="dxa"/>
        <w:tblLayout w:type="fixed"/>
        <w:tblCellMar>
          <w:left w:w="45" w:type="dxa"/>
          <w:right w:w="45" w:type="dxa"/>
        </w:tblCellMar>
        <w:tblLook w:val="0000" w:firstRow="0" w:lastRow="0" w:firstColumn="0" w:lastColumn="0" w:noHBand="0" w:noVBand="0"/>
      </w:tblPr>
      <w:tblGrid>
        <w:gridCol w:w="3261"/>
        <w:gridCol w:w="780"/>
        <w:gridCol w:w="854"/>
        <w:gridCol w:w="828"/>
        <w:gridCol w:w="545"/>
        <w:gridCol w:w="1132"/>
        <w:gridCol w:w="857"/>
        <w:gridCol w:w="883"/>
        <w:gridCol w:w="499"/>
        <w:gridCol w:w="9"/>
      </w:tblGrid>
      <w:tr w:rsidR="0042339E" w:rsidRPr="00A120C4" w:rsidTr="00076F6A">
        <w:trPr>
          <w:gridAfter w:val="1"/>
          <w:wAfter w:w="9" w:type="dxa"/>
          <w:tblHeader/>
        </w:trPr>
        <w:tc>
          <w:tcPr>
            <w:tcW w:w="3261" w:type="dxa"/>
            <w:tcBorders>
              <w:top w:val="nil"/>
              <w:left w:val="nil"/>
              <w:bottom w:val="nil"/>
              <w:right w:val="nil"/>
            </w:tcBorders>
            <w:shd w:val="solid" w:color="000000" w:fill="auto"/>
            <w:vAlign w:val="bottom"/>
          </w:tcPr>
          <w:p w:rsidR="0042339E" w:rsidRPr="00A120C4" w:rsidRDefault="0042339E" w:rsidP="003E6750">
            <w:pPr>
              <w:pStyle w:val="Tableheading"/>
              <w:spacing w:before="0" w:after="0"/>
              <w:jc w:val="center"/>
              <w:rPr>
                <w:rFonts w:eastAsiaTheme="minorEastAsia" w:cs="Calibri"/>
                <w:i/>
                <w:iCs/>
                <w:color w:val="FFFFFF"/>
                <w:sz w:val="19"/>
                <w:szCs w:val="19"/>
                <w:lang w:eastAsia="en-AU"/>
              </w:rPr>
            </w:pPr>
            <w:r w:rsidRPr="00A120C4">
              <w:rPr>
                <w:rFonts w:eastAsiaTheme="minorEastAsia" w:cs="Calibri"/>
                <w:i/>
                <w:iCs/>
                <w:color w:val="FFFFFF"/>
                <w:sz w:val="19"/>
                <w:szCs w:val="19"/>
                <w:lang w:eastAsia="en-AU"/>
              </w:rPr>
              <w:t xml:space="preserve"> </w:t>
            </w:r>
          </w:p>
        </w:tc>
        <w:tc>
          <w:tcPr>
            <w:tcW w:w="3007" w:type="dxa"/>
            <w:gridSpan w:val="4"/>
            <w:tcBorders>
              <w:top w:val="nil"/>
              <w:left w:val="nil"/>
              <w:bottom w:val="nil"/>
              <w:right w:val="nil"/>
            </w:tcBorders>
            <w:shd w:val="solid" w:color="000000" w:fill="auto"/>
            <w:vAlign w:val="bottom"/>
          </w:tcPr>
          <w:p w:rsidR="0042339E" w:rsidRPr="00A120C4" w:rsidRDefault="0042339E" w:rsidP="0042339E">
            <w:pPr>
              <w:autoSpaceDE w:val="0"/>
              <w:autoSpaceDN w:val="0"/>
              <w:adjustRightInd w:val="0"/>
              <w:spacing w:after="0"/>
              <w:jc w:val="center"/>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State of Victoria</w:t>
            </w:r>
          </w:p>
        </w:tc>
        <w:tc>
          <w:tcPr>
            <w:tcW w:w="3371" w:type="dxa"/>
            <w:gridSpan w:val="4"/>
            <w:tcBorders>
              <w:top w:val="nil"/>
              <w:left w:val="nil"/>
              <w:bottom w:val="nil"/>
              <w:right w:val="nil"/>
            </w:tcBorders>
            <w:shd w:val="solid" w:color="000000" w:fill="auto"/>
            <w:vAlign w:val="bottom"/>
          </w:tcPr>
          <w:p w:rsidR="0042339E" w:rsidRPr="00A120C4" w:rsidRDefault="0042339E" w:rsidP="0042339E">
            <w:pPr>
              <w:autoSpaceDE w:val="0"/>
              <w:autoSpaceDN w:val="0"/>
              <w:adjustRightInd w:val="0"/>
              <w:spacing w:after="0"/>
              <w:jc w:val="center"/>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General government sector</w:t>
            </w:r>
          </w:p>
        </w:tc>
      </w:tr>
      <w:tr w:rsidR="0042339E" w:rsidRPr="00A120C4" w:rsidTr="00076F6A">
        <w:trPr>
          <w:gridAfter w:val="1"/>
          <w:wAfter w:w="9" w:type="dxa"/>
          <w:trHeight w:val="696"/>
          <w:tblHeader/>
        </w:trPr>
        <w:tc>
          <w:tcPr>
            <w:tcW w:w="3261" w:type="dxa"/>
            <w:tcBorders>
              <w:top w:val="nil"/>
              <w:left w:val="nil"/>
              <w:right w:val="nil"/>
            </w:tcBorders>
            <w:shd w:val="solid" w:color="000000" w:fill="auto"/>
            <w:vAlign w:val="bottom"/>
          </w:tcPr>
          <w:p w:rsidR="0042339E" w:rsidRPr="00A120C4" w:rsidRDefault="0042339E" w:rsidP="003E6750">
            <w:pPr>
              <w:autoSpaceDE w:val="0"/>
              <w:autoSpaceDN w:val="0"/>
              <w:adjustRightInd w:val="0"/>
              <w:spacing w:after="0"/>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 xml:space="preserve"> </w:t>
            </w:r>
          </w:p>
          <w:p w:rsidR="0042339E" w:rsidRPr="00A120C4" w:rsidRDefault="0042339E" w:rsidP="003E6750">
            <w:pPr>
              <w:autoSpaceDE w:val="0"/>
              <w:autoSpaceDN w:val="0"/>
              <w:adjustRightInd w:val="0"/>
              <w:spacing w:after="0"/>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 xml:space="preserve"> </w:t>
            </w:r>
          </w:p>
          <w:p w:rsidR="0042339E" w:rsidRPr="00A120C4" w:rsidRDefault="0042339E" w:rsidP="003E6750">
            <w:pPr>
              <w:autoSpaceDE w:val="0"/>
              <w:autoSpaceDN w:val="0"/>
              <w:adjustRightInd w:val="0"/>
              <w:spacing w:after="0"/>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 xml:space="preserve"> </w:t>
            </w:r>
          </w:p>
        </w:tc>
        <w:tc>
          <w:tcPr>
            <w:tcW w:w="780" w:type="dxa"/>
            <w:tcBorders>
              <w:top w:val="nil"/>
              <w:left w:val="nil"/>
              <w:right w:val="nil"/>
            </w:tcBorders>
            <w:shd w:val="solid" w:color="000000" w:fill="auto"/>
            <w:vAlign w:val="bottom"/>
          </w:tcPr>
          <w:p w:rsidR="0042339E" w:rsidRPr="00A120C4" w:rsidRDefault="0042339E" w:rsidP="0042339E">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 xml:space="preserve">2014-15 actual </w:t>
            </w:r>
            <w:r w:rsidRPr="00A120C4">
              <w:rPr>
                <w:rFonts w:ascii="Calibri" w:eastAsiaTheme="minorEastAsia" w:hAnsi="Calibri" w:cs="Calibri"/>
                <w:i/>
                <w:iCs/>
                <w:color w:val="FFFFFF"/>
                <w:sz w:val="19"/>
                <w:szCs w:val="19"/>
                <w:lang w:eastAsia="en-AU"/>
              </w:rPr>
              <w:br/>
              <w:t xml:space="preserve">to Dec </w:t>
            </w:r>
            <w:r w:rsidRPr="00A120C4">
              <w:rPr>
                <w:rFonts w:ascii="Calibri" w:eastAsiaTheme="minorEastAsia" w:hAnsi="Calibri" w:cs="Calibri"/>
                <w:i/>
                <w:iCs/>
                <w:color w:val="FFFFFF"/>
                <w:sz w:val="19"/>
                <w:szCs w:val="19"/>
                <w:vertAlign w:val="superscript"/>
                <w:lang w:eastAsia="en-AU"/>
              </w:rPr>
              <w:t>(b)</w:t>
            </w:r>
          </w:p>
        </w:tc>
        <w:tc>
          <w:tcPr>
            <w:tcW w:w="854" w:type="dxa"/>
            <w:tcBorders>
              <w:top w:val="nil"/>
              <w:left w:val="nil"/>
              <w:right w:val="nil"/>
            </w:tcBorders>
            <w:shd w:val="solid" w:color="000000" w:fill="auto"/>
            <w:vAlign w:val="bottom"/>
          </w:tcPr>
          <w:p w:rsidR="0042339E" w:rsidRPr="00A120C4" w:rsidRDefault="0042339E" w:rsidP="0042339E">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2015-16 actual</w:t>
            </w:r>
            <w:r w:rsidRPr="00A120C4">
              <w:rPr>
                <w:rFonts w:ascii="Calibri" w:eastAsiaTheme="minorEastAsia" w:hAnsi="Calibri" w:cs="Calibri"/>
                <w:i/>
                <w:iCs/>
                <w:color w:val="FFFFFF"/>
                <w:sz w:val="19"/>
                <w:szCs w:val="19"/>
                <w:lang w:eastAsia="en-AU"/>
              </w:rPr>
              <w:br/>
              <w:t>to Dec</w:t>
            </w:r>
          </w:p>
        </w:tc>
        <w:tc>
          <w:tcPr>
            <w:tcW w:w="828" w:type="dxa"/>
            <w:tcBorders>
              <w:top w:val="nil"/>
              <w:left w:val="nil"/>
              <w:right w:val="nil"/>
            </w:tcBorders>
            <w:shd w:val="solid" w:color="000000" w:fill="auto"/>
            <w:vAlign w:val="bottom"/>
          </w:tcPr>
          <w:p w:rsidR="0042339E" w:rsidRPr="00A120C4" w:rsidRDefault="0042339E" w:rsidP="0042339E">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2015-16 revised</w:t>
            </w:r>
            <w:r w:rsidRPr="00A120C4">
              <w:rPr>
                <w:rFonts w:ascii="Calibri" w:eastAsiaTheme="minorEastAsia" w:hAnsi="Calibri" w:cs="Calibri"/>
                <w:i/>
                <w:iCs/>
                <w:color w:val="FFFFFF"/>
                <w:sz w:val="19"/>
                <w:szCs w:val="19"/>
                <w:lang w:eastAsia="en-AU"/>
              </w:rPr>
              <w:br/>
              <w:t>estimate</w:t>
            </w:r>
          </w:p>
        </w:tc>
        <w:tc>
          <w:tcPr>
            <w:tcW w:w="545" w:type="dxa"/>
            <w:tcBorders>
              <w:top w:val="nil"/>
              <w:left w:val="nil"/>
              <w:right w:val="nil"/>
            </w:tcBorders>
            <w:shd w:val="solid" w:color="000000" w:fill="auto"/>
            <w:vAlign w:val="bottom"/>
          </w:tcPr>
          <w:p w:rsidR="0042339E" w:rsidRPr="00A120C4" w:rsidRDefault="0042339E" w:rsidP="0042339E">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 xml:space="preserve">% </w:t>
            </w:r>
            <w:r w:rsidRPr="00A120C4">
              <w:rPr>
                <w:rFonts w:ascii="Calibri" w:eastAsiaTheme="minorEastAsia" w:hAnsi="Calibri" w:cs="Calibri"/>
                <w:i/>
                <w:iCs/>
                <w:color w:val="FFFFFF"/>
                <w:sz w:val="19"/>
                <w:szCs w:val="19"/>
                <w:vertAlign w:val="superscript"/>
                <w:lang w:eastAsia="en-AU"/>
              </w:rPr>
              <w:t>(c)</w:t>
            </w:r>
            <w:r w:rsidRPr="00A120C4">
              <w:rPr>
                <w:rFonts w:ascii="Calibri" w:eastAsiaTheme="minorEastAsia" w:hAnsi="Calibri" w:cs="Calibri"/>
                <w:i/>
                <w:iCs/>
                <w:color w:val="FFFFFF"/>
                <w:sz w:val="19"/>
                <w:szCs w:val="19"/>
                <w:lang w:eastAsia="en-AU"/>
              </w:rPr>
              <w:t xml:space="preserve"> </w:t>
            </w:r>
          </w:p>
        </w:tc>
        <w:tc>
          <w:tcPr>
            <w:tcW w:w="1132" w:type="dxa"/>
            <w:tcBorders>
              <w:top w:val="nil"/>
              <w:left w:val="nil"/>
              <w:right w:val="nil"/>
            </w:tcBorders>
            <w:shd w:val="solid" w:color="000000" w:fill="auto"/>
            <w:vAlign w:val="bottom"/>
          </w:tcPr>
          <w:p w:rsidR="0042339E" w:rsidRPr="00A120C4" w:rsidRDefault="0042339E" w:rsidP="0042339E">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2014-15</w:t>
            </w:r>
            <w:r w:rsidRPr="00A120C4">
              <w:rPr>
                <w:rFonts w:ascii="Calibri" w:eastAsiaTheme="minorEastAsia" w:hAnsi="Calibri" w:cs="Calibri"/>
                <w:i/>
                <w:iCs/>
                <w:color w:val="FFFFFF"/>
                <w:sz w:val="19"/>
                <w:szCs w:val="19"/>
                <w:lang w:eastAsia="en-AU"/>
              </w:rPr>
              <w:br/>
              <w:t xml:space="preserve"> actual</w:t>
            </w:r>
            <w:r w:rsidRPr="00A120C4">
              <w:rPr>
                <w:rFonts w:ascii="Calibri" w:eastAsiaTheme="minorEastAsia" w:hAnsi="Calibri" w:cs="Calibri"/>
                <w:i/>
                <w:iCs/>
                <w:color w:val="FFFFFF"/>
                <w:sz w:val="19"/>
                <w:szCs w:val="19"/>
                <w:lang w:eastAsia="en-AU"/>
              </w:rPr>
              <w:br/>
              <w:t xml:space="preserve">to Dec </w:t>
            </w:r>
            <w:r w:rsidRPr="00A120C4">
              <w:rPr>
                <w:rFonts w:ascii="Calibri" w:eastAsiaTheme="minorEastAsia" w:hAnsi="Calibri" w:cs="Calibri"/>
                <w:i/>
                <w:iCs/>
                <w:color w:val="FFFFFF"/>
                <w:sz w:val="19"/>
                <w:szCs w:val="19"/>
                <w:vertAlign w:val="superscript"/>
                <w:lang w:eastAsia="en-AU"/>
              </w:rPr>
              <w:t>(b)</w:t>
            </w:r>
          </w:p>
        </w:tc>
        <w:tc>
          <w:tcPr>
            <w:tcW w:w="857" w:type="dxa"/>
            <w:tcBorders>
              <w:top w:val="nil"/>
              <w:left w:val="nil"/>
              <w:right w:val="nil"/>
            </w:tcBorders>
            <w:shd w:val="solid" w:color="000000" w:fill="auto"/>
            <w:vAlign w:val="bottom"/>
          </w:tcPr>
          <w:p w:rsidR="0042339E" w:rsidRPr="00A120C4" w:rsidRDefault="0042339E" w:rsidP="0042339E">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2015-16 actual</w:t>
            </w:r>
            <w:r w:rsidRPr="00A120C4">
              <w:rPr>
                <w:rFonts w:ascii="Calibri" w:eastAsiaTheme="minorEastAsia" w:hAnsi="Calibri" w:cs="Calibri"/>
                <w:i/>
                <w:iCs/>
                <w:color w:val="FFFFFF"/>
                <w:sz w:val="19"/>
                <w:szCs w:val="19"/>
                <w:lang w:eastAsia="en-AU"/>
              </w:rPr>
              <w:br/>
              <w:t>to Dec</w:t>
            </w:r>
          </w:p>
        </w:tc>
        <w:tc>
          <w:tcPr>
            <w:tcW w:w="883" w:type="dxa"/>
            <w:tcBorders>
              <w:top w:val="nil"/>
              <w:left w:val="nil"/>
              <w:right w:val="nil"/>
            </w:tcBorders>
            <w:shd w:val="solid" w:color="000000" w:fill="auto"/>
            <w:vAlign w:val="bottom"/>
          </w:tcPr>
          <w:p w:rsidR="0042339E" w:rsidRPr="00A120C4" w:rsidRDefault="0042339E" w:rsidP="0042339E">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2015-16 revised estimate</w:t>
            </w:r>
          </w:p>
        </w:tc>
        <w:tc>
          <w:tcPr>
            <w:tcW w:w="499" w:type="dxa"/>
            <w:tcBorders>
              <w:top w:val="nil"/>
              <w:left w:val="nil"/>
              <w:right w:val="nil"/>
            </w:tcBorders>
            <w:shd w:val="solid" w:color="000000" w:fill="auto"/>
            <w:vAlign w:val="bottom"/>
          </w:tcPr>
          <w:p w:rsidR="0042339E" w:rsidRPr="00A120C4" w:rsidRDefault="0042339E" w:rsidP="0042339E">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 xml:space="preserve">% </w:t>
            </w:r>
            <w:r w:rsidRPr="00A120C4">
              <w:rPr>
                <w:rFonts w:ascii="Calibri" w:eastAsiaTheme="minorEastAsia" w:hAnsi="Calibri" w:cs="Calibri"/>
                <w:i/>
                <w:iCs/>
                <w:color w:val="FFFFFF"/>
                <w:sz w:val="19"/>
                <w:szCs w:val="19"/>
                <w:vertAlign w:val="superscript"/>
                <w:lang w:eastAsia="en-AU"/>
              </w:rPr>
              <w:t>(c)</w:t>
            </w:r>
            <w:r w:rsidRPr="00A120C4">
              <w:rPr>
                <w:rFonts w:ascii="Calibri" w:eastAsiaTheme="minorEastAsia" w:hAnsi="Calibri" w:cs="Calibri"/>
                <w:i/>
                <w:iCs/>
                <w:color w:val="FFFFFF"/>
                <w:sz w:val="19"/>
                <w:szCs w:val="19"/>
                <w:lang w:eastAsia="en-AU"/>
              </w:rPr>
              <w:t xml:space="preserve"> </w:t>
            </w:r>
          </w:p>
        </w:tc>
      </w:tr>
      <w:tr w:rsidR="00BB67AF" w:rsidRPr="00A120C4" w:rsidTr="0042339E">
        <w:tc>
          <w:tcPr>
            <w:tcW w:w="32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Revenue from transactions</w:t>
            </w:r>
          </w:p>
        </w:tc>
        <w:tc>
          <w:tcPr>
            <w:tcW w:w="78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c>
          <w:tcPr>
            <w:tcW w:w="85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c>
          <w:tcPr>
            <w:tcW w:w="82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c>
          <w:tcPr>
            <w:tcW w:w="54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c>
          <w:tcPr>
            <w:tcW w:w="11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c>
          <w:tcPr>
            <w:tcW w:w="857"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c>
          <w:tcPr>
            <w:tcW w:w="883"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c>
          <w:tcPr>
            <w:tcW w:w="508"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r>
      <w:tr w:rsidR="00BB67AF" w:rsidRPr="00A120C4" w:rsidTr="0042339E">
        <w:tc>
          <w:tcPr>
            <w:tcW w:w="32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Taxation revenue</w:t>
            </w:r>
          </w:p>
        </w:tc>
        <w:tc>
          <w:tcPr>
            <w:tcW w:w="78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8 555</w:t>
            </w:r>
          </w:p>
        </w:tc>
        <w:tc>
          <w:tcPr>
            <w:tcW w:w="85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9 443</w:t>
            </w:r>
          </w:p>
        </w:tc>
        <w:tc>
          <w:tcPr>
            <w:tcW w:w="82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18 988</w:t>
            </w:r>
          </w:p>
        </w:tc>
        <w:tc>
          <w:tcPr>
            <w:tcW w:w="54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50</w:t>
            </w:r>
          </w:p>
        </w:tc>
        <w:tc>
          <w:tcPr>
            <w:tcW w:w="11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8 764</w:t>
            </w:r>
          </w:p>
        </w:tc>
        <w:tc>
          <w:tcPr>
            <w:tcW w:w="857"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9 676</w:t>
            </w:r>
          </w:p>
        </w:tc>
        <w:tc>
          <w:tcPr>
            <w:tcW w:w="883"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19 436</w:t>
            </w:r>
          </w:p>
        </w:tc>
        <w:tc>
          <w:tcPr>
            <w:tcW w:w="508"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50</w:t>
            </w:r>
          </w:p>
        </w:tc>
      </w:tr>
      <w:tr w:rsidR="00BB67AF" w:rsidRPr="00A120C4" w:rsidTr="0042339E">
        <w:tc>
          <w:tcPr>
            <w:tcW w:w="32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Interest revenue</w:t>
            </w:r>
          </w:p>
        </w:tc>
        <w:tc>
          <w:tcPr>
            <w:tcW w:w="78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462</w:t>
            </w:r>
          </w:p>
        </w:tc>
        <w:tc>
          <w:tcPr>
            <w:tcW w:w="85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308</w:t>
            </w:r>
          </w:p>
        </w:tc>
        <w:tc>
          <w:tcPr>
            <w:tcW w:w="82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608</w:t>
            </w:r>
          </w:p>
        </w:tc>
        <w:tc>
          <w:tcPr>
            <w:tcW w:w="54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51</w:t>
            </w:r>
          </w:p>
        </w:tc>
        <w:tc>
          <w:tcPr>
            <w:tcW w:w="11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405</w:t>
            </w:r>
          </w:p>
        </w:tc>
        <w:tc>
          <w:tcPr>
            <w:tcW w:w="857"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394</w:t>
            </w:r>
          </w:p>
        </w:tc>
        <w:tc>
          <w:tcPr>
            <w:tcW w:w="883"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806</w:t>
            </w:r>
          </w:p>
        </w:tc>
        <w:tc>
          <w:tcPr>
            <w:tcW w:w="508"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49</w:t>
            </w:r>
          </w:p>
        </w:tc>
      </w:tr>
      <w:tr w:rsidR="00BB67AF" w:rsidRPr="00A120C4" w:rsidTr="0042339E">
        <w:tc>
          <w:tcPr>
            <w:tcW w:w="32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Dividends and income tax equivalent and rate equivalent revenue</w:t>
            </w:r>
          </w:p>
        </w:tc>
        <w:tc>
          <w:tcPr>
            <w:tcW w:w="78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502</w:t>
            </w:r>
          </w:p>
        </w:tc>
        <w:tc>
          <w:tcPr>
            <w:tcW w:w="85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766</w:t>
            </w:r>
          </w:p>
        </w:tc>
        <w:tc>
          <w:tcPr>
            <w:tcW w:w="82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520</w:t>
            </w:r>
          </w:p>
        </w:tc>
        <w:tc>
          <w:tcPr>
            <w:tcW w:w="54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147</w:t>
            </w:r>
          </w:p>
        </w:tc>
        <w:tc>
          <w:tcPr>
            <w:tcW w:w="11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667</w:t>
            </w:r>
          </w:p>
        </w:tc>
        <w:tc>
          <w:tcPr>
            <w:tcW w:w="857"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451</w:t>
            </w:r>
          </w:p>
        </w:tc>
        <w:tc>
          <w:tcPr>
            <w:tcW w:w="883"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1 121</w:t>
            </w:r>
          </w:p>
        </w:tc>
        <w:tc>
          <w:tcPr>
            <w:tcW w:w="508"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40</w:t>
            </w:r>
          </w:p>
        </w:tc>
      </w:tr>
      <w:tr w:rsidR="00BB67AF" w:rsidRPr="00A120C4" w:rsidTr="0042339E">
        <w:tc>
          <w:tcPr>
            <w:tcW w:w="32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Sales of goods and services</w:t>
            </w:r>
          </w:p>
        </w:tc>
        <w:tc>
          <w:tcPr>
            <w:tcW w:w="78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6 854</w:t>
            </w:r>
          </w:p>
        </w:tc>
        <w:tc>
          <w:tcPr>
            <w:tcW w:w="85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7 017</w:t>
            </w:r>
          </w:p>
        </w:tc>
        <w:tc>
          <w:tcPr>
            <w:tcW w:w="82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14 248</w:t>
            </w:r>
          </w:p>
        </w:tc>
        <w:tc>
          <w:tcPr>
            <w:tcW w:w="54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49</w:t>
            </w:r>
          </w:p>
        </w:tc>
        <w:tc>
          <w:tcPr>
            <w:tcW w:w="11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3 332</w:t>
            </w:r>
          </w:p>
        </w:tc>
        <w:tc>
          <w:tcPr>
            <w:tcW w:w="857"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3 332</w:t>
            </w:r>
          </w:p>
        </w:tc>
        <w:tc>
          <w:tcPr>
            <w:tcW w:w="883"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6 809</w:t>
            </w:r>
          </w:p>
        </w:tc>
        <w:tc>
          <w:tcPr>
            <w:tcW w:w="508"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49</w:t>
            </w:r>
          </w:p>
        </w:tc>
      </w:tr>
      <w:tr w:rsidR="00BB67AF" w:rsidRPr="00A120C4" w:rsidTr="0042339E">
        <w:tc>
          <w:tcPr>
            <w:tcW w:w="32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Grant revenue</w:t>
            </w:r>
          </w:p>
        </w:tc>
        <w:tc>
          <w:tcPr>
            <w:tcW w:w="78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11 664</w:t>
            </w:r>
          </w:p>
        </w:tc>
        <w:tc>
          <w:tcPr>
            <w:tcW w:w="85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12 258</w:t>
            </w:r>
          </w:p>
        </w:tc>
        <w:tc>
          <w:tcPr>
            <w:tcW w:w="82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25 317</w:t>
            </w:r>
          </w:p>
        </w:tc>
        <w:tc>
          <w:tcPr>
            <w:tcW w:w="54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48</w:t>
            </w:r>
          </w:p>
        </w:tc>
        <w:tc>
          <w:tcPr>
            <w:tcW w:w="11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11 722</w:t>
            </w:r>
          </w:p>
        </w:tc>
        <w:tc>
          <w:tcPr>
            <w:tcW w:w="857"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12 301</w:t>
            </w:r>
          </w:p>
        </w:tc>
        <w:tc>
          <w:tcPr>
            <w:tcW w:w="883"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25 455</w:t>
            </w:r>
          </w:p>
        </w:tc>
        <w:tc>
          <w:tcPr>
            <w:tcW w:w="508"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48</w:t>
            </w:r>
          </w:p>
        </w:tc>
      </w:tr>
      <w:tr w:rsidR="00BB67AF" w:rsidRPr="00A120C4" w:rsidTr="0042339E">
        <w:tc>
          <w:tcPr>
            <w:tcW w:w="3261"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Other revenue</w:t>
            </w:r>
          </w:p>
        </w:tc>
        <w:tc>
          <w:tcPr>
            <w:tcW w:w="780"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1 415</w:t>
            </w:r>
          </w:p>
        </w:tc>
        <w:tc>
          <w:tcPr>
            <w:tcW w:w="854"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2 065</w:t>
            </w:r>
          </w:p>
        </w:tc>
        <w:tc>
          <w:tcPr>
            <w:tcW w:w="828"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2 924</w:t>
            </w:r>
          </w:p>
        </w:tc>
        <w:tc>
          <w:tcPr>
            <w:tcW w:w="545"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71</w:t>
            </w:r>
          </w:p>
        </w:tc>
        <w:tc>
          <w:tcPr>
            <w:tcW w:w="1132"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1 155</w:t>
            </w:r>
          </w:p>
        </w:tc>
        <w:tc>
          <w:tcPr>
            <w:tcW w:w="857"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1 726</w:t>
            </w:r>
          </w:p>
        </w:tc>
        <w:tc>
          <w:tcPr>
            <w:tcW w:w="883"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2 440</w:t>
            </w:r>
          </w:p>
        </w:tc>
        <w:tc>
          <w:tcPr>
            <w:tcW w:w="508" w:type="dxa"/>
            <w:gridSpan w:val="2"/>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71</w:t>
            </w:r>
          </w:p>
        </w:tc>
      </w:tr>
      <w:tr w:rsidR="00BB67AF" w:rsidRPr="00A120C4" w:rsidTr="0042339E">
        <w:tc>
          <w:tcPr>
            <w:tcW w:w="3261"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Total revenue from transactions</w:t>
            </w:r>
          </w:p>
        </w:tc>
        <w:tc>
          <w:tcPr>
            <w:tcW w:w="780"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29 452</w:t>
            </w:r>
          </w:p>
        </w:tc>
        <w:tc>
          <w:tcPr>
            <w:tcW w:w="854"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31 857</w:t>
            </w:r>
          </w:p>
        </w:tc>
        <w:tc>
          <w:tcPr>
            <w:tcW w:w="828"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62 606</w:t>
            </w:r>
          </w:p>
        </w:tc>
        <w:tc>
          <w:tcPr>
            <w:tcW w:w="545"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51</w:t>
            </w:r>
          </w:p>
        </w:tc>
        <w:tc>
          <w:tcPr>
            <w:tcW w:w="1132"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26 045</w:t>
            </w:r>
          </w:p>
        </w:tc>
        <w:tc>
          <w:tcPr>
            <w:tcW w:w="857"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27 880</w:t>
            </w:r>
          </w:p>
        </w:tc>
        <w:tc>
          <w:tcPr>
            <w:tcW w:w="883"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56 066</w:t>
            </w:r>
          </w:p>
        </w:tc>
        <w:tc>
          <w:tcPr>
            <w:tcW w:w="508" w:type="dxa"/>
            <w:gridSpan w:val="2"/>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50</w:t>
            </w:r>
          </w:p>
        </w:tc>
      </w:tr>
      <w:tr w:rsidR="00BB67AF" w:rsidRPr="00A120C4" w:rsidTr="0042339E">
        <w:tc>
          <w:tcPr>
            <w:tcW w:w="32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Expenses from transactions</w:t>
            </w:r>
          </w:p>
        </w:tc>
        <w:tc>
          <w:tcPr>
            <w:tcW w:w="78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c>
          <w:tcPr>
            <w:tcW w:w="85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c>
          <w:tcPr>
            <w:tcW w:w="82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c>
          <w:tcPr>
            <w:tcW w:w="54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c>
          <w:tcPr>
            <w:tcW w:w="11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c>
          <w:tcPr>
            <w:tcW w:w="857"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c>
          <w:tcPr>
            <w:tcW w:w="883"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c>
          <w:tcPr>
            <w:tcW w:w="508"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r>
      <w:tr w:rsidR="00BB67AF" w:rsidRPr="00A120C4" w:rsidTr="0042339E">
        <w:tc>
          <w:tcPr>
            <w:tcW w:w="32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Employee expenses</w:t>
            </w:r>
          </w:p>
        </w:tc>
        <w:tc>
          <w:tcPr>
            <w:tcW w:w="78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9 803</w:t>
            </w:r>
          </w:p>
        </w:tc>
        <w:tc>
          <w:tcPr>
            <w:tcW w:w="85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10 261</w:t>
            </w:r>
          </w:p>
        </w:tc>
        <w:tc>
          <w:tcPr>
            <w:tcW w:w="82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21 116</w:t>
            </w:r>
          </w:p>
        </w:tc>
        <w:tc>
          <w:tcPr>
            <w:tcW w:w="54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49</w:t>
            </w:r>
          </w:p>
        </w:tc>
        <w:tc>
          <w:tcPr>
            <w:tcW w:w="11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9 319</w:t>
            </w:r>
          </w:p>
        </w:tc>
        <w:tc>
          <w:tcPr>
            <w:tcW w:w="857"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9 765</w:t>
            </w:r>
          </w:p>
        </w:tc>
        <w:tc>
          <w:tcPr>
            <w:tcW w:w="883"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20 069</w:t>
            </w:r>
          </w:p>
        </w:tc>
        <w:tc>
          <w:tcPr>
            <w:tcW w:w="508"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49</w:t>
            </w:r>
          </w:p>
        </w:tc>
      </w:tr>
      <w:tr w:rsidR="00BB67AF" w:rsidRPr="00A120C4" w:rsidTr="0042339E">
        <w:tc>
          <w:tcPr>
            <w:tcW w:w="32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Net superannuation interest expense</w:t>
            </w:r>
          </w:p>
        </w:tc>
        <w:tc>
          <w:tcPr>
            <w:tcW w:w="78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512</w:t>
            </w:r>
          </w:p>
        </w:tc>
        <w:tc>
          <w:tcPr>
            <w:tcW w:w="85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441</w:t>
            </w:r>
          </w:p>
        </w:tc>
        <w:tc>
          <w:tcPr>
            <w:tcW w:w="82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878</w:t>
            </w:r>
          </w:p>
        </w:tc>
        <w:tc>
          <w:tcPr>
            <w:tcW w:w="54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50</w:t>
            </w:r>
          </w:p>
        </w:tc>
        <w:tc>
          <w:tcPr>
            <w:tcW w:w="11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512</w:t>
            </w:r>
          </w:p>
        </w:tc>
        <w:tc>
          <w:tcPr>
            <w:tcW w:w="857"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441</w:t>
            </w:r>
          </w:p>
        </w:tc>
        <w:tc>
          <w:tcPr>
            <w:tcW w:w="883"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878</w:t>
            </w:r>
          </w:p>
        </w:tc>
        <w:tc>
          <w:tcPr>
            <w:tcW w:w="508"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50</w:t>
            </w:r>
          </w:p>
        </w:tc>
      </w:tr>
      <w:tr w:rsidR="00BB67AF" w:rsidRPr="00A120C4" w:rsidTr="0042339E">
        <w:tc>
          <w:tcPr>
            <w:tcW w:w="32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Other superannuation</w:t>
            </w:r>
          </w:p>
        </w:tc>
        <w:tc>
          <w:tcPr>
            <w:tcW w:w="78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1 094</w:t>
            </w:r>
          </w:p>
        </w:tc>
        <w:tc>
          <w:tcPr>
            <w:tcW w:w="85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1 223</w:t>
            </w:r>
          </w:p>
        </w:tc>
        <w:tc>
          <w:tcPr>
            <w:tcW w:w="82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2 167</w:t>
            </w:r>
          </w:p>
        </w:tc>
        <w:tc>
          <w:tcPr>
            <w:tcW w:w="54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56</w:t>
            </w:r>
          </w:p>
        </w:tc>
        <w:tc>
          <w:tcPr>
            <w:tcW w:w="11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1 035</w:t>
            </w:r>
          </w:p>
        </w:tc>
        <w:tc>
          <w:tcPr>
            <w:tcW w:w="857"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1 160</w:t>
            </w:r>
          </w:p>
        </w:tc>
        <w:tc>
          <w:tcPr>
            <w:tcW w:w="883"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2 049</w:t>
            </w:r>
          </w:p>
        </w:tc>
        <w:tc>
          <w:tcPr>
            <w:tcW w:w="508"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57</w:t>
            </w:r>
          </w:p>
        </w:tc>
      </w:tr>
      <w:tr w:rsidR="00BB67AF" w:rsidRPr="00A120C4" w:rsidTr="0042339E">
        <w:tc>
          <w:tcPr>
            <w:tcW w:w="32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Depreciation</w:t>
            </w:r>
          </w:p>
        </w:tc>
        <w:tc>
          <w:tcPr>
            <w:tcW w:w="78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2 198</w:t>
            </w:r>
          </w:p>
        </w:tc>
        <w:tc>
          <w:tcPr>
            <w:tcW w:w="85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2 322</w:t>
            </w:r>
          </w:p>
        </w:tc>
        <w:tc>
          <w:tcPr>
            <w:tcW w:w="82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4 681</w:t>
            </w:r>
          </w:p>
        </w:tc>
        <w:tc>
          <w:tcPr>
            <w:tcW w:w="54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50</w:t>
            </w:r>
          </w:p>
        </w:tc>
        <w:tc>
          <w:tcPr>
            <w:tcW w:w="11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1 198</w:t>
            </w:r>
          </w:p>
        </w:tc>
        <w:tc>
          <w:tcPr>
            <w:tcW w:w="857"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1 200</w:t>
            </w:r>
          </w:p>
        </w:tc>
        <w:tc>
          <w:tcPr>
            <w:tcW w:w="883"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2 510</w:t>
            </w:r>
          </w:p>
        </w:tc>
        <w:tc>
          <w:tcPr>
            <w:tcW w:w="508"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48</w:t>
            </w:r>
          </w:p>
        </w:tc>
      </w:tr>
      <w:tr w:rsidR="00BB67AF" w:rsidRPr="00A120C4" w:rsidTr="0042339E">
        <w:tc>
          <w:tcPr>
            <w:tcW w:w="32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Interest expense</w:t>
            </w:r>
          </w:p>
        </w:tc>
        <w:tc>
          <w:tcPr>
            <w:tcW w:w="78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1 424</w:t>
            </w:r>
          </w:p>
        </w:tc>
        <w:tc>
          <w:tcPr>
            <w:tcW w:w="85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1 356</w:t>
            </w:r>
          </w:p>
        </w:tc>
        <w:tc>
          <w:tcPr>
            <w:tcW w:w="82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2 816</w:t>
            </w:r>
          </w:p>
        </w:tc>
        <w:tc>
          <w:tcPr>
            <w:tcW w:w="54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48</w:t>
            </w:r>
          </w:p>
        </w:tc>
        <w:tc>
          <w:tcPr>
            <w:tcW w:w="11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1 048</w:t>
            </w:r>
          </w:p>
        </w:tc>
        <w:tc>
          <w:tcPr>
            <w:tcW w:w="857"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1 034</w:t>
            </w:r>
          </w:p>
        </w:tc>
        <w:tc>
          <w:tcPr>
            <w:tcW w:w="883"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2 132</w:t>
            </w:r>
          </w:p>
        </w:tc>
        <w:tc>
          <w:tcPr>
            <w:tcW w:w="508"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48</w:t>
            </w:r>
          </w:p>
        </w:tc>
      </w:tr>
      <w:tr w:rsidR="00BB67AF" w:rsidRPr="00A120C4" w:rsidTr="0042339E">
        <w:tc>
          <w:tcPr>
            <w:tcW w:w="32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Grant expense</w:t>
            </w:r>
          </w:p>
        </w:tc>
        <w:tc>
          <w:tcPr>
            <w:tcW w:w="78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2 721</w:t>
            </w:r>
          </w:p>
        </w:tc>
        <w:tc>
          <w:tcPr>
            <w:tcW w:w="85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2 841</w:t>
            </w:r>
          </w:p>
        </w:tc>
        <w:tc>
          <w:tcPr>
            <w:tcW w:w="82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5 511</w:t>
            </w:r>
          </w:p>
        </w:tc>
        <w:tc>
          <w:tcPr>
            <w:tcW w:w="54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52</w:t>
            </w:r>
          </w:p>
        </w:tc>
        <w:tc>
          <w:tcPr>
            <w:tcW w:w="11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4 130</w:t>
            </w:r>
          </w:p>
        </w:tc>
        <w:tc>
          <w:tcPr>
            <w:tcW w:w="857"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4 315</w:t>
            </w:r>
          </w:p>
        </w:tc>
        <w:tc>
          <w:tcPr>
            <w:tcW w:w="883"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8 446</w:t>
            </w:r>
          </w:p>
        </w:tc>
        <w:tc>
          <w:tcPr>
            <w:tcW w:w="508"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51</w:t>
            </w:r>
          </w:p>
        </w:tc>
      </w:tr>
      <w:tr w:rsidR="00BB67AF" w:rsidRPr="00A120C4" w:rsidTr="0042339E">
        <w:tc>
          <w:tcPr>
            <w:tcW w:w="3261"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Other operating expenses</w:t>
            </w:r>
          </w:p>
        </w:tc>
        <w:tc>
          <w:tcPr>
            <w:tcW w:w="780"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12 090</w:t>
            </w:r>
          </w:p>
        </w:tc>
        <w:tc>
          <w:tcPr>
            <w:tcW w:w="854"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12 267</w:t>
            </w:r>
          </w:p>
        </w:tc>
        <w:tc>
          <w:tcPr>
            <w:tcW w:w="828"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26 602</w:t>
            </w:r>
          </w:p>
        </w:tc>
        <w:tc>
          <w:tcPr>
            <w:tcW w:w="545"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46</w:t>
            </w:r>
          </w:p>
        </w:tc>
        <w:tc>
          <w:tcPr>
            <w:tcW w:w="1132"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8 340</w:t>
            </w:r>
          </w:p>
        </w:tc>
        <w:tc>
          <w:tcPr>
            <w:tcW w:w="857"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8 457</w:t>
            </w:r>
          </w:p>
        </w:tc>
        <w:tc>
          <w:tcPr>
            <w:tcW w:w="883"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18 271</w:t>
            </w:r>
          </w:p>
        </w:tc>
        <w:tc>
          <w:tcPr>
            <w:tcW w:w="508" w:type="dxa"/>
            <w:gridSpan w:val="2"/>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46</w:t>
            </w:r>
          </w:p>
        </w:tc>
      </w:tr>
      <w:tr w:rsidR="00BB67AF" w:rsidRPr="00A120C4" w:rsidTr="0042339E">
        <w:tc>
          <w:tcPr>
            <w:tcW w:w="3261"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Total expenses from transactions</w:t>
            </w:r>
          </w:p>
        </w:tc>
        <w:tc>
          <w:tcPr>
            <w:tcW w:w="780"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29 841</w:t>
            </w:r>
          </w:p>
        </w:tc>
        <w:tc>
          <w:tcPr>
            <w:tcW w:w="854"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30 711</w:t>
            </w:r>
          </w:p>
        </w:tc>
        <w:tc>
          <w:tcPr>
            <w:tcW w:w="828"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63 770</w:t>
            </w:r>
          </w:p>
        </w:tc>
        <w:tc>
          <w:tcPr>
            <w:tcW w:w="545"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48</w:t>
            </w:r>
          </w:p>
        </w:tc>
        <w:tc>
          <w:tcPr>
            <w:tcW w:w="1132"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25 581</w:t>
            </w:r>
          </w:p>
        </w:tc>
        <w:tc>
          <w:tcPr>
            <w:tcW w:w="857"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26 373</w:t>
            </w:r>
          </w:p>
        </w:tc>
        <w:tc>
          <w:tcPr>
            <w:tcW w:w="883"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54 355</w:t>
            </w:r>
          </w:p>
        </w:tc>
        <w:tc>
          <w:tcPr>
            <w:tcW w:w="508" w:type="dxa"/>
            <w:gridSpan w:val="2"/>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49</w:t>
            </w:r>
          </w:p>
        </w:tc>
      </w:tr>
      <w:tr w:rsidR="00BB67AF" w:rsidRPr="00A120C4" w:rsidTr="0042339E">
        <w:tc>
          <w:tcPr>
            <w:tcW w:w="3261"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Net result from transactions – net operating balance</w:t>
            </w:r>
          </w:p>
        </w:tc>
        <w:tc>
          <w:tcPr>
            <w:tcW w:w="780"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(389)</w:t>
            </w:r>
          </w:p>
        </w:tc>
        <w:tc>
          <w:tcPr>
            <w:tcW w:w="854"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1 146</w:t>
            </w:r>
          </w:p>
        </w:tc>
        <w:tc>
          <w:tcPr>
            <w:tcW w:w="828"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(1 164)</w:t>
            </w:r>
          </w:p>
        </w:tc>
        <w:tc>
          <w:tcPr>
            <w:tcW w:w="545"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(98)</w:t>
            </w:r>
          </w:p>
        </w:tc>
        <w:tc>
          <w:tcPr>
            <w:tcW w:w="1132"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463</w:t>
            </w:r>
          </w:p>
        </w:tc>
        <w:tc>
          <w:tcPr>
            <w:tcW w:w="857"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1 507</w:t>
            </w:r>
          </w:p>
        </w:tc>
        <w:tc>
          <w:tcPr>
            <w:tcW w:w="883"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1 712</w:t>
            </w:r>
          </w:p>
        </w:tc>
        <w:tc>
          <w:tcPr>
            <w:tcW w:w="508" w:type="dxa"/>
            <w:gridSpan w:val="2"/>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88</w:t>
            </w:r>
          </w:p>
        </w:tc>
      </w:tr>
      <w:tr w:rsidR="00BB67AF" w:rsidRPr="00A120C4" w:rsidTr="0042339E">
        <w:tc>
          <w:tcPr>
            <w:tcW w:w="3261" w:type="dxa"/>
            <w:tcBorders>
              <w:top w:val="single" w:sz="12"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Total other economic flows included in net result</w:t>
            </w:r>
          </w:p>
        </w:tc>
        <w:tc>
          <w:tcPr>
            <w:tcW w:w="780" w:type="dxa"/>
            <w:tcBorders>
              <w:top w:val="single" w:sz="12"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(1 390)</w:t>
            </w:r>
          </w:p>
        </w:tc>
        <w:tc>
          <w:tcPr>
            <w:tcW w:w="854" w:type="dxa"/>
            <w:tcBorders>
              <w:top w:val="single" w:sz="12"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(604)</w:t>
            </w:r>
          </w:p>
        </w:tc>
        <w:tc>
          <w:tcPr>
            <w:tcW w:w="828" w:type="dxa"/>
            <w:tcBorders>
              <w:top w:val="single" w:sz="12"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3 357</w:t>
            </w:r>
          </w:p>
        </w:tc>
        <w:tc>
          <w:tcPr>
            <w:tcW w:w="545" w:type="dxa"/>
            <w:tcBorders>
              <w:top w:val="single" w:sz="12"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(18)</w:t>
            </w:r>
          </w:p>
        </w:tc>
        <w:tc>
          <w:tcPr>
            <w:tcW w:w="1132" w:type="dxa"/>
            <w:tcBorders>
              <w:top w:val="single" w:sz="12"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(273)</w:t>
            </w:r>
          </w:p>
        </w:tc>
        <w:tc>
          <w:tcPr>
            <w:tcW w:w="857" w:type="dxa"/>
            <w:tcBorders>
              <w:top w:val="single" w:sz="12"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(267)</w:t>
            </w:r>
          </w:p>
        </w:tc>
        <w:tc>
          <w:tcPr>
            <w:tcW w:w="883" w:type="dxa"/>
            <w:tcBorders>
              <w:top w:val="single" w:sz="12"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3 479</w:t>
            </w:r>
          </w:p>
        </w:tc>
        <w:tc>
          <w:tcPr>
            <w:tcW w:w="508" w:type="dxa"/>
            <w:gridSpan w:val="2"/>
            <w:tcBorders>
              <w:top w:val="single" w:sz="12"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(8)</w:t>
            </w:r>
          </w:p>
        </w:tc>
      </w:tr>
      <w:tr w:rsidR="00BB67AF" w:rsidRPr="00A120C4" w:rsidTr="0042339E">
        <w:tc>
          <w:tcPr>
            <w:tcW w:w="3261"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Net result</w:t>
            </w:r>
          </w:p>
        </w:tc>
        <w:tc>
          <w:tcPr>
            <w:tcW w:w="780"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(1 779)</w:t>
            </w:r>
          </w:p>
        </w:tc>
        <w:tc>
          <w:tcPr>
            <w:tcW w:w="854"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542</w:t>
            </w:r>
          </w:p>
        </w:tc>
        <w:tc>
          <w:tcPr>
            <w:tcW w:w="828"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2 193</w:t>
            </w:r>
          </w:p>
        </w:tc>
        <w:tc>
          <w:tcPr>
            <w:tcW w:w="545"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25</w:t>
            </w:r>
          </w:p>
        </w:tc>
        <w:tc>
          <w:tcPr>
            <w:tcW w:w="1132"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191</w:t>
            </w:r>
          </w:p>
        </w:tc>
        <w:tc>
          <w:tcPr>
            <w:tcW w:w="857"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1 239</w:t>
            </w:r>
          </w:p>
        </w:tc>
        <w:tc>
          <w:tcPr>
            <w:tcW w:w="883"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5 191</w:t>
            </w:r>
          </w:p>
        </w:tc>
        <w:tc>
          <w:tcPr>
            <w:tcW w:w="508" w:type="dxa"/>
            <w:gridSpan w:val="2"/>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24</w:t>
            </w:r>
          </w:p>
        </w:tc>
      </w:tr>
      <w:tr w:rsidR="00BB67AF" w:rsidRPr="00A120C4" w:rsidTr="0042339E">
        <w:tc>
          <w:tcPr>
            <w:tcW w:w="3261" w:type="dxa"/>
            <w:tcBorders>
              <w:top w:val="single" w:sz="12"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Total other economic flows – other comprehensive income</w:t>
            </w:r>
          </w:p>
        </w:tc>
        <w:tc>
          <w:tcPr>
            <w:tcW w:w="780" w:type="dxa"/>
            <w:tcBorders>
              <w:top w:val="single" w:sz="12"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(2 473)</w:t>
            </w:r>
          </w:p>
        </w:tc>
        <w:tc>
          <w:tcPr>
            <w:tcW w:w="854" w:type="dxa"/>
            <w:tcBorders>
              <w:top w:val="single" w:sz="12"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(763)</w:t>
            </w:r>
          </w:p>
        </w:tc>
        <w:tc>
          <w:tcPr>
            <w:tcW w:w="828" w:type="dxa"/>
            <w:tcBorders>
              <w:top w:val="single" w:sz="12"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438</w:t>
            </w:r>
          </w:p>
        </w:tc>
        <w:tc>
          <w:tcPr>
            <w:tcW w:w="545" w:type="dxa"/>
            <w:tcBorders>
              <w:top w:val="single" w:sz="12"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(174)</w:t>
            </w:r>
          </w:p>
        </w:tc>
        <w:tc>
          <w:tcPr>
            <w:tcW w:w="1132" w:type="dxa"/>
            <w:tcBorders>
              <w:top w:val="single" w:sz="12"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(2 444)</w:t>
            </w:r>
          </w:p>
        </w:tc>
        <w:tc>
          <w:tcPr>
            <w:tcW w:w="857" w:type="dxa"/>
            <w:tcBorders>
              <w:top w:val="single" w:sz="12"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(993)</w:t>
            </w:r>
          </w:p>
        </w:tc>
        <w:tc>
          <w:tcPr>
            <w:tcW w:w="883" w:type="dxa"/>
            <w:tcBorders>
              <w:top w:val="single" w:sz="12"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(874)</w:t>
            </w:r>
          </w:p>
        </w:tc>
        <w:tc>
          <w:tcPr>
            <w:tcW w:w="508" w:type="dxa"/>
            <w:gridSpan w:val="2"/>
            <w:tcBorders>
              <w:top w:val="single" w:sz="12"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114</w:t>
            </w:r>
          </w:p>
        </w:tc>
      </w:tr>
      <w:tr w:rsidR="00BB67AF" w:rsidRPr="00A120C4" w:rsidTr="0042339E">
        <w:tc>
          <w:tcPr>
            <w:tcW w:w="3261" w:type="dxa"/>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Comprehensive result – total change in net worth</w:t>
            </w:r>
          </w:p>
        </w:tc>
        <w:tc>
          <w:tcPr>
            <w:tcW w:w="780" w:type="dxa"/>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(4 253)</w:t>
            </w:r>
          </w:p>
        </w:tc>
        <w:tc>
          <w:tcPr>
            <w:tcW w:w="854" w:type="dxa"/>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(221)</w:t>
            </w:r>
          </w:p>
        </w:tc>
        <w:tc>
          <w:tcPr>
            <w:tcW w:w="828" w:type="dxa"/>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2 631</w:t>
            </w:r>
          </w:p>
        </w:tc>
        <w:tc>
          <w:tcPr>
            <w:tcW w:w="545" w:type="dxa"/>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(8)</w:t>
            </w:r>
          </w:p>
        </w:tc>
        <w:tc>
          <w:tcPr>
            <w:tcW w:w="1132" w:type="dxa"/>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(2 253)</w:t>
            </w:r>
          </w:p>
        </w:tc>
        <w:tc>
          <w:tcPr>
            <w:tcW w:w="857" w:type="dxa"/>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246</w:t>
            </w:r>
          </w:p>
        </w:tc>
        <w:tc>
          <w:tcPr>
            <w:tcW w:w="883" w:type="dxa"/>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4 317</w:t>
            </w:r>
          </w:p>
        </w:tc>
        <w:tc>
          <w:tcPr>
            <w:tcW w:w="508" w:type="dxa"/>
            <w:gridSpan w:val="2"/>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6</w:t>
            </w:r>
          </w:p>
        </w:tc>
      </w:tr>
    </w:tbl>
    <w:p w:rsidR="00BB67AF" w:rsidRDefault="00BB67AF" w:rsidP="003E6750">
      <w:pPr>
        <w:pStyle w:val="Notes"/>
      </w:pPr>
      <w:r>
        <w:t>Notes:</w:t>
      </w:r>
    </w:p>
    <w:p w:rsidR="00BB67AF" w:rsidRDefault="00BB67AF" w:rsidP="003E6750">
      <w:pPr>
        <w:pStyle w:val="Notes"/>
      </w:pPr>
      <w:r>
        <w:t xml:space="preserve">(a) </w:t>
      </w:r>
      <w:r>
        <w:tab/>
        <w:t>This is an abbreviated statement. The full consolidated and disaggregated operating statement is reported in Chapter 2.</w:t>
      </w:r>
    </w:p>
    <w:p w:rsidR="00BB67AF" w:rsidRDefault="00BB67AF" w:rsidP="003E6750">
      <w:pPr>
        <w:pStyle w:val="Notes"/>
      </w:pPr>
      <w:r>
        <w:t>(b)</w:t>
      </w:r>
      <w:r>
        <w:tab/>
        <w:t>Certain December 2014 comparative figures have been restated to reflect more current information.</w:t>
      </w:r>
    </w:p>
    <w:p w:rsidR="00BB67AF" w:rsidRDefault="00BB67AF" w:rsidP="003E6750">
      <w:pPr>
        <w:pStyle w:val="Notes"/>
      </w:pPr>
      <w:r>
        <w:t>(c)</w:t>
      </w:r>
      <w:r>
        <w:tab/>
        <w:t xml:space="preserve">The percentage represents the 2015-16 actual to December as a percentage of the revised estimate presented in the </w:t>
      </w:r>
      <w:r w:rsidR="00F7426B">
        <w:br/>
      </w:r>
      <w:r w:rsidRPr="00962B1B">
        <w:rPr>
          <w:i w:val="0"/>
        </w:rPr>
        <w:t>2015</w:t>
      </w:r>
      <w:r w:rsidRPr="00962B1B">
        <w:rPr>
          <w:i w:val="0"/>
        </w:rPr>
        <w:noBreakHyphen/>
        <w:t>16 Budget Update</w:t>
      </w:r>
      <w:r>
        <w:t>.</w:t>
      </w:r>
    </w:p>
    <w:p w:rsidR="00BB67AF" w:rsidRDefault="00BB67AF">
      <w:pPr>
        <w:spacing w:after="0"/>
      </w:pPr>
    </w:p>
    <w:p w:rsidR="00BB67AF" w:rsidRDefault="00BB67AF" w:rsidP="003E6750">
      <w:pPr>
        <w:pStyle w:val="Heading2"/>
      </w:pPr>
      <w:r>
        <w:lastRenderedPageBreak/>
        <w:t>General government sector</w:t>
      </w:r>
    </w:p>
    <w:p w:rsidR="00BB67AF" w:rsidRDefault="00BB67AF" w:rsidP="003E6750">
      <w:pPr>
        <w:pStyle w:val="Heading3"/>
      </w:pPr>
      <w:r>
        <w:t>Revenue</w:t>
      </w:r>
    </w:p>
    <w:p w:rsidR="00BB67AF" w:rsidRDefault="00BB67AF" w:rsidP="003E6750">
      <w:r w:rsidRPr="004D6A1B">
        <w:t>Revenue for the six months ended 31 December 2015 totalled $27.9 billion. This represented 50 per cent of the revised budget estimate.</w:t>
      </w:r>
      <w:r>
        <w:t xml:space="preserve"> </w:t>
      </w:r>
    </w:p>
    <w:p w:rsidR="00BB67AF" w:rsidRDefault="00BB67AF" w:rsidP="003E6750">
      <w:r>
        <w:t>Total taxation revenue was $9.7 billion, or 50 per cent of the expected total for the year. Taxation revenue is influenced by seasonal factors such as the recognition of land tax revenue in the March quarter and the recognition of the Fire Services Property Levy in the first quarter of the financial year. Aside from these timing factors, revenues from land transfer duties have been strong for the first half of the year, reflecting a $509 million increase compared to the same time last year. This is due to the current strength in the property market cycle and a higher level of property transactions compared to the same time last year. However, property market cycles are volatile and can turn quickly, which can place downwards pressure on future revenues.</w:t>
      </w:r>
    </w:p>
    <w:p w:rsidR="00BB67AF" w:rsidRDefault="00BB67AF" w:rsidP="003E6750">
      <w:r>
        <w:t xml:space="preserve">Grant revenue for the first half year was $12.3 billion or 48 per cent of the revised budget estimate. This is slightly below the pro rata revised budget estimate due to some Commonwealth grant revenue expected to be received in the second half of the year. It was $579 million higher compared to same period in the previous year. This increase is mainly attributable to growth in general purpose grant revenue (GST grants) from the Commonwealth Government. </w:t>
      </w:r>
    </w:p>
    <w:p w:rsidR="00BB67AF" w:rsidRDefault="00BB67AF" w:rsidP="003E6750">
      <w:r>
        <w:t xml:space="preserve">Dividends and income tax equivalent revenue for the half year was 40 per cent of the revised budget estimate which primarily reflects the timing of dividends from the PFC sector. </w:t>
      </w:r>
    </w:p>
    <w:p w:rsidR="00BB67AF" w:rsidRDefault="00BB67AF" w:rsidP="003E6750">
      <w:r>
        <w:t>Revenue from the sale of goods and services for the half year was $3.3 billion, or 49 per cent of the revised budget estimate and is in line with expectations for this time of year.</w:t>
      </w:r>
    </w:p>
    <w:p w:rsidR="00BB67AF" w:rsidRDefault="00BB67AF" w:rsidP="003E6750">
      <w:r w:rsidRPr="004D6A1B">
        <w:t>The other sources of general government revenue represent a relatively small component of total revenue and are higher than budget expectations. This is mainly attributable to the High Court of Australia’s decision to overturn the Court of Appeal’s previous decision relating to Tatts’ ‘Gambling Licenses</w:t>
      </w:r>
      <w:r w:rsidR="0042339E">
        <w:t>’</w:t>
      </w:r>
      <w:r w:rsidRPr="004D6A1B">
        <w:t xml:space="preserve"> proceedings, which resulted in an one-off additional $540.5 million of revenue plus interest.</w:t>
      </w:r>
    </w:p>
    <w:p w:rsidR="00BB67AF" w:rsidRDefault="00BB67AF" w:rsidP="003E6750">
      <w:pPr>
        <w:pStyle w:val="Heading3"/>
      </w:pPr>
      <w:r>
        <w:t>Expenses</w:t>
      </w:r>
    </w:p>
    <w:p w:rsidR="00BB67AF" w:rsidRDefault="00BB67AF" w:rsidP="003E6750">
      <w:r>
        <w:t>Total expenses were $26.4 billion, or 49 per cent of the revised budget estimate.</w:t>
      </w:r>
    </w:p>
    <w:p w:rsidR="00BB67AF" w:rsidRDefault="00BB67AF" w:rsidP="003E6750">
      <w:r>
        <w:t xml:space="preserve">Employee expenses for the first half of the year was $9.8 billion, consistent with the pro rata revised budget estimate. The $446 million increase compared to the previous year reflects an increased investment in the delivery of education and health services and price growth in line with the Government’s wages policy. </w:t>
      </w:r>
    </w:p>
    <w:p w:rsidR="00BB67AF" w:rsidRDefault="00BB67AF" w:rsidP="003E6750">
      <w:r>
        <w:t xml:space="preserve">Other operating expenses were $8.5 billion or 46 per cent of the revised budget estimate. This is lower than pro rata due to the timing of expenditure on supplies and consumables, where the majority of these operating expenses is expected in the second half of the year. </w:t>
      </w:r>
    </w:p>
    <w:p w:rsidR="00BB67AF" w:rsidRDefault="00BB67AF" w:rsidP="003E6750">
      <w:r>
        <w:t>All other categories of general government operating expenses were generally in line with the pro rata revised budget estimates.</w:t>
      </w:r>
    </w:p>
    <w:p w:rsidR="00BB67AF" w:rsidRDefault="00BB67AF">
      <w:pPr>
        <w:spacing w:after="0"/>
        <w:rPr>
          <w:rFonts w:ascii="Calibri" w:hAnsi="Calibri"/>
          <w:b/>
          <w:kern w:val="28"/>
          <w:sz w:val="28"/>
          <w:szCs w:val="22"/>
        </w:rPr>
      </w:pPr>
      <w:r>
        <w:br w:type="page"/>
      </w:r>
    </w:p>
    <w:p w:rsidR="00BB67AF" w:rsidRDefault="00BB67AF" w:rsidP="003E6750">
      <w:pPr>
        <w:pStyle w:val="Heading2"/>
      </w:pPr>
      <w:r>
        <w:lastRenderedPageBreak/>
        <w:t>State of Victoria</w:t>
      </w:r>
    </w:p>
    <w:p w:rsidR="00BB67AF" w:rsidRDefault="00BB67AF" w:rsidP="003E6750">
      <w:pPr>
        <w:pStyle w:val="Heading3"/>
      </w:pPr>
      <w:r>
        <w:t>Revenue</w:t>
      </w:r>
    </w:p>
    <w:p w:rsidR="00BB67AF" w:rsidRPr="004D6A1B" w:rsidRDefault="00BB67AF" w:rsidP="003E6750">
      <w:r w:rsidRPr="004D6A1B">
        <w:t>Total revenue for the State was $31.9 billion, of which $27.9 billion was reflected in the general government sector. The balance is explained below, noting that not all transactions in the PNFC and PFC sectors will affect the overall State outcome.</w:t>
      </w:r>
    </w:p>
    <w:p w:rsidR="00BB67AF" w:rsidRDefault="00BB67AF" w:rsidP="003E6750">
      <w:r w:rsidRPr="004D6A1B">
        <w:t>Total revenue for the State was 8.2 per cent higher than the corresponding period in 2014</w:t>
      </w:r>
      <w:r w:rsidRPr="004D6A1B">
        <w:noBreakHyphen/>
        <w:t>15. Within the PNFC sector, revenue increased by 5.8 per cent to $4.8 billion mainly due to a 4.4 per cent increase in the sale of goods and services. Water corporations recording strong revenue growth, with an</w:t>
      </w:r>
      <w:r>
        <w:t xml:space="preserve"> increase in water usage associated with relatively warm and dry climatic conditions, and continued strength in residential land developer activity contributed towards this increase.</w:t>
      </w:r>
    </w:p>
    <w:p w:rsidR="00BB67AF" w:rsidRDefault="00BB67AF" w:rsidP="003E6750">
      <w:r>
        <w:t>The PFC sector recorded a 5.5 per cent or $207 million increase in revenue to $3.9 billion compared to 2014</w:t>
      </w:r>
      <w:r>
        <w:noBreakHyphen/>
        <w:t>15. The key driver of this variance is a $120 million increase in the sale of goods and services revenue resulting from small increases in premium revenue collected by the State’s insurance agencies driven by growth in registered motor vehicles, state-wide remuneration growth and inflation.</w:t>
      </w:r>
    </w:p>
    <w:p w:rsidR="00BB67AF" w:rsidRDefault="00BB67AF" w:rsidP="003E6750">
      <w:pPr>
        <w:pStyle w:val="Heading3"/>
      </w:pPr>
      <w:r>
        <w:t>Expenses</w:t>
      </w:r>
    </w:p>
    <w:p w:rsidR="00BB67AF" w:rsidRDefault="00BB67AF" w:rsidP="003E6750">
      <w:r>
        <w:t>Total expenses for the State increased by 2.9 per cent to $30.7 billion for the six months to 31 D</w:t>
      </w:r>
      <w:r w:rsidR="00B742C7">
        <w:t xml:space="preserve">ecember </w:t>
      </w:r>
      <w:r>
        <w:t xml:space="preserve">2015. Of this, $26.4 billion was incurred by the general government sector as previously highlighted. </w:t>
      </w:r>
    </w:p>
    <w:p w:rsidR="00BB67AF" w:rsidRDefault="00BB67AF" w:rsidP="003E6750">
      <w:r>
        <w:t>Within the PNFC sector, total expenses increased by 4.9 per cent to $4.8 billion compared with the corresponding six month period to 31 December 2014. This increase was mainly due to an increase in depreciation expenses, reflecting continuing capital investment and asset revaluation.</w:t>
      </w:r>
    </w:p>
    <w:p w:rsidR="00BB67AF" w:rsidRDefault="00BB67AF" w:rsidP="003E6750">
      <w:r>
        <w:t>Within the PFC sector, total expenses to 31 December 2015 has increased by only 0.5 per cent to $4.0 billion compared to December 2014.</w:t>
      </w:r>
    </w:p>
    <w:p w:rsidR="00BB67AF" w:rsidRPr="00413F6D" w:rsidRDefault="00BB67AF" w:rsidP="003E6750">
      <w:pPr>
        <w:rPr>
          <w:rFonts w:ascii="Calibri" w:hAnsi="Calibri"/>
          <w:b/>
          <w:i/>
          <w:kern w:val="28"/>
          <w:sz w:val="26"/>
          <w:szCs w:val="22"/>
        </w:rPr>
      </w:pPr>
      <w:r w:rsidRPr="00413F6D">
        <w:rPr>
          <w:rFonts w:ascii="Calibri" w:hAnsi="Calibri"/>
          <w:b/>
          <w:i/>
          <w:kern w:val="28"/>
          <w:sz w:val="26"/>
          <w:szCs w:val="22"/>
        </w:rPr>
        <w:t>Other economic flows and net result</w:t>
      </w:r>
    </w:p>
    <w:p w:rsidR="00BB67AF" w:rsidRDefault="00BB67AF" w:rsidP="003E6750">
      <w:r>
        <w:t>In addition to the net result from transactions, there are a number of other economic flows included in the net result. These include a number of accounting and actuarial revaluations which impact on the valuation of assets and liabilities, comprising:</w:t>
      </w:r>
    </w:p>
    <w:p w:rsidR="00BB67AF" w:rsidRDefault="00BB67AF" w:rsidP="003E6750">
      <w:pPr>
        <w:pStyle w:val="BulletText"/>
        <w:numPr>
          <w:ilvl w:val="0"/>
          <w:numId w:val="25"/>
        </w:numPr>
      </w:pPr>
      <w:r>
        <w:t xml:space="preserve">general government sector other economic flows totalling $267 million, primarily due to movements in provisions for doubtful receivables; and </w:t>
      </w:r>
    </w:p>
    <w:p w:rsidR="00BB67AF" w:rsidRDefault="00BB67AF" w:rsidP="003E6750">
      <w:pPr>
        <w:pStyle w:val="BulletText"/>
        <w:numPr>
          <w:ilvl w:val="0"/>
          <w:numId w:val="25"/>
        </w:numPr>
      </w:pPr>
      <w:r>
        <w:t>whole of State other economic flows totalling $604 million, primarily due to increases in the valuation of financial liabilities due to a fall in interest rates and changes in actuarial assumptions used to value these liabilities.</w:t>
      </w:r>
    </w:p>
    <w:p w:rsidR="00BB67AF" w:rsidRDefault="00BB67AF">
      <w:pPr>
        <w:spacing w:after="0"/>
      </w:pPr>
      <w:r>
        <w:br w:type="page"/>
      </w:r>
    </w:p>
    <w:p w:rsidR="00BB67AF" w:rsidRPr="00C36C4E" w:rsidRDefault="00BB67AF" w:rsidP="003E6750">
      <w:pPr>
        <w:pStyle w:val="Heading1"/>
      </w:pPr>
      <w:bookmarkStart w:id="4" w:name="_Toc445283145"/>
      <w:r w:rsidRPr="00C36C4E">
        <w:lastRenderedPageBreak/>
        <w:t>Financial Position</w:t>
      </w:r>
      <w:bookmarkEnd w:id="4"/>
    </w:p>
    <w:p w:rsidR="00BB67AF" w:rsidRDefault="00BB67AF" w:rsidP="003E6750">
      <w:r>
        <w:t>Comparative analysis on the financial position of the State and general government sector is based on movements between 30 June 2015 and 31 December 2015.</w:t>
      </w:r>
    </w:p>
    <w:p w:rsidR="00BB67AF" w:rsidRDefault="00BB67AF" w:rsidP="003E6750">
      <w:pPr>
        <w:pStyle w:val="Tableheading"/>
        <w:rPr>
          <w:vertAlign w:val="superscript"/>
        </w:rPr>
      </w:pPr>
      <w:r>
        <w:t>Table 1.2:</w:t>
      </w:r>
      <w:r>
        <w:tab/>
        <w:t>Summary balance sheet as at 31 December 2015</w:t>
      </w:r>
      <w:r w:rsidRPr="00EF09D9">
        <w:rPr>
          <w:vertAlign w:val="superscript"/>
        </w:rPr>
        <w:t>(a)</w:t>
      </w:r>
    </w:p>
    <w:p w:rsidR="00BB67AF" w:rsidRPr="00510164" w:rsidRDefault="00BB67AF" w:rsidP="003E6750">
      <w:pPr>
        <w:pStyle w:val="million"/>
        <w:rPr>
          <w:b/>
          <w:bCs/>
          <w:sz w:val="25"/>
          <w:lang w:val="en-US"/>
        </w:rPr>
      </w:pPr>
      <w:r>
        <w:t>($ million)</w:t>
      </w:r>
    </w:p>
    <w:tbl>
      <w:tblPr>
        <w:tblW w:w="9639" w:type="dxa"/>
        <w:tblInd w:w="45" w:type="dxa"/>
        <w:tblLayout w:type="fixed"/>
        <w:tblCellMar>
          <w:left w:w="45" w:type="dxa"/>
          <w:right w:w="45" w:type="dxa"/>
        </w:tblCellMar>
        <w:tblLook w:val="0000" w:firstRow="0" w:lastRow="0" w:firstColumn="0" w:lastColumn="0" w:noHBand="0" w:noVBand="0"/>
      </w:tblPr>
      <w:tblGrid>
        <w:gridCol w:w="2408"/>
        <w:gridCol w:w="1202"/>
        <w:gridCol w:w="1208"/>
        <w:gridCol w:w="1208"/>
        <w:gridCol w:w="1208"/>
        <w:gridCol w:w="1208"/>
        <w:gridCol w:w="1197"/>
      </w:tblGrid>
      <w:tr w:rsidR="00B742C7" w:rsidRPr="00A120C4" w:rsidTr="00BA1D5C">
        <w:trPr>
          <w:tblHeader/>
        </w:trPr>
        <w:tc>
          <w:tcPr>
            <w:tcW w:w="2408" w:type="dxa"/>
            <w:tcBorders>
              <w:top w:val="nil"/>
              <w:left w:val="nil"/>
              <w:bottom w:val="nil"/>
              <w:right w:val="nil"/>
            </w:tcBorders>
            <w:shd w:val="solid" w:color="000000" w:fill="auto"/>
            <w:vAlign w:val="bottom"/>
          </w:tcPr>
          <w:p w:rsidR="00B742C7" w:rsidRPr="00A120C4" w:rsidRDefault="00B742C7" w:rsidP="003E6750">
            <w:pPr>
              <w:pStyle w:val="Tableheading"/>
              <w:spacing w:before="0" w:after="0"/>
              <w:jc w:val="center"/>
              <w:rPr>
                <w:rFonts w:eastAsiaTheme="minorEastAsia" w:cs="Calibri"/>
                <w:i/>
                <w:iCs/>
                <w:color w:val="FFFFFF"/>
                <w:sz w:val="19"/>
                <w:szCs w:val="19"/>
                <w:lang w:eastAsia="en-AU"/>
              </w:rPr>
            </w:pPr>
            <w:r w:rsidRPr="00A120C4">
              <w:rPr>
                <w:rFonts w:eastAsiaTheme="minorEastAsia" w:cs="Calibri"/>
                <w:i/>
                <w:iCs/>
                <w:color w:val="FFFFFF"/>
                <w:sz w:val="19"/>
                <w:szCs w:val="19"/>
                <w:lang w:eastAsia="en-AU"/>
              </w:rPr>
              <w:t xml:space="preserve"> </w:t>
            </w:r>
          </w:p>
        </w:tc>
        <w:tc>
          <w:tcPr>
            <w:tcW w:w="3618" w:type="dxa"/>
            <w:gridSpan w:val="3"/>
            <w:tcBorders>
              <w:top w:val="nil"/>
              <w:left w:val="nil"/>
              <w:bottom w:val="nil"/>
              <w:right w:val="nil"/>
            </w:tcBorders>
            <w:shd w:val="solid" w:color="000000" w:fill="auto"/>
            <w:vAlign w:val="bottom"/>
          </w:tcPr>
          <w:p w:rsidR="00B742C7" w:rsidRPr="00A120C4" w:rsidRDefault="00B742C7" w:rsidP="00B742C7">
            <w:pPr>
              <w:autoSpaceDE w:val="0"/>
              <w:autoSpaceDN w:val="0"/>
              <w:adjustRightInd w:val="0"/>
              <w:spacing w:after="0"/>
              <w:jc w:val="center"/>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State of Victoria</w:t>
            </w:r>
          </w:p>
        </w:tc>
        <w:tc>
          <w:tcPr>
            <w:tcW w:w="3613" w:type="dxa"/>
            <w:gridSpan w:val="3"/>
            <w:tcBorders>
              <w:top w:val="nil"/>
              <w:left w:val="nil"/>
              <w:bottom w:val="nil"/>
              <w:right w:val="nil"/>
            </w:tcBorders>
            <w:shd w:val="solid" w:color="000000" w:fill="auto"/>
            <w:vAlign w:val="bottom"/>
          </w:tcPr>
          <w:p w:rsidR="00B742C7" w:rsidRPr="00A120C4" w:rsidRDefault="00B742C7" w:rsidP="00B742C7">
            <w:pPr>
              <w:autoSpaceDE w:val="0"/>
              <w:autoSpaceDN w:val="0"/>
              <w:adjustRightInd w:val="0"/>
              <w:spacing w:after="0"/>
              <w:jc w:val="center"/>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General government sector</w:t>
            </w:r>
          </w:p>
        </w:tc>
      </w:tr>
      <w:tr w:rsidR="00B742C7" w:rsidRPr="00A120C4" w:rsidTr="00BA1D5C">
        <w:trPr>
          <w:trHeight w:val="464"/>
          <w:tblHeader/>
        </w:trPr>
        <w:tc>
          <w:tcPr>
            <w:tcW w:w="2408" w:type="dxa"/>
            <w:tcBorders>
              <w:top w:val="nil"/>
              <w:left w:val="nil"/>
              <w:right w:val="nil"/>
            </w:tcBorders>
            <w:shd w:val="solid" w:color="000000" w:fill="auto"/>
            <w:vAlign w:val="bottom"/>
          </w:tcPr>
          <w:p w:rsidR="00B742C7" w:rsidRPr="00A120C4" w:rsidRDefault="00B742C7" w:rsidP="003E6750">
            <w:pPr>
              <w:autoSpaceDE w:val="0"/>
              <w:autoSpaceDN w:val="0"/>
              <w:adjustRightInd w:val="0"/>
              <w:spacing w:after="0"/>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 xml:space="preserve"> </w:t>
            </w:r>
          </w:p>
          <w:p w:rsidR="00B742C7" w:rsidRPr="00A120C4" w:rsidRDefault="00B742C7" w:rsidP="003E6750">
            <w:pPr>
              <w:autoSpaceDE w:val="0"/>
              <w:autoSpaceDN w:val="0"/>
              <w:adjustRightInd w:val="0"/>
              <w:spacing w:after="0"/>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 xml:space="preserve"> </w:t>
            </w:r>
          </w:p>
        </w:tc>
        <w:tc>
          <w:tcPr>
            <w:tcW w:w="1202" w:type="dxa"/>
            <w:tcBorders>
              <w:top w:val="nil"/>
              <w:left w:val="nil"/>
              <w:right w:val="nil"/>
            </w:tcBorders>
            <w:shd w:val="solid" w:color="000000" w:fill="auto"/>
            <w:vAlign w:val="bottom"/>
          </w:tcPr>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Jun</w:t>
            </w:r>
          </w:p>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2015</w:t>
            </w:r>
          </w:p>
        </w:tc>
        <w:tc>
          <w:tcPr>
            <w:tcW w:w="1208" w:type="dxa"/>
            <w:tcBorders>
              <w:top w:val="nil"/>
              <w:left w:val="nil"/>
              <w:right w:val="nil"/>
            </w:tcBorders>
            <w:shd w:val="solid" w:color="000000" w:fill="auto"/>
            <w:vAlign w:val="bottom"/>
          </w:tcPr>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Dec</w:t>
            </w:r>
          </w:p>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2015</w:t>
            </w:r>
          </w:p>
        </w:tc>
        <w:tc>
          <w:tcPr>
            <w:tcW w:w="1208" w:type="dxa"/>
            <w:tcBorders>
              <w:top w:val="nil"/>
              <w:left w:val="nil"/>
              <w:right w:val="nil"/>
            </w:tcBorders>
            <w:shd w:val="solid" w:color="000000" w:fill="auto"/>
            <w:vAlign w:val="bottom"/>
          </w:tcPr>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Actual</w:t>
            </w:r>
          </w:p>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movement</w:t>
            </w:r>
          </w:p>
        </w:tc>
        <w:tc>
          <w:tcPr>
            <w:tcW w:w="1208" w:type="dxa"/>
            <w:tcBorders>
              <w:top w:val="nil"/>
              <w:left w:val="nil"/>
              <w:right w:val="nil"/>
            </w:tcBorders>
            <w:shd w:val="solid" w:color="000000" w:fill="auto"/>
            <w:vAlign w:val="bottom"/>
          </w:tcPr>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Jun</w:t>
            </w:r>
          </w:p>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2015</w:t>
            </w:r>
          </w:p>
        </w:tc>
        <w:tc>
          <w:tcPr>
            <w:tcW w:w="1208" w:type="dxa"/>
            <w:tcBorders>
              <w:top w:val="nil"/>
              <w:left w:val="nil"/>
              <w:right w:val="nil"/>
            </w:tcBorders>
            <w:shd w:val="solid" w:color="000000" w:fill="auto"/>
            <w:vAlign w:val="bottom"/>
          </w:tcPr>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Dec</w:t>
            </w:r>
          </w:p>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2015</w:t>
            </w:r>
          </w:p>
        </w:tc>
        <w:tc>
          <w:tcPr>
            <w:tcW w:w="1197" w:type="dxa"/>
            <w:tcBorders>
              <w:top w:val="nil"/>
              <w:left w:val="nil"/>
              <w:right w:val="nil"/>
            </w:tcBorders>
            <w:shd w:val="solid" w:color="000000" w:fill="auto"/>
            <w:vAlign w:val="bottom"/>
          </w:tcPr>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Actual</w:t>
            </w:r>
          </w:p>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movement</w:t>
            </w:r>
          </w:p>
        </w:tc>
      </w:tr>
      <w:tr w:rsidR="00BB67AF" w:rsidRPr="00A120C4" w:rsidTr="00BA1D5C">
        <w:tc>
          <w:tcPr>
            <w:tcW w:w="2408"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Assets</w:t>
            </w:r>
          </w:p>
        </w:tc>
        <w:tc>
          <w:tcPr>
            <w:tcW w:w="120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 xml:space="preserve"> </w:t>
            </w:r>
          </w:p>
        </w:tc>
        <w:tc>
          <w:tcPr>
            <w:tcW w:w="120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 xml:space="preserve"> </w:t>
            </w:r>
          </w:p>
        </w:tc>
        <w:tc>
          <w:tcPr>
            <w:tcW w:w="120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 xml:space="preserve"> </w:t>
            </w:r>
          </w:p>
        </w:tc>
        <w:tc>
          <w:tcPr>
            <w:tcW w:w="120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 xml:space="preserve"> </w:t>
            </w:r>
          </w:p>
        </w:tc>
        <w:tc>
          <w:tcPr>
            <w:tcW w:w="120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 xml:space="preserve"> </w:t>
            </w:r>
          </w:p>
        </w:tc>
        <w:tc>
          <w:tcPr>
            <w:tcW w:w="1197"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 xml:space="preserve"> </w:t>
            </w:r>
          </w:p>
        </w:tc>
      </w:tr>
      <w:tr w:rsidR="00BB67AF" w:rsidRPr="00A120C4" w:rsidTr="00BA1D5C">
        <w:tc>
          <w:tcPr>
            <w:tcW w:w="2408"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color w:val="000000"/>
                <w:sz w:val="19"/>
                <w:szCs w:val="19"/>
                <w:vertAlign w:val="superscript"/>
                <w:lang w:eastAsia="en-AU"/>
              </w:rPr>
            </w:pPr>
            <w:r w:rsidRPr="00A120C4">
              <w:rPr>
                <w:rFonts w:ascii="Calibri" w:eastAsiaTheme="minorEastAsia" w:hAnsi="Calibri" w:cs="Arial"/>
                <w:color w:val="000000"/>
                <w:sz w:val="19"/>
                <w:szCs w:val="19"/>
                <w:lang w:eastAsia="en-AU"/>
              </w:rPr>
              <w:t xml:space="preserve">Non-financial assets </w:t>
            </w:r>
            <w:r w:rsidRPr="00A120C4">
              <w:rPr>
                <w:rFonts w:ascii="Calibri" w:eastAsiaTheme="minorEastAsia" w:hAnsi="Calibri" w:cs="Arial"/>
                <w:color w:val="000000"/>
                <w:sz w:val="19"/>
                <w:szCs w:val="19"/>
                <w:vertAlign w:val="superscript"/>
                <w:lang w:eastAsia="en-AU"/>
              </w:rPr>
              <w:t>(b)</w:t>
            </w:r>
          </w:p>
        </w:tc>
        <w:tc>
          <w:tcPr>
            <w:tcW w:w="120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209 991</w:t>
            </w:r>
          </w:p>
        </w:tc>
        <w:tc>
          <w:tcPr>
            <w:tcW w:w="120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210 644</w:t>
            </w:r>
          </w:p>
        </w:tc>
        <w:tc>
          <w:tcPr>
            <w:tcW w:w="120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653</w:t>
            </w:r>
          </w:p>
        </w:tc>
        <w:tc>
          <w:tcPr>
            <w:tcW w:w="120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108 920</w:t>
            </w:r>
          </w:p>
        </w:tc>
        <w:tc>
          <w:tcPr>
            <w:tcW w:w="120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109 265</w:t>
            </w:r>
          </w:p>
        </w:tc>
        <w:tc>
          <w:tcPr>
            <w:tcW w:w="1197"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344</w:t>
            </w:r>
          </w:p>
        </w:tc>
      </w:tr>
      <w:tr w:rsidR="00BB67AF" w:rsidRPr="00A120C4" w:rsidTr="00BA1D5C">
        <w:tc>
          <w:tcPr>
            <w:tcW w:w="2408"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Financial assets</w:t>
            </w:r>
          </w:p>
        </w:tc>
        <w:tc>
          <w:tcPr>
            <w:tcW w:w="1202"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49 770</w:t>
            </w:r>
          </w:p>
        </w:tc>
        <w:tc>
          <w:tcPr>
            <w:tcW w:w="1208"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51 134</w:t>
            </w:r>
          </w:p>
        </w:tc>
        <w:tc>
          <w:tcPr>
            <w:tcW w:w="1208"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 xml:space="preserve">1 </w:t>
            </w:r>
            <w:r w:rsidRPr="00A120C4">
              <w:rPr>
                <w:rFonts w:ascii="Calibri" w:eastAsiaTheme="minorEastAsia" w:hAnsi="Calibri" w:cs="Calibri"/>
                <w:color w:val="000000"/>
                <w:sz w:val="19"/>
                <w:szCs w:val="19"/>
                <w:lang w:eastAsia="en-AU"/>
              </w:rPr>
              <w:t>364</w:t>
            </w:r>
          </w:p>
        </w:tc>
        <w:tc>
          <w:tcPr>
            <w:tcW w:w="1208"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100 040</w:t>
            </w:r>
          </w:p>
        </w:tc>
        <w:tc>
          <w:tcPr>
            <w:tcW w:w="1208"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100 566</w:t>
            </w:r>
          </w:p>
        </w:tc>
        <w:tc>
          <w:tcPr>
            <w:tcW w:w="1197"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525</w:t>
            </w:r>
          </w:p>
        </w:tc>
      </w:tr>
      <w:tr w:rsidR="00BB67AF" w:rsidRPr="00A120C4" w:rsidTr="00BA1D5C">
        <w:tc>
          <w:tcPr>
            <w:tcW w:w="2408"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b/>
                <w:bCs/>
                <w:color w:val="000000"/>
                <w:sz w:val="19"/>
                <w:szCs w:val="19"/>
                <w:vertAlign w:val="superscript"/>
                <w:lang w:eastAsia="en-AU"/>
              </w:rPr>
            </w:pPr>
            <w:r w:rsidRPr="00A120C4">
              <w:rPr>
                <w:rFonts w:ascii="Calibri" w:eastAsiaTheme="minorEastAsia" w:hAnsi="Calibri" w:cs="Arial"/>
                <w:b/>
                <w:bCs/>
                <w:color w:val="000000"/>
                <w:sz w:val="19"/>
                <w:szCs w:val="19"/>
                <w:lang w:eastAsia="en-AU"/>
              </w:rPr>
              <w:t xml:space="preserve">Total assets </w:t>
            </w:r>
            <w:r w:rsidRPr="00A120C4">
              <w:rPr>
                <w:rFonts w:ascii="Calibri" w:eastAsiaTheme="minorEastAsia" w:hAnsi="Calibri" w:cs="Arial"/>
                <w:b/>
                <w:bCs/>
                <w:color w:val="000000"/>
                <w:sz w:val="19"/>
                <w:szCs w:val="19"/>
                <w:vertAlign w:val="superscript"/>
                <w:lang w:eastAsia="en-AU"/>
              </w:rPr>
              <w:t>(b)</w:t>
            </w:r>
          </w:p>
        </w:tc>
        <w:tc>
          <w:tcPr>
            <w:tcW w:w="1202"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259 760</w:t>
            </w:r>
          </w:p>
        </w:tc>
        <w:tc>
          <w:tcPr>
            <w:tcW w:w="1208"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261 778</w:t>
            </w:r>
          </w:p>
        </w:tc>
        <w:tc>
          <w:tcPr>
            <w:tcW w:w="1208"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2 018</w:t>
            </w:r>
          </w:p>
        </w:tc>
        <w:tc>
          <w:tcPr>
            <w:tcW w:w="1208"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208 960</w:t>
            </w:r>
          </w:p>
        </w:tc>
        <w:tc>
          <w:tcPr>
            <w:tcW w:w="1208"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209 830</w:t>
            </w:r>
          </w:p>
        </w:tc>
        <w:tc>
          <w:tcPr>
            <w:tcW w:w="1197"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b/>
                <w:bCs/>
                <w:color w:val="000000"/>
                <w:sz w:val="19"/>
                <w:szCs w:val="19"/>
                <w:lang w:eastAsia="en-AU"/>
              </w:rPr>
              <w:t>870</w:t>
            </w:r>
          </w:p>
        </w:tc>
      </w:tr>
      <w:tr w:rsidR="00BB67AF" w:rsidRPr="00A120C4" w:rsidTr="00BA1D5C">
        <w:tc>
          <w:tcPr>
            <w:tcW w:w="2408"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Liabilities</w:t>
            </w:r>
          </w:p>
        </w:tc>
        <w:tc>
          <w:tcPr>
            <w:tcW w:w="120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 xml:space="preserve"> </w:t>
            </w:r>
          </w:p>
        </w:tc>
        <w:tc>
          <w:tcPr>
            <w:tcW w:w="120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 xml:space="preserve"> </w:t>
            </w:r>
          </w:p>
        </w:tc>
        <w:tc>
          <w:tcPr>
            <w:tcW w:w="120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 xml:space="preserve"> </w:t>
            </w:r>
          </w:p>
        </w:tc>
        <w:tc>
          <w:tcPr>
            <w:tcW w:w="120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 xml:space="preserve"> </w:t>
            </w:r>
          </w:p>
        </w:tc>
        <w:tc>
          <w:tcPr>
            <w:tcW w:w="120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 xml:space="preserve"> </w:t>
            </w:r>
          </w:p>
        </w:tc>
        <w:tc>
          <w:tcPr>
            <w:tcW w:w="1197"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 xml:space="preserve"> </w:t>
            </w:r>
          </w:p>
        </w:tc>
      </w:tr>
      <w:tr w:rsidR="00BB67AF" w:rsidRPr="00A120C4" w:rsidTr="00BA1D5C">
        <w:tc>
          <w:tcPr>
            <w:tcW w:w="2408"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Superannuation</w:t>
            </w:r>
          </w:p>
        </w:tc>
        <w:tc>
          <w:tcPr>
            <w:tcW w:w="120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25 988</w:t>
            </w:r>
          </w:p>
        </w:tc>
        <w:tc>
          <w:tcPr>
            <w:tcW w:w="120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26 762</w:t>
            </w:r>
          </w:p>
        </w:tc>
        <w:tc>
          <w:tcPr>
            <w:tcW w:w="120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773</w:t>
            </w:r>
          </w:p>
        </w:tc>
        <w:tc>
          <w:tcPr>
            <w:tcW w:w="120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25 947</w:t>
            </w:r>
          </w:p>
        </w:tc>
        <w:tc>
          <w:tcPr>
            <w:tcW w:w="120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26 722</w:t>
            </w:r>
          </w:p>
        </w:tc>
        <w:tc>
          <w:tcPr>
            <w:tcW w:w="1197"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775</w:t>
            </w:r>
          </w:p>
        </w:tc>
      </w:tr>
      <w:tr w:rsidR="00BB67AF" w:rsidRPr="00A120C4" w:rsidTr="00BA1D5C">
        <w:tc>
          <w:tcPr>
            <w:tcW w:w="2408"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Borrowings</w:t>
            </w:r>
          </w:p>
        </w:tc>
        <w:tc>
          <w:tcPr>
            <w:tcW w:w="120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51 688</w:t>
            </w:r>
          </w:p>
        </w:tc>
        <w:tc>
          <w:tcPr>
            <w:tcW w:w="120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51 593</w:t>
            </w:r>
          </w:p>
        </w:tc>
        <w:tc>
          <w:tcPr>
            <w:tcW w:w="120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(94)</w:t>
            </w:r>
          </w:p>
        </w:tc>
        <w:tc>
          <w:tcPr>
            <w:tcW w:w="120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34 069</w:t>
            </w:r>
          </w:p>
        </w:tc>
        <w:tc>
          <w:tcPr>
            <w:tcW w:w="1208"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34 301</w:t>
            </w:r>
          </w:p>
        </w:tc>
        <w:tc>
          <w:tcPr>
            <w:tcW w:w="1197"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232</w:t>
            </w:r>
          </w:p>
        </w:tc>
      </w:tr>
      <w:tr w:rsidR="00BB67AF" w:rsidRPr="00A120C4" w:rsidTr="00BA1D5C">
        <w:tc>
          <w:tcPr>
            <w:tcW w:w="2408"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Other liabilities</w:t>
            </w:r>
          </w:p>
        </w:tc>
        <w:tc>
          <w:tcPr>
            <w:tcW w:w="1202"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42 200</w:t>
            </w:r>
          </w:p>
        </w:tc>
        <w:tc>
          <w:tcPr>
            <w:tcW w:w="1208"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43 759</w:t>
            </w:r>
          </w:p>
        </w:tc>
        <w:tc>
          <w:tcPr>
            <w:tcW w:w="1208"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1 560</w:t>
            </w:r>
          </w:p>
        </w:tc>
        <w:tc>
          <w:tcPr>
            <w:tcW w:w="1208"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12 635</w:t>
            </w:r>
          </w:p>
        </w:tc>
        <w:tc>
          <w:tcPr>
            <w:tcW w:w="1208"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12 250</w:t>
            </w:r>
          </w:p>
        </w:tc>
        <w:tc>
          <w:tcPr>
            <w:tcW w:w="1197"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(384)</w:t>
            </w:r>
          </w:p>
        </w:tc>
      </w:tr>
      <w:tr w:rsidR="00BB67AF" w:rsidRPr="00A120C4" w:rsidTr="00BA1D5C">
        <w:tc>
          <w:tcPr>
            <w:tcW w:w="2408"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Total liabilities</w:t>
            </w:r>
          </w:p>
        </w:tc>
        <w:tc>
          <w:tcPr>
            <w:tcW w:w="1202"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119 876</w:t>
            </w:r>
          </w:p>
        </w:tc>
        <w:tc>
          <w:tcPr>
            <w:tcW w:w="1208"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122 114</w:t>
            </w:r>
          </w:p>
        </w:tc>
        <w:tc>
          <w:tcPr>
            <w:tcW w:w="1208"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2 239</w:t>
            </w:r>
          </w:p>
        </w:tc>
        <w:tc>
          <w:tcPr>
            <w:tcW w:w="1208"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72 650</w:t>
            </w:r>
          </w:p>
        </w:tc>
        <w:tc>
          <w:tcPr>
            <w:tcW w:w="1208"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73 274</w:t>
            </w:r>
          </w:p>
        </w:tc>
        <w:tc>
          <w:tcPr>
            <w:tcW w:w="1197"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b/>
                <w:bCs/>
                <w:color w:val="000000"/>
                <w:sz w:val="19"/>
                <w:szCs w:val="19"/>
                <w:lang w:eastAsia="en-AU"/>
              </w:rPr>
              <w:t>623</w:t>
            </w:r>
          </w:p>
        </w:tc>
      </w:tr>
      <w:tr w:rsidR="00BB67AF" w:rsidRPr="00A120C4" w:rsidTr="00BA1D5C">
        <w:tc>
          <w:tcPr>
            <w:tcW w:w="2408" w:type="dxa"/>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b/>
                <w:bCs/>
                <w:color w:val="000000"/>
                <w:sz w:val="19"/>
                <w:szCs w:val="19"/>
                <w:vertAlign w:val="superscript"/>
                <w:lang w:eastAsia="en-AU"/>
              </w:rPr>
            </w:pPr>
            <w:r w:rsidRPr="00A120C4">
              <w:rPr>
                <w:rFonts w:ascii="Calibri" w:eastAsiaTheme="minorEastAsia" w:hAnsi="Calibri" w:cs="Arial"/>
                <w:b/>
                <w:bCs/>
                <w:color w:val="000000"/>
                <w:sz w:val="19"/>
                <w:szCs w:val="19"/>
                <w:lang w:eastAsia="en-AU"/>
              </w:rPr>
              <w:t xml:space="preserve">Net assets </w:t>
            </w:r>
            <w:r w:rsidRPr="00A120C4">
              <w:rPr>
                <w:rFonts w:ascii="Calibri" w:eastAsiaTheme="minorEastAsia" w:hAnsi="Calibri" w:cs="Arial"/>
                <w:b/>
                <w:bCs/>
                <w:color w:val="000000"/>
                <w:sz w:val="19"/>
                <w:szCs w:val="19"/>
                <w:vertAlign w:val="superscript"/>
                <w:lang w:eastAsia="en-AU"/>
              </w:rPr>
              <w:t>(b)</w:t>
            </w:r>
          </w:p>
        </w:tc>
        <w:tc>
          <w:tcPr>
            <w:tcW w:w="1202" w:type="dxa"/>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139 885</w:t>
            </w:r>
          </w:p>
        </w:tc>
        <w:tc>
          <w:tcPr>
            <w:tcW w:w="1208" w:type="dxa"/>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139 664</w:t>
            </w:r>
          </w:p>
        </w:tc>
        <w:tc>
          <w:tcPr>
            <w:tcW w:w="1208" w:type="dxa"/>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b/>
                <w:bCs/>
                <w:color w:val="000000"/>
                <w:sz w:val="19"/>
                <w:szCs w:val="19"/>
                <w:lang w:eastAsia="en-AU"/>
              </w:rPr>
              <w:t>(221)</w:t>
            </w:r>
          </w:p>
        </w:tc>
        <w:tc>
          <w:tcPr>
            <w:tcW w:w="1208" w:type="dxa"/>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136 310</w:t>
            </w:r>
          </w:p>
        </w:tc>
        <w:tc>
          <w:tcPr>
            <w:tcW w:w="1208" w:type="dxa"/>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136 556</w:t>
            </w:r>
          </w:p>
        </w:tc>
        <w:tc>
          <w:tcPr>
            <w:tcW w:w="1197" w:type="dxa"/>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246</w:t>
            </w:r>
          </w:p>
        </w:tc>
      </w:tr>
    </w:tbl>
    <w:p w:rsidR="00BB67AF" w:rsidRDefault="00BB67AF" w:rsidP="003E6750">
      <w:pPr>
        <w:pStyle w:val="Notes"/>
      </w:pPr>
      <w:r>
        <w:t>Notes:</w:t>
      </w:r>
    </w:p>
    <w:p w:rsidR="00BB67AF" w:rsidRDefault="00BB67AF" w:rsidP="003E6750">
      <w:pPr>
        <w:pStyle w:val="Notes"/>
      </w:pPr>
      <w:r>
        <w:t>(a)</w:t>
      </w:r>
      <w:r>
        <w:tab/>
        <w:t>This is an abbreviated balance sheet statement. The full consolidated and disaggregated balance sheet is reported in Chapter 2.</w:t>
      </w:r>
    </w:p>
    <w:p w:rsidR="00BB67AF" w:rsidRDefault="00BB67AF" w:rsidP="003E6750">
      <w:pPr>
        <w:pStyle w:val="Notes"/>
      </w:pPr>
      <w:r>
        <w:t>(b)</w:t>
      </w:r>
      <w:r>
        <w:tab/>
        <w:t>The June 2015 comparative figures have been restated to reflect more current information.</w:t>
      </w:r>
    </w:p>
    <w:p w:rsidR="00BB67AF" w:rsidRDefault="00BB67AF" w:rsidP="003E6750">
      <w:pPr>
        <w:pStyle w:val="Notes"/>
      </w:pPr>
    </w:p>
    <w:p w:rsidR="00BB67AF" w:rsidRDefault="00BB67AF" w:rsidP="003E6750">
      <w:pPr>
        <w:pStyle w:val="Heading2"/>
      </w:pPr>
      <w:r>
        <w:t>State of Victoria</w:t>
      </w:r>
    </w:p>
    <w:p w:rsidR="00BB67AF" w:rsidRDefault="00BB67AF" w:rsidP="003E6750">
      <w:r w:rsidRPr="004D6A1B">
        <w:t>The reported value of net assets for the State of Victoria decreased by $221 million during the period to 31 December 2015. Total assets of the State increased by $2 billion to $261.8 billion, comprising growth in financial assets and land, buildings, infrastructure, plant and equipment. The State’s financial assets benefited from continued capital growth associated with favourable financial market conditions and the outcome from the decision by the High Court of Australia’s to overturn the Court of Appeal’s decision relati</w:t>
      </w:r>
      <w:r w:rsidR="00B742C7">
        <w:t>ng to Tatts’ ‘Gambling Licenses’</w:t>
      </w:r>
      <w:r w:rsidRPr="004D6A1B">
        <w:t xml:space="preserve"> proceedings.</w:t>
      </w:r>
      <w:r>
        <w:t xml:space="preserve"> </w:t>
      </w:r>
    </w:p>
    <w:p w:rsidR="00BB67AF" w:rsidRDefault="00BB67AF" w:rsidP="003E6750">
      <w:r>
        <w:t xml:space="preserve">Total liabilities for the State increased by $2.2 billion to $122.1 billion. Superannuation liabilities increased by $773 million and other liabilities increased by $1.6 billion. The increase in superannuation liabilities is attributable to lower than expected investment returns on superannuation assets and a decrease in the bond rates that are used to value the superannuation liability. An increase in other liabilities by $1.6 billion compared with the opening balance is attributable to the unearned income recognised by </w:t>
      </w:r>
      <w:proofErr w:type="spellStart"/>
      <w:r>
        <w:t>WorkSafe</w:t>
      </w:r>
      <w:proofErr w:type="spellEnd"/>
      <w:r>
        <w:t xml:space="preserve"> Victoria for insurance premiums received in advance</w:t>
      </w:r>
      <w:r w:rsidRPr="001F2BC8">
        <w:t xml:space="preserve"> </w:t>
      </w:r>
      <w:r>
        <w:t xml:space="preserve">(as a comparison, the balance of </w:t>
      </w:r>
      <w:proofErr w:type="spellStart"/>
      <w:r>
        <w:t>WorkSafe’s</w:t>
      </w:r>
      <w:proofErr w:type="spellEnd"/>
      <w:r>
        <w:t xml:space="preserve"> payables as at 31 December 2014 was $1.1 billion, predominantly unearned income), combined with the impact of reduced bond rates causing an increase to the claims liability. </w:t>
      </w:r>
    </w:p>
    <w:p w:rsidR="00BB67AF" w:rsidRDefault="00BB67AF">
      <w:pPr>
        <w:spacing w:after="0"/>
      </w:pPr>
      <w:r>
        <w:br w:type="page"/>
      </w:r>
    </w:p>
    <w:p w:rsidR="00BB67AF" w:rsidRDefault="00BB67AF" w:rsidP="003E6750">
      <w:pPr>
        <w:pStyle w:val="Heading1"/>
      </w:pPr>
      <w:bookmarkStart w:id="5" w:name="_Toc445283146"/>
      <w:r>
        <w:lastRenderedPageBreak/>
        <w:t>Cash flow</w:t>
      </w:r>
      <w:bookmarkEnd w:id="5"/>
    </w:p>
    <w:p w:rsidR="00BB67AF" w:rsidRDefault="00BB67AF" w:rsidP="003E6750">
      <w:r>
        <w:t xml:space="preserve">Cash flow movements disclosed in the cash flow statement were consistent with the combined impact of the previously mentioned drivers associated with the operating statement and balance sheet. </w:t>
      </w:r>
    </w:p>
    <w:p w:rsidR="00BB67AF" w:rsidRDefault="00BB67AF" w:rsidP="003E6750">
      <w:pPr>
        <w:pStyle w:val="Heading2"/>
      </w:pPr>
      <w:r>
        <w:t>Infrastructure investment</w:t>
      </w:r>
    </w:p>
    <w:p w:rsidR="00BB67AF" w:rsidRDefault="00BB67AF" w:rsidP="003E6750">
      <w:r>
        <w:t xml:space="preserve">The State continues to deliver its infrastructure program to support growing community needs and ongoing productivity improvement. For the six months to 31 December 2015, net investment in fixed assets by the State totalled $3.0 billion, in line </w:t>
      </w:r>
      <w:r w:rsidRPr="007C4140">
        <w:t>with expectations for this time of the year</w:t>
      </w:r>
      <w:r>
        <w:t>.</w:t>
      </w:r>
    </w:p>
    <w:p w:rsidR="00BB67AF" w:rsidRDefault="00BB67AF" w:rsidP="003E6750">
      <w:pPr>
        <w:pStyle w:val="HighlightBoxHeading"/>
      </w:pPr>
      <w:r>
        <w:t xml:space="preserve">Infrastructure investment to mid-year 2015-16 </w:t>
      </w:r>
    </w:p>
    <w:p w:rsidR="00BB67AF" w:rsidRDefault="00BB67AF" w:rsidP="003E6750">
      <w:pPr>
        <w:pStyle w:val="HighlightBoxText"/>
      </w:pPr>
      <w:r>
        <w:t>Major projects completed so far this year include:</w:t>
      </w:r>
    </w:p>
    <w:p w:rsidR="00BB67AF" w:rsidRDefault="00BB67AF" w:rsidP="003E6750">
      <w:pPr>
        <w:pStyle w:val="HighlightBoxBullet"/>
        <w:numPr>
          <w:ilvl w:val="0"/>
          <w:numId w:val="16"/>
        </w:numPr>
        <w:ind w:left="360"/>
      </w:pPr>
      <w:r>
        <w:t>Melbourne Wholesale Market Redevelopment.</w:t>
      </w:r>
    </w:p>
    <w:p w:rsidR="00BB67AF" w:rsidRDefault="00BB67AF" w:rsidP="003E6750">
      <w:pPr>
        <w:pStyle w:val="HighlightBoxText"/>
      </w:pPr>
      <w:r>
        <w:t>Major projects under procurement or in progress include:</w:t>
      </w:r>
    </w:p>
    <w:p w:rsidR="00BB67AF" w:rsidRDefault="00BB67AF" w:rsidP="003E6750">
      <w:pPr>
        <w:pStyle w:val="HighlightBoxBullet"/>
        <w:numPr>
          <w:ilvl w:val="0"/>
          <w:numId w:val="16"/>
        </w:numPr>
        <w:ind w:left="360"/>
      </w:pPr>
      <w:r>
        <w:t xml:space="preserve">50 Level Crossings Removal Program; </w:t>
      </w:r>
    </w:p>
    <w:p w:rsidR="00BB67AF" w:rsidRDefault="00BB67AF" w:rsidP="003E6750">
      <w:pPr>
        <w:pStyle w:val="HighlightBoxBullet"/>
        <w:numPr>
          <w:ilvl w:val="0"/>
          <w:numId w:val="16"/>
        </w:numPr>
        <w:ind w:left="360"/>
      </w:pPr>
      <w:r>
        <w:t xml:space="preserve">Bendigo Hospital; </w:t>
      </w:r>
    </w:p>
    <w:p w:rsidR="00BB67AF" w:rsidRDefault="00BB67AF" w:rsidP="003E6750">
      <w:pPr>
        <w:pStyle w:val="HighlightBoxBullet"/>
        <w:numPr>
          <w:ilvl w:val="0"/>
          <w:numId w:val="16"/>
        </w:numPr>
        <w:ind w:left="360"/>
      </w:pPr>
      <w:r>
        <w:t xml:space="preserve">Box Hill Hospital; </w:t>
      </w:r>
    </w:p>
    <w:p w:rsidR="00BB67AF" w:rsidRDefault="00BB67AF" w:rsidP="003E6750">
      <w:pPr>
        <w:pStyle w:val="HighlightBoxBullet"/>
        <w:numPr>
          <w:ilvl w:val="0"/>
          <w:numId w:val="16"/>
        </w:numPr>
        <w:ind w:left="360"/>
      </w:pPr>
      <w:proofErr w:type="spellStart"/>
      <w:r>
        <w:t>CityLink</w:t>
      </w:r>
      <w:proofErr w:type="spellEnd"/>
      <w:r>
        <w:t xml:space="preserve"> Tullamarine Freeway Widening Project – Melbourne Airport to Bulla Road;</w:t>
      </w:r>
    </w:p>
    <w:p w:rsidR="00BB67AF" w:rsidRDefault="00BB67AF" w:rsidP="003E6750">
      <w:pPr>
        <w:pStyle w:val="HighlightBoxBullet"/>
        <w:numPr>
          <w:ilvl w:val="0"/>
          <w:numId w:val="16"/>
        </w:numPr>
        <w:ind w:left="360"/>
      </w:pPr>
      <w:r>
        <w:t>Dingley Bypass;</w:t>
      </w:r>
    </w:p>
    <w:p w:rsidR="00BB67AF" w:rsidRDefault="00BB67AF" w:rsidP="003E6750">
      <w:pPr>
        <w:pStyle w:val="HighlightBoxBullet"/>
        <w:numPr>
          <w:ilvl w:val="0"/>
          <w:numId w:val="16"/>
        </w:numPr>
        <w:ind w:left="360"/>
      </w:pPr>
      <w:r>
        <w:t>Goulburn-Murray Water Connections Project (Northern Victoria Irrigation Renewal Project);</w:t>
      </w:r>
    </w:p>
    <w:p w:rsidR="00BB67AF" w:rsidRDefault="00BB67AF" w:rsidP="003E6750">
      <w:pPr>
        <w:pStyle w:val="HighlightBoxBullet"/>
        <w:numPr>
          <w:ilvl w:val="0"/>
          <w:numId w:val="16"/>
        </w:numPr>
        <w:ind w:left="360"/>
      </w:pPr>
      <w:r>
        <w:t>Monash Children’s Hospital;</w:t>
      </w:r>
    </w:p>
    <w:p w:rsidR="00BB67AF" w:rsidRDefault="00BB67AF" w:rsidP="003E6750">
      <w:pPr>
        <w:pStyle w:val="HighlightBoxBullet"/>
        <w:numPr>
          <w:ilvl w:val="0"/>
          <w:numId w:val="16"/>
        </w:numPr>
        <w:ind w:left="360"/>
      </w:pPr>
      <w:r>
        <w:t>Murray Basin Rail Project;</w:t>
      </w:r>
    </w:p>
    <w:p w:rsidR="00BB67AF" w:rsidRDefault="00BB67AF" w:rsidP="003E6750">
      <w:pPr>
        <w:pStyle w:val="HighlightBoxBullet"/>
        <w:numPr>
          <w:ilvl w:val="0"/>
          <w:numId w:val="16"/>
        </w:numPr>
        <w:ind w:left="360"/>
      </w:pPr>
      <w:r>
        <w:t>new schools public private partnership (PPP);</w:t>
      </w:r>
    </w:p>
    <w:p w:rsidR="00BB67AF" w:rsidRDefault="00BB67AF" w:rsidP="003E6750">
      <w:pPr>
        <w:pStyle w:val="HighlightBoxBullet"/>
        <w:numPr>
          <w:ilvl w:val="0"/>
          <w:numId w:val="16"/>
        </w:numPr>
        <w:ind w:left="360"/>
      </w:pPr>
      <w:r>
        <w:t>new trains, trams and associated infrastructure for Melbourne commuters;</w:t>
      </w:r>
    </w:p>
    <w:p w:rsidR="00BB67AF" w:rsidRDefault="00BB67AF" w:rsidP="003E6750">
      <w:pPr>
        <w:pStyle w:val="HighlightBoxBullet"/>
        <w:numPr>
          <w:ilvl w:val="0"/>
          <w:numId w:val="16"/>
        </w:numPr>
        <w:ind w:left="360"/>
      </w:pPr>
      <w:r>
        <w:t>Port capacity;</w:t>
      </w:r>
    </w:p>
    <w:p w:rsidR="00BB67AF" w:rsidRDefault="00BB67AF" w:rsidP="003E6750">
      <w:pPr>
        <w:pStyle w:val="HighlightBoxBullet"/>
        <w:numPr>
          <w:ilvl w:val="0"/>
          <w:numId w:val="16"/>
        </w:numPr>
        <w:ind w:left="360"/>
      </w:pPr>
      <w:r>
        <w:t>Princes Highway duplication project – Winchelsea to Colac;</w:t>
      </w:r>
    </w:p>
    <w:p w:rsidR="00BB67AF" w:rsidRDefault="00BB67AF" w:rsidP="003E6750">
      <w:pPr>
        <w:pStyle w:val="HighlightBoxBullet"/>
        <w:numPr>
          <w:ilvl w:val="0"/>
          <w:numId w:val="16"/>
        </w:numPr>
        <w:ind w:left="360"/>
      </w:pPr>
      <w:r>
        <w:t>Princes Highway East – Traralgon to Sale duplication;</w:t>
      </w:r>
    </w:p>
    <w:p w:rsidR="00BB67AF" w:rsidRDefault="00BB67AF" w:rsidP="003E6750">
      <w:pPr>
        <w:pStyle w:val="HighlightBoxBullet"/>
        <w:numPr>
          <w:ilvl w:val="0"/>
          <w:numId w:val="16"/>
        </w:numPr>
        <w:ind w:left="360"/>
      </w:pPr>
      <w:r>
        <w:t>Ravenhall Prison;</w:t>
      </w:r>
    </w:p>
    <w:p w:rsidR="00BB67AF" w:rsidRDefault="00BB67AF" w:rsidP="003E6750">
      <w:pPr>
        <w:pStyle w:val="HighlightBoxBullet"/>
        <w:numPr>
          <w:ilvl w:val="0"/>
          <w:numId w:val="16"/>
        </w:numPr>
        <w:ind w:left="360"/>
      </w:pPr>
      <w:r>
        <w:t>redevelopment of Melbourne Park;</w:t>
      </w:r>
    </w:p>
    <w:p w:rsidR="00BB67AF" w:rsidRDefault="00BB67AF" w:rsidP="003E6750">
      <w:pPr>
        <w:pStyle w:val="HighlightBoxBullet"/>
        <w:numPr>
          <w:ilvl w:val="0"/>
          <w:numId w:val="16"/>
        </w:numPr>
        <w:ind w:left="360"/>
      </w:pPr>
      <w:r>
        <w:t>regional rolling stock;</w:t>
      </w:r>
    </w:p>
    <w:p w:rsidR="00BB67AF" w:rsidRDefault="00BB67AF" w:rsidP="003E6750">
      <w:pPr>
        <w:pStyle w:val="HighlightBoxBullet"/>
        <w:numPr>
          <w:ilvl w:val="0"/>
          <w:numId w:val="16"/>
        </w:numPr>
        <w:ind w:left="360"/>
      </w:pPr>
      <w:r>
        <w:t>Royal Victorian Eye and Ear Hospital;</w:t>
      </w:r>
    </w:p>
    <w:p w:rsidR="00BB67AF" w:rsidRDefault="00BB67AF" w:rsidP="003E6750">
      <w:pPr>
        <w:pStyle w:val="HighlightBoxBullet"/>
        <w:numPr>
          <w:ilvl w:val="0"/>
          <w:numId w:val="16"/>
        </w:numPr>
        <w:ind w:left="360"/>
      </w:pPr>
      <w:r>
        <w:t>Victorian Comprehensive Cancer Centre; and</w:t>
      </w:r>
    </w:p>
    <w:p w:rsidR="00BB67AF" w:rsidRDefault="00BB67AF" w:rsidP="003E6750">
      <w:pPr>
        <w:pStyle w:val="HighlightBoxBullet"/>
        <w:numPr>
          <w:ilvl w:val="0"/>
          <w:numId w:val="16"/>
        </w:numPr>
        <w:ind w:left="360"/>
      </w:pPr>
      <w:r>
        <w:t>Western Highway duplication – Ballarat to Stawell.</w:t>
      </w:r>
    </w:p>
    <w:p w:rsidR="00BB67AF" w:rsidRDefault="00BB67AF" w:rsidP="003E6750">
      <w:pPr>
        <w:pStyle w:val="HighlightBoxText"/>
      </w:pPr>
      <w:r>
        <w:t>Major projects that commenced procurement in 2015-16 include:</w:t>
      </w:r>
    </w:p>
    <w:p w:rsidR="00BB67AF" w:rsidRDefault="00BB67AF" w:rsidP="003E6750">
      <w:pPr>
        <w:pStyle w:val="HighlightBoxBullet"/>
        <w:numPr>
          <w:ilvl w:val="0"/>
          <w:numId w:val="16"/>
        </w:numPr>
        <w:ind w:left="360"/>
      </w:pPr>
      <w:r>
        <w:t xml:space="preserve">Joan </w:t>
      </w:r>
      <w:proofErr w:type="spellStart"/>
      <w:r>
        <w:t>Kirner</w:t>
      </w:r>
      <w:proofErr w:type="spellEnd"/>
      <w:r>
        <w:t xml:space="preserve"> Women’s and Children’s Hospital;</w:t>
      </w:r>
    </w:p>
    <w:p w:rsidR="00BB67AF" w:rsidRDefault="00BB67AF" w:rsidP="003E6750">
      <w:pPr>
        <w:pStyle w:val="HighlightBoxBullet"/>
        <w:numPr>
          <w:ilvl w:val="0"/>
          <w:numId w:val="16"/>
        </w:numPr>
        <w:ind w:left="360"/>
      </w:pPr>
      <w:r>
        <w:t xml:space="preserve">M80 Upgrade – Sunshine Avenue to Calder Freeway; </w:t>
      </w:r>
    </w:p>
    <w:p w:rsidR="00BB67AF" w:rsidRDefault="00BB67AF" w:rsidP="003E6750">
      <w:pPr>
        <w:pStyle w:val="HighlightBoxBullet"/>
        <w:numPr>
          <w:ilvl w:val="0"/>
          <w:numId w:val="16"/>
        </w:numPr>
        <w:ind w:left="360"/>
      </w:pPr>
      <w:r>
        <w:t>Melbourne Convention and Exhibition Centre expansion; and</w:t>
      </w:r>
    </w:p>
    <w:p w:rsidR="00BB67AF" w:rsidRDefault="00BB67AF" w:rsidP="003E6750">
      <w:pPr>
        <w:pStyle w:val="HighlightBoxBullet"/>
        <w:numPr>
          <w:ilvl w:val="0"/>
          <w:numId w:val="16"/>
        </w:numPr>
        <w:spacing w:after="0"/>
        <w:ind w:left="357" w:hanging="357"/>
      </w:pPr>
      <w:r>
        <w:t>Melbourne Metro Rail Project – Early Works Package.</w:t>
      </w:r>
    </w:p>
    <w:p w:rsidR="00BB67AF" w:rsidRDefault="00BB67AF" w:rsidP="003E6750"/>
    <w:p w:rsidR="00BB67AF" w:rsidRDefault="00BB67AF">
      <w:pPr>
        <w:spacing w:after="0"/>
      </w:pPr>
      <w:r>
        <w:br w:type="page"/>
      </w:r>
    </w:p>
    <w:p w:rsidR="00BB67AF" w:rsidRDefault="00BB67AF" w:rsidP="003E6750">
      <w:pPr>
        <w:pStyle w:val="Heading1"/>
      </w:pPr>
      <w:bookmarkStart w:id="6" w:name="_Toc445283147"/>
      <w:r>
        <w:lastRenderedPageBreak/>
        <w:t>Financial sustainability</w:t>
      </w:r>
      <w:bookmarkEnd w:id="6"/>
    </w:p>
    <w:p w:rsidR="00BB67AF" w:rsidRDefault="00BB67AF" w:rsidP="003E6750">
      <w:pPr>
        <w:pStyle w:val="Heading2"/>
      </w:pPr>
      <w:r>
        <w:t>General government sector</w:t>
      </w:r>
    </w:p>
    <w:p w:rsidR="00BB67AF" w:rsidRDefault="00BB67AF" w:rsidP="003E6750">
      <w:r w:rsidRPr="004D6A1B">
        <w:t>Table 1.3 shows general government sector net debt increased by $408 million to $22.7 billion at 31 December 2015 consistent with expectations for this time of the year. Overall, net financial liabilities increased during the six-month period. This is primarily due to the increase in net debt. However, the ratio of net financial liabilities to GSP decreased from 15.2 per cent to 14.6 per cent during the six-month period. This is attributable to a greater expected increase in the economic output of the State (GSP) compared to the increase in net financial liabilities.</w:t>
      </w:r>
      <w:r>
        <w:t xml:space="preserve"> </w:t>
      </w:r>
    </w:p>
    <w:p w:rsidR="00BB67AF" w:rsidRDefault="00BB67AF" w:rsidP="003E6750">
      <w:pPr>
        <w:pStyle w:val="Tableheading"/>
      </w:pPr>
      <w:r>
        <w:t>Table 1.3:</w:t>
      </w:r>
      <w:r>
        <w:tab/>
        <w:t>General government sector net debt and net financial liabilities as at 31 December 2015</w:t>
      </w:r>
    </w:p>
    <w:p w:rsidR="00BB67AF" w:rsidRPr="00510164" w:rsidRDefault="00BB67AF" w:rsidP="003E6750">
      <w:pPr>
        <w:pStyle w:val="million"/>
        <w:rPr>
          <w:b/>
          <w:bCs/>
          <w:sz w:val="25"/>
          <w:lang w:val="en-US"/>
        </w:rPr>
      </w:pPr>
      <w:r>
        <w:t>($ million)</w:t>
      </w:r>
    </w:p>
    <w:tbl>
      <w:tblPr>
        <w:tblW w:w="9636" w:type="dxa"/>
        <w:tblInd w:w="45" w:type="dxa"/>
        <w:tblLayout w:type="fixed"/>
        <w:tblCellMar>
          <w:left w:w="45" w:type="dxa"/>
          <w:right w:w="45" w:type="dxa"/>
        </w:tblCellMar>
        <w:tblLook w:val="0000" w:firstRow="0" w:lastRow="0" w:firstColumn="0" w:lastColumn="0" w:noHBand="0" w:noVBand="0"/>
      </w:tblPr>
      <w:tblGrid>
        <w:gridCol w:w="4962"/>
        <w:gridCol w:w="1406"/>
        <w:gridCol w:w="11"/>
        <w:gridCol w:w="1272"/>
        <w:gridCol w:w="1136"/>
        <w:gridCol w:w="849"/>
      </w:tblGrid>
      <w:tr w:rsidR="00B742C7" w:rsidRPr="00A120C4" w:rsidTr="00897890">
        <w:trPr>
          <w:trHeight w:val="464"/>
          <w:tblHeader/>
        </w:trPr>
        <w:tc>
          <w:tcPr>
            <w:tcW w:w="4962" w:type="dxa"/>
            <w:tcBorders>
              <w:top w:val="nil"/>
              <w:left w:val="nil"/>
              <w:right w:val="nil"/>
            </w:tcBorders>
            <w:shd w:val="solid" w:color="000000" w:fill="auto"/>
            <w:vAlign w:val="bottom"/>
          </w:tcPr>
          <w:p w:rsidR="00B742C7" w:rsidRPr="00A120C4" w:rsidRDefault="00B742C7" w:rsidP="003E6750">
            <w:pPr>
              <w:pStyle w:val="Tableheading"/>
              <w:spacing w:before="0" w:after="0"/>
              <w:rPr>
                <w:rFonts w:eastAsiaTheme="minorEastAsia" w:cs="Calibri"/>
                <w:i/>
                <w:iCs/>
                <w:color w:val="FFFFFF"/>
                <w:sz w:val="19"/>
                <w:szCs w:val="19"/>
                <w:lang w:eastAsia="en-AU"/>
              </w:rPr>
            </w:pPr>
            <w:r w:rsidRPr="00A120C4">
              <w:rPr>
                <w:rFonts w:eastAsiaTheme="minorEastAsia" w:cs="Calibri"/>
                <w:i/>
                <w:iCs/>
                <w:color w:val="FFFFFF"/>
                <w:sz w:val="19"/>
                <w:szCs w:val="19"/>
                <w:lang w:eastAsia="en-AU"/>
              </w:rPr>
              <w:t xml:space="preserve"> </w:t>
            </w:r>
          </w:p>
          <w:p w:rsidR="00B742C7" w:rsidRPr="00A120C4" w:rsidRDefault="00B742C7" w:rsidP="003E6750">
            <w:pPr>
              <w:autoSpaceDE w:val="0"/>
              <w:autoSpaceDN w:val="0"/>
              <w:adjustRightInd w:val="0"/>
              <w:spacing w:after="0"/>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 xml:space="preserve"> </w:t>
            </w:r>
          </w:p>
        </w:tc>
        <w:tc>
          <w:tcPr>
            <w:tcW w:w="1406" w:type="dxa"/>
            <w:tcBorders>
              <w:top w:val="nil"/>
              <w:left w:val="nil"/>
              <w:right w:val="nil"/>
            </w:tcBorders>
            <w:shd w:val="solid" w:color="000000" w:fill="auto"/>
            <w:vAlign w:val="bottom"/>
          </w:tcPr>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Opening</w:t>
            </w:r>
          </w:p>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1 July 2015</w:t>
            </w:r>
          </w:p>
        </w:tc>
        <w:tc>
          <w:tcPr>
            <w:tcW w:w="1283" w:type="dxa"/>
            <w:gridSpan w:val="2"/>
            <w:tcBorders>
              <w:top w:val="nil"/>
              <w:left w:val="nil"/>
              <w:right w:val="nil"/>
            </w:tcBorders>
            <w:shd w:val="solid" w:color="000000" w:fill="auto"/>
            <w:vAlign w:val="bottom"/>
          </w:tcPr>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Closing</w:t>
            </w:r>
          </w:p>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31 Dec 2015</w:t>
            </w:r>
          </w:p>
        </w:tc>
        <w:tc>
          <w:tcPr>
            <w:tcW w:w="1136" w:type="dxa"/>
            <w:tcBorders>
              <w:top w:val="nil"/>
              <w:left w:val="nil"/>
              <w:right w:val="nil"/>
            </w:tcBorders>
            <w:shd w:val="solid" w:color="000000" w:fill="auto"/>
            <w:vAlign w:val="bottom"/>
          </w:tcPr>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Actual</w:t>
            </w:r>
          </w:p>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movement</w:t>
            </w:r>
          </w:p>
        </w:tc>
        <w:tc>
          <w:tcPr>
            <w:tcW w:w="849" w:type="dxa"/>
            <w:tcBorders>
              <w:top w:val="nil"/>
              <w:left w:val="nil"/>
              <w:right w:val="nil"/>
            </w:tcBorders>
            <w:shd w:val="solid" w:color="000000" w:fill="auto"/>
            <w:vAlign w:val="bottom"/>
          </w:tcPr>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w:t>
            </w:r>
          </w:p>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change</w:t>
            </w:r>
          </w:p>
        </w:tc>
      </w:tr>
      <w:tr w:rsidR="00BB67AF" w:rsidRPr="00A120C4" w:rsidTr="003E6750">
        <w:tc>
          <w:tcPr>
            <w:tcW w:w="4962"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Assets</w:t>
            </w:r>
          </w:p>
        </w:tc>
        <w:tc>
          <w:tcPr>
            <w:tcW w:w="140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c>
          <w:tcPr>
            <w:tcW w:w="1283"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c>
          <w:tcPr>
            <w:tcW w:w="113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c>
          <w:tcPr>
            <w:tcW w:w="849"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r>
      <w:tr w:rsidR="00BB67AF" w:rsidRPr="00A120C4" w:rsidTr="003E6750">
        <w:tc>
          <w:tcPr>
            <w:tcW w:w="4962"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Cash and deposits</w:t>
            </w:r>
          </w:p>
        </w:tc>
        <w:tc>
          <w:tcPr>
            <w:tcW w:w="140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4 282</w:t>
            </w:r>
          </w:p>
        </w:tc>
        <w:tc>
          <w:tcPr>
            <w:tcW w:w="1283"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4 112</w:t>
            </w:r>
          </w:p>
        </w:tc>
        <w:tc>
          <w:tcPr>
            <w:tcW w:w="113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(169)</w:t>
            </w:r>
          </w:p>
        </w:tc>
        <w:tc>
          <w:tcPr>
            <w:tcW w:w="849"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(4)</w:t>
            </w:r>
          </w:p>
        </w:tc>
      </w:tr>
      <w:tr w:rsidR="00BB67AF" w:rsidRPr="00A120C4" w:rsidTr="003E6750">
        <w:tc>
          <w:tcPr>
            <w:tcW w:w="4962"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Advances paid</w:t>
            </w:r>
          </w:p>
        </w:tc>
        <w:tc>
          <w:tcPr>
            <w:tcW w:w="140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4 572</w:t>
            </w:r>
          </w:p>
        </w:tc>
        <w:tc>
          <w:tcPr>
            <w:tcW w:w="1283"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4 550</w:t>
            </w:r>
          </w:p>
        </w:tc>
        <w:tc>
          <w:tcPr>
            <w:tcW w:w="113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(22)</w:t>
            </w:r>
          </w:p>
        </w:tc>
        <w:tc>
          <w:tcPr>
            <w:tcW w:w="849"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w:t>
            </w:r>
          </w:p>
        </w:tc>
      </w:tr>
      <w:tr w:rsidR="00BB67AF" w:rsidRPr="00A120C4" w:rsidTr="003E6750">
        <w:tc>
          <w:tcPr>
            <w:tcW w:w="4962"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Investment, loans and placements</w:t>
            </w:r>
          </w:p>
        </w:tc>
        <w:tc>
          <w:tcPr>
            <w:tcW w:w="1406"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3 406</w:t>
            </w:r>
          </w:p>
        </w:tc>
        <w:tc>
          <w:tcPr>
            <w:tcW w:w="1283" w:type="dxa"/>
            <w:gridSpan w:val="2"/>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3 389</w:t>
            </w:r>
          </w:p>
        </w:tc>
        <w:tc>
          <w:tcPr>
            <w:tcW w:w="1136"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(17)</w:t>
            </w:r>
          </w:p>
        </w:tc>
        <w:tc>
          <w:tcPr>
            <w:tcW w:w="849"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(1)</w:t>
            </w:r>
          </w:p>
        </w:tc>
      </w:tr>
      <w:tr w:rsidR="00BB67AF" w:rsidRPr="00A120C4" w:rsidTr="003E6750">
        <w:tc>
          <w:tcPr>
            <w:tcW w:w="4962"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Total</w:t>
            </w:r>
          </w:p>
        </w:tc>
        <w:tc>
          <w:tcPr>
            <w:tcW w:w="1406"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12 259</w:t>
            </w:r>
          </w:p>
        </w:tc>
        <w:tc>
          <w:tcPr>
            <w:tcW w:w="1283" w:type="dxa"/>
            <w:gridSpan w:val="2"/>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12 051</w:t>
            </w:r>
          </w:p>
        </w:tc>
        <w:tc>
          <w:tcPr>
            <w:tcW w:w="1136"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b/>
                <w:bCs/>
                <w:color w:val="000000"/>
                <w:sz w:val="19"/>
                <w:szCs w:val="19"/>
                <w:lang w:eastAsia="en-AU"/>
              </w:rPr>
              <w:t>(208)</w:t>
            </w:r>
          </w:p>
        </w:tc>
        <w:tc>
          <w:tcPr>
            <w:tcW w:w="849"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b/>
                <w:bCs/>
                <w:color w:val="000000"/>
                <w:sz w:val="19"/>
                <w:szCs w:val="19"/>
                <w:lang w:eastAsia="en-AU"/>
              </w:rPr>
              <w:t>(2)</w:t>
            </w:r>
          </w:p>
        </w:tc>
      </w:tr>
      <w:tr w:rsidR="00BB67AF" w:rsidRPr="00A120C4" w:rsidTr="003E6750">
        <w:tc>
          <w:tcPr>
            <w:tcW w:w="4962"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Liabilities</w:t>
            </w:r>
          </w:p>
        </w:tc>
        <w:tc>
          <w:tcPr>
            <w:tcW w:w="140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c>
          <w:tcPr>
            <w:tcW w:w="1283"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c>
          <w:tcPr>
            <w:tcW w:w="113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color w:val="000000"/>
                <w:sz w:val="19"/>
                <w:szCs w:val="19"/>
                <w:lang w:eastAsia="en-AU"/>
              </w:rPr>
              <w:t xml:space="preserve"> </w:t>
            </w:r>
          </w:p>
        </w:tc>
        <w:tc>
          <w:tcPr>
            <w:tcW w:w="849"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color w:val="000000"/>
                <w:sz w:val="19"/>
                <w:szCs w:val="19"/>
                <w:lang w:eastAsia="en-AU"/>
              </w:rPr>
              <w:t xml:space="preserve"> </w:t>
            </w:r>
          </w:p>
        </w:tc>
      </w:tr>
      <w:tr w:rsidR="00BB67AF" w:rsidRPr="00A120C4" w:rsidTr="003E6750">
        <w:tc>
          <w:tcPr>
            <w:tcW w:w="4962"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Deposits held and advances received</w:t>
            </w:r>
          </w:p>
        </w:tc>
        <w:tc>
          <w:tcPr>
            <w:tcW w:w="140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518</w:t>
            </w:r>
          </w:p>
        </w:tc>
        <w:tc>
          <w:tcPr>
            <w:tcW w:w="1283"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485</w:t>
            </w:r>
          </w:p>
        </w:tc>
        <w:tc>
          <w:tcPr>
            <w:tcW w:w="113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(32)</w:t>
            </w:r>
          </w:p>
        </w:tc>
        <w:tc>
          <w:tcPr>
            <w:tcW w:w="849"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(6)</w:t>
            </w:r>
          </w:p>
        </w:tc>
      </w:tr>
      <w:tr w:rsidR="00BB67AF" w:rsidRPr="00A120C4" w:rsidTr="003E6750">
        <w:tc>
          <w:tcPr>
            <w:tcW w:w="4962"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Borrowings</w:t>
            </w:r>
          </w:p>
        </w:tc>
        <w:tc>
          <w:tcPr>
            <w:tcW w:w="1406"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34 069</w:t>
            </w:r>
          </w:p>
        </w:tc>
        <w:tc>
          <w:tcPr>
            <w:tcW w:w="1283" w:type="dxa"/>
            <w:gridSpan w:val="2"/>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34 301</w:t>
            </w:r>
          </w:p>
        </w:tc>
        <w:tc>
          <w:tcPr>
            <w:tcW w:w="1136"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232</w:t>
            </w:r>
          </w:p>
        </w:tc>
        <w:tc>
          <w:tcPr>
            <w:tcW w:w="849"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1</w:t>
            </w:r>
          </w:p>
        </w:tc>
      </w:tr>
      <w:tr w:rsidR="00BB67AF" w:rsidRPr="00A120C4" w:rsidTr="003E6750">
        <w:tc>
          <w:tcPr>
            <w:tcW w:w="4962"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Total</w:t>
            </w:r>
          </w:p>
        </w:tc>
        <w:tc>
          <w:tcPr>
            <w:tcW w:w="1406"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34 587</w:t>
            </w:r>
          </w:p>
        </w:tc>
        <w:tc>
          <w:tcPr>
            <w:tcW w:w="1283" w:type="dxa"/>
            <w:gridSpan w:val="2"/>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34 787</w:t>
            </w:r>
          </w:p>
        </w:tc>
        <w:tc>
          <w:tcPr>
            <w:tcW w:w="1136"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b/>
                <w:bCs/>
                <w:color w:val="000000"/>
                <w:sz w:val="19"/>
                <w:szCs w:val="19"/>
                <w:lang w:eastAsia="en-AU"/>
              </w:rPr>
              <w:t>200</w:t>
            </w:r>
          </w:p>
        </w:tc>
        <w:tc>
          <w:tcPr>
            <w:tcW w:w="849"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b/>
                <w:bCs/>
                <w:color w:val="000000"/>
                <w:sz w:val="19"/>
                <w:szCs w:val="19"/>
                <w:lang w:eastAsia="en-AU"/>
              </w:rPr>
              <w:t>1</w:t>
            </w:r>
          </w:p>
        </w:tc>
      </w:tr>
      <w:tr w:rsidR="00BB67AF" w:rsidRPr="00A120C4" w:rsidTr="003E6750">
        <w:tc>
          <w:tcPr>
            <w:tcW w:w="4962"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b/>
                <w:bCs/>
                <w:color w:val="000000"/>
                <w:sz w:val="19"/>
                <w:szCs w:val="19"/>
                <w:vertAlign w:val="superscript"/>
                <w:lang w:eastAsia="en-AU"/>
              </w:rPr>
            </w:pPr>
            <w:r w:rsidRPr="00A120C4">
              <w:rPr>
                <w:rFonts w:ascii="Calibri" w:eastAsiaTheme="minorEastAsia" w:hAnsi="Calibri" w:cs="Arial"/>
                <w:b/>
                <w:bCs/>
                <w:color w:val="000000"/>
                <w:sz w:val="19"/>
                <w:szCs w:val="19"/>
                <w:lang w:eastAsia="en-AU"/>
              </w:rPr>
              <w:t xml:space="preserve">Net debt </w:t>
            </w:r>
            <w:r w:rsidRPr="00A120C4">
              <w:rPr>
                <w:rFonts w:ascii="Calibri" w:eastAsiaTheme="minorEastAsia" w:hAnsi="Calibri" w:cs="Arial"/>
                <w:b/>
                <w:bCs/>
                <w:color w:val="000000"/>
                <w:sz w:val="19"/>
                <w:szCs w:val="19"/>
                <w:vertAlign w:val="superscript"/>
                <w:lang w:eastAsia="en-AU"/>
              </w:rPr>
              <w:t>(a)</w:t>
            </w:r>
          </w:p>
        </w:tc>
        <w:tc>
          <w:tcPr>
            <w:tcW w:w="1406"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22 327</w:t>
            </w:r>
          </w:p>
        </w:tc>
        <w:tc>
          <w:tcPr>
            <w:tcW w:w="1283" w:type="dxa"/>
            <w:gridSpan w:val="2"/>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22 735</w:t>
            </w:r>
          </w:p>
        </w:tc>
        <w:tc>
          <w:tcPr>
            <w:tcW w:w="1136"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b/>
                <w:bCs/>
                <w:color w:val="000000"/>
                <w:sz w:val="19"/>
                <w:szCs w:val="19"/>
                <w:lang w:eastAsia="en-AU"/>
              </w:rPr>
              <w:t>408</w:t>
            </w:r>
          </w:p>
        </w:tc>
        <w:tc>
          <w:tcPr>
            <w:tcW w:w="849"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b/>
                <w:bCs/>
                <w:color w:val="000000"/>
                <w:sz w:val="19"/>
                <w:szCs w:val="19"/>
                <w:lang w:eastAsia="en-AU"/>
              </w:rPr>
              <w:t>2</w:t>
            </w:r>
          </w:p>
        </w:tc>
      </w:tr>
      <w:tr w:rsidR="00BB67AF" w:rsidRPr="00A120C4" w:rsidTr="003E6750">
        <w:tc>
          <w:tcPr>
            <w:tcW w:w="4962"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Superannuation liability</w:t>
            </w:r>
          </w:p>
        </w:tc>
        <w:tc>
          <w:tcPr>
            <w:tcW w:w="1406"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25 947</w:t>
            </w:r>
          </w:p>
        </w:tc>
        <w:tc>
          <w:tcPr>
            <w:tcW w:w="1283" w:type="dxa"/>
            <w:gridSpan w:val="2"/>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26 722</w:t>
            </w:r>
          </w:p>
        </w:tc>
        <w:tc>
          <w:tcPr>
            <w:tcW w:w="1136"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775</w:t>
            </w:r>
          </w:p>
        </w:tc>
        <w:tc>
          <w:tcPr>
            <w:tcW w:w="849"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3</w:t>
            </w:r>
          </w:p>
        </w:tc>
      </w:tr>
      <w:tr w:rsidR="00BB67AF" w:rsidRPr="00A120C4" w:rsidTr="003E6750">
        <w:tc>
          <w:tcPr>
            <w:tcW w:w="4962"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Net debt plus superannuation liabilities</w:t>
            </w:r>
          </w:p>
        </w:tc>
        <w:tc>
          <w:tcPr>
            <w:tcW w:w="1406"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48 274</w:t>
            </w:r>
          </w:p>
        </w:tc>
        <w:tc>
          <w:tcPr>
            <w:tcW w:w="1283" w:type="dxa"/>
            <w:gridSpan w:val="2"/>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49 458</w:t>
            </w:r>
          </w:p>
        </w:tc>
        <w:tc>
          <w:tcPr>
            <w:tcW w:w="1136"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1 184</w:t>
            </w:r>
          </w:p>
        </w:tc>
        <w:tc>
          <w:tcPr>
            <w:tcW w:w="849"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b/>
                <w:bCs/>
                <w:color w:val="000000"/>
                <w:sz w:val="19"/>
                <w:szCs w:val="19"/>
                <w:lang w:eastAsia="en-AU"/>
              </w:rPr>
              <w:t>2</w:t>
            </w:r>
          </w:p>
        </w:tc>
      </w:tr>
      <w:tr w:rsidR="00BB67AF" w:rsidRPr="00A120C4" w:rsidTr="003E6750">
        <w:tc>
          <w:tcPr>
            <w:tcW w:w="4962"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 xml:space="preserve">Other liabilities (net) </w:t>
            </w:r>
            <w:r w:rsidRPr="00A120C4">
              <w:rPr>
                <w:rFonts w:ascii="Calibri" w:eastAsiaTheme="minorEastAsia" w:hAnsi="Calibri" w:cs="Arial"/>
                <w:color w:val="000000"/>
                <w:sz w:val="19"/>
                <w:szCs w:val="19"/>
                <w:vertAlign w:val="superscript"/>
                <w:lang w:eastAsia="en-AU"/>
              </w:rPr>
              <w:t>(b)</w:t>
            </w:r>
          </w:p>
        </w:tc>
        <w:tc>
          <w:tcPr>
            <w:tcW w:w="1406"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6 517</w:t>
            </w:r>
          </w:p>
        </w:tc>
        <w:tc>
          <w:tcPr>
            <w:tcW w:w="1283" w:type="dxa"/>
            <w:gridSpan w:val="2"/>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5 814</w:t>
            </w:r>
          </w:p>
        </w:tc>
        <w:tc>
          <w:tcPr>
            <w:tcW w:w="1136"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(703)</w:t>
            </w:r>
          </w:p>
        </w:tc>
        <w:tc>
          <w:tcPr>
            <w:tcW w:w="849"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(11)</w:t>
            </w:r>
          </w:p>
        </w:tc>
      </w:tr>
      <w:tr w:rsidR="00BB67AF" w:rsidRPr="00A120C4" w:rsidTr="003E6750">
        <w:tc>
          <w:tcPr>
            <w:tcW w:w="4962"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b/>
                <w:bCs/>
                <w:color w:val="000000"/>
                <w:sz w:val="19"/>
                <w:szCs w:val="19"/>
                <w:vertAlign w:val="superscript"/>
                <w:lang w:eastAsia="en-AU"/>
              </w:rPr>
            </w:pPr>
            <w:r w:rsidRPr="00A120C4">
              <w:rPr>
                <w:rFonts w:ascii="Calibri" w:eastAsiaTheme="minorEastAsia" w:hAnsi="Calibri" w:cs="Arial"/>
                <w:b/>
                <w:bCs/>
                <w:color w:val="000000"/>
                <w:sz w:val="19"/>
                <w:szCs w:val="19"/>
                <w:lang w:eastAsia="en-AU"/>
              </w:rPr>
              <w:t xml:space="preserve">Net financial liabilities </w:t>
            </w:r>
            <w:r w:rsidRPr="00A120C4">
              <w:rPr>
                <w:rFonts w:ascii="Calibri" w:eastAsiaTheme="minorEastAsia" w:hAnsi="Calibri" w:cs="Arial"/>
                <w:b/>
                <w:bCs/>
                <w:color w:val="000000"/>
                <w:sz w:val="19"/>
                <w:szCs w:val="19"/>
                <w:vertAlign w:val="superscript"/>
                <w:lang w:eastAsia="en-AU"/>
              </w:rPr>
              <w:t>(c)</w:t>
            </w:r>
          </w:p>
        </w:tc>
        <w:tc>
          <w:tcPr>
            <w:tcW w:w="1406"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54 791</w:t>
            </w:r>
          </w:p>
        </w:tc>
        <w:tc>
          <w:tcPr>
            <w:tcW w:w="1283" w:type="dxa"/>
            <w:gridSpan w:val="2"/>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55 271</w:t>
            </w:r>
          </w:p>
        </w:tc>
        <w:tc>
          <w:tcPr>
            <w:tcW w:w="1136"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480</w:t>
            </w:r>
          </w:p>
        </w:tc>
        <w:tc>
          <w:tcPr>
            <w:tcW w:w="849"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b/>
                <w:bCs/>
                <w:color w:val="000000"/>
                <w:sz w:val="19"/>
                <w:szCs w:val="19"/>
                <w:lang w:eastAsia="en-AU"/>
              </w:rPr>
              <w:t>1</w:t>
            </w:r>
          </w:p>
        </w:tc>
      </w:tr>
      <w:tr w:rsidR="00BB67AF" w:rsidRPr="00A120C4" w:rsidTr="003E6750">
        <w:trPr>
          <w:trHeight w:hRule="exact" w:val="120"/>
        </w:trPr>
        <w:tc>
          <w:tcPr>
            <w:tcW w:w="4962"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 xml:space="preserve"> </w:t>
            </w:r>
          </w:p>
        </w:tc>
        <w:tc>
          <w:tcPr>
            <w:tcW w:w="1417" w:type="dxa"/>
            <w:gridSpan w:val="2"/>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 xml:space="preserve"> </w:t>
            </w:r>
          </w:p>
        </w:tc>
        <w:tc>
          <w:tcPr>
            <w:tcW w:w="1272"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 xml:space="preserve"> </w:t>
            </w:r>
          </w:p>
        </w:tc>
        <w:tc>
          <w:tcPr>
            <w:tcW w:w="1136"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 xml:space="preserve"> </w:t>
            </w:r>
          </w:p>
        </w:tc>
        <w:tc>
          <w:tcPr>
            <w:tcW w:w="849"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 xml:space="preserve"> </w:t>
            </w:r>
          </w:p>
        </w:tc>
      </w:tr>
      <w:tr w:rsidR="00B742C7" w:rsidRPr="00A120C4" w:rsidTr="00897890">
        <w:tc>
          <w:tcPr>
            <w:tcW w:w="9636" w:type="dxa"/>
            <w:gridSpan w:val="6"/>
            <w:tcBorders>
              <w:top w:val="nil"/>
              <w:left w:val="nil"/>
              <w:right w:val="nil"/>
            </w:tcBorders>
            <w:shd w:val="clear" w:color="auto" w:fill="FFFFFF"/>
          </w:tcPr>
          <w:p w:rsidR="00B742C7" w:rsidRPr="00A120C4" w:rsidRDefault="00B742C7" w:rsidP="00B742C7">
            <w:pPr>
              <w:autoSpaceDE w:val="0"/>
              <w:autoSpaceDN w:val="0"/>
              <w:adjustRightInd w:val="0"/>
              <w:spacing w:after="0"/>
              <w:ind w:left="227" w:hanging="227"/>
              <w:jc w:val="center"/>
              <w:rPr>
                <w:rFonts w:ascii="Calibri" w:eastAsiaTheme="minorEastAsia" w:hAnsi="Calibri" w:cs="Calibri"/>
                <w:i/>
                <w:iCs/>
                <w:color w:val="000000"/>
                <w:sz w:val="19"/>
                <w:szCs w:val="19"/>
                <w:lang w:eastAsia="en-AU"/>
              </w:rPr>
            </w:pPr>
            <w:r w:rsidRPr="00A120C4">
              <w:rPr>
                <w:rFonts w:ascii="Calibri" w:eastAsiaTheme="minorEastAsia" w:hAnsi="Calibri" w:cs="Helvetica"/>
                <w:i/>
                <w:iCs/>
                <w:color w:val="000000"/>
                <w:sz w:val="19"/>
                <w:szCs w:val="19"/>
                <w:lang w:eastAsia="en-AU"/>
              </w:rPr>
              <w:t>(per cent)</w:t>
            </w:r>
          </w:p>
        </w:tc>
      </w:tr>
      <w:tr w:rsidR="00BB67AF" w:rsidRPr="00A120C4" w:rsidTr="003E6750">
        <w:trPr>
          <w:trHeight w:hRule="exact" w:val="120"/>
        </w:trPr>
        <w:tc>
          <w:tcPr>
            <w:tcW w:w="4962"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 xml:space="preserve"> </w:t>
            </w:r>
          </w:p>
        </w:tc>
        <w:tc>
          <w:tcPr>
            <w:tcW w:w="1417"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 xml:space="preserve"> </w:t>
            </w:r>
          </w:p>
        </w:tc>
        <w:tc>
          <w:tcPr>
            <w:tcW w:w="127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 xml:space="preserve"> </w:t>
            </w:r>
          </w:p>
        </w:tc>
        <w:tc>
          <w:tcPr>
            <w:tcW w:w="1136" w:type="dxa"/>
            <w:tcBorders>
              <w:top w:val="nil"/>
              <w:left w:val="nil"/>
              <w:right w:val="nil"/>
            </w:tcBorders>
            <w:shd w:val="clear" w:color="auto" w:fill="FFFFFF"/>
          </w:tcPr>
          <w:p w:rsidR="00BB67AF" w:rsidRPr="00A120C4" w:rsidRDefault="00BB67AF" w:rsidP="003E6750">
            <w:pPr>
              <w:autoSpaceDE w:val="0"/>
              <w:autoSpaceDN w:val="0"/>
              <w:adjustRightInd w:val="0"/>
              <w:spacing w:after="0"/>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 xml:space="preserve"> </w:t>
            </w:r>
          </w:p>
        </w:tc>
        <w:tc>
          <w:tcPr>
            <w:tcW w:w="849" w:type="dxa"/>
            <w:tcBorders>
              <w:top w:val="nil"/>
              <w:left w:val="nil"/>
              <w:right w:val="nil"/>
            </w:tcBorders>
            <w:shd w:val="clear" w:color="auto" w:fill="FFFFFF"/>
          </w:tcPr>
          <w:p w:rsidR="00BB67AF" w:rsidRPr="00A120C4" w:rsidRDefault="00BB67AF" w:rsidP="003E6750">
            <w:pPr>
              <w:autoSpaceDE w:val="0"/>
              <w:autoSpaceDN w:val="0"/>
              <w:adjustRightInd w:val="0"/>
              <w:spacing w:after="0"/>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 xml:space="preserve"> </w:t>
            </w:r>
          </w:p>
        </w:tc>
      </w:tr>
      <w:tr w:rsidR="00BB67AF" w:rsidRPr="00A120C4" w:rsidTr="003E6750">
        <w:tc>
          <w:tcPr>
            <w:tcW w:w="4962"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19"/>
                <w:szCs w:val="19"/>
                <w:vertAlign w:val="superscript"/>
                <w:lang w:eastAsia="en-AU"/>
              </w:rPr>
            </w:pPr>
            <w:r w:rsidRPr="00A120C4">
              <w:rPr>
                <w:rFonts w:ascii="Calibri" w:eastAsiaTheme="minorEastAsia" w:hAnsi="Calibri" w:cs="Calibri"/>
                <w:b/>
                <w:bCs/>
                <w:color w:val="000000"/>
                <w:sz w:val="19"/>
                <w:szCs w:val="19"/>
                <w:lang w:eastAsia="en-AU"/>
              </w:rPr>
              <w:t xml:space="preserve">Net debt to GSP </w:t>
            </w:r>
            <w:r w:rsidRPr="00A120C4">
              <w:rPr>
                <w:rFonts w:ascii="Calibri" w:eastAsiaTheme="minorEastAsia" w:hAnsi="Calibri" w:cs="Calibri"/>
                <w:b/>
                <w:bCs/>
                <w:color w:val="000000"/>
                <w:sz w:val="19"/>
                <w:szCs w:val="19"/>
                <w:vertAlign w:val="superscript"/>
                <w:lang w:eastAsia="en-AU"/>
              </w:rPr>
              <w:t>(d)</w:t>
            </w:r>
          </w:p>
        </w:tc>
        <w:tc>
          <w:tcPr>
            <w:tcW w:w="1417" w:type="dxa"/>
            <w:gridSpan w:val="2"/>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b/>
                <w:bCs/>
                <w:color w:val="000000"/>
                <w:sz w:val="19"/>
                <w:szCs w:val="19"/>
                <w:lang w:eastAsia="en-AU"/>
              </w:rPr>
              <w:t>6.2</w:t>
            </w:r>
          </w:p>
        </w:tc>
        <w:tc>
          <w:tcPr>
            <w:tcW w:w="1272"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b/>
                <w:bCs/>
                <w:color w:val="000000"/>
                <w:sz w:val="19"/>
                <w:szCs w:val="19"/>
                <w:lang w:eastAsia="en-AU"/>
              </w:rPr>
              <w:t>6.0</w:t>
            </w:r>
          </w:p>
        </w:tc>
        <w:tc>
          <w:tcPr>
            <w:tcW w:w="1136"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c>
          <w:tcPr>
            <w:tcW w:w="849"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r>
      <w:tr w:rsidR="00BB67AF" w:rsidRPr="00A120C4" w:rsidTr="003E6750">
        <w:tc>
          <w:tcPr>
            <w:tcW w:w="4962"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19"/>
                <w:szCs w:val="19"/>
                <w:vertAlign w:val="superscript"/>
                <w:lang w:eastAsia="en-AU"/>
              </w:rPr>
            </w:pPr>
            <w:r w:rsidRPr="00A120C4">
              <w:rPr>
                <w:rFonts w:ascii="Calibri" w:eastAsiaTheme="minorEastAsia" w:hAnsi="Calibri" w:cs="Calibri"/>
                <w:b/>
                <w:bCs/>
                <w:color w:val="000000"/>
                <w:sz w:val="19"/>
                <w:szCs w:val="19"/>
                <w:lang w:eastAsia="en-AU"/>
              </w:rPr>
              <w:t xml:space="preserve">Net debt plus superannuation liabilities to GSP </w:t>
            </w:r>
            <w:r w:rsidRPr="00A120C4">
              <w:rPr>
                <w:rFonts w:ascii="Calibri" w:eastAsiaTheme="minorEastAsia" w:hAnsi="Calibri" w:cs="Calibri"/>
                <w:b/>
                <w:bCs/>
                <w:color w:val="000000"/>
                <w:sz w:val="19"/>
                <w:szCs w:val="19"/>
                <w:vertAlign w:val="superscript"/>
                <w:lang w:eastAsia="en-AU"/>
              </w:rPr>
              <w:t>(d)</w:t>
            </w:r>
          </w:p>
        </w:tc>
        <w:tc>
          <w:tcPr>
            <w:tcW w:w="1417" w:type="dxa"/>
            <w:gridSpan w:val="2"/>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b/>
                <w:bCs/>
                <w:color w:val="000000"/>
                <w:sz w:val="19"/>
                <w:szCs w:val="19"/>
                <w:lang w:eastAsia="en-AU"/>
              </w:rPr>
              <w:t>13.4</w:t>
            </w:r>
          </w:p>
        </w:tc>
        <w:tc>
          <w:tcPr>
            <w:tcW w:w="1272"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b/>
                <w:bCs/>
                <w:color w:val="000000"/>
                <w:sz w:val="19"/>
                <w:szCs w:val="19"/>
                <w:lang w:eastAsia="en-AU"/>
              </w:rPr>
              <w:t>13.1</w:t>
            </w:r>
          </w:p>
        </w:tc>
        <w:tc>
          <w:tcPr>
            <w:tcW w:w="1136"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c>
          <w:tcPr>
            <w:tcW w:w="849"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r>
      <w:tr w:rsidR="00BB67AF" w:rsidRPr="00A120C4" w:rsidTr="003E6750">
        <w:tc>
          <w:tcPr>
            <w:tcW w:w="4962" w:type="dxa"/>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19"/>
                <w:szCs w:val="19"/>
                <w:vertAlign w:val="superscript"/>
                <w:lang w:eastAsia="en-AU"/>
              </w:rPr>
            </w:pPr>
            <w:r w:rsidRPr="00A120C4">
              <w:rPr>
                <w:rFonts w:ascii="Calibri" w:eastAsiaTheme="minorEastAsia" w:hAnsi="Calibri" w:cs="Calibri"/>
                <w:b/>
                <w:bCs/>
                <w:color w:val="000000"/>
                <w:sz w:val="19"/>
                <w:szCs w:val="19"/>
                <w:lang w:eastAsia="en-AU"/>
              </w:rPr>
              <w:t xml:space="preserve">Net financial liabilities to GSP </w:t>
            </w:r>
            <w:r w:rsidRPr="00A120C4">
              <w:rPr>
                <w:rFonts w:ascii="Calibri" w:eastAsiaTheme="minorEastAsia" w:hAnsi="Calibri" w:cs="Calibri"/>
                <w:b/>
                <w:bCs/>
                <w:color w:val="000000"/>
                <w:sz w:val="19"/>
                <w:szCs w:val="19"/>
                <w:vertAlign w:val="superscript"/>
                <w:lang w:eastAsia="en-AU"/>
              </w:rPr>
              <w:t>(d)</w:t>
            </w:r>
          </w:p>
        </w:tc>
        <w:tc>
          <w:tcPr>
            <w:tcW w:w="1417" w:type="dxa"/>
            <w:gridSpan w:val="2"/>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b/>
                <w:bCs/>
                <w:color w:val="000000"/>
                <w:sz w:val="19"/>
                <w:szCs w:val="19"/>
                <w:lang w:eastAsia="en-AU"/>
              </w:rPr>
              <w:t>15.2</w:t>
            </w:r>
          </w:p>
        </w:tc>
        <w:tc>
          <w:tcPr>
            <w:tcW w:w="1272" w:type="dxa"/>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b/>
                <w:bCs/>
                <w:color w:val="000000"/>
                <w:sz w:val="19"/>
                <w:szCs w:val="19"/>
                <w:lang w:eastAsia="en-AU"/>
              </w:rPr>
              <w:t>14.6</w:t>
            </w:r>
          </w:p>
        </w:tc>
        <w:tc>
          <w:tcPr>
            <w:tcW w:w="1136" w:type="dxa"/>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c>
          <w:tcPr>
            <w:tcW w:w="849" w:type="dxa"/>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r>
    </w:tbl>
    <w:p w:rsidR="00BB67AF" w:rsidRDefault="00BB67AF" w:rsidP="003E6750">
      <w:pPr>
        <w:pStyle w:val="Notes"/>
      </w:pPr>
      <w:r>
        <w:t>Notes:</w:t>
      </w:r>
    </w:p>
    <w:p w:rsidR="00BB67AF" w:rsidRDefault="00BB67AF" w:rsidP="003E6750">
      <w:pPr>
        <w:pStyle w:val="Notes"/>
      </w:pPr>
      <w:r>
        <w:t>(a)</w:t>
      </w:r>
      <w:r>
        <w:tab/>
        <w:t>The sum of borrowings, deposits held and advances received less the sum of cash and deposits, advances paid, and investments, loans and placements.</w:t>
      </w:r>
    </w:p>
    <w:p w:rsidR="00BB67AF" w:rsidRDefault="00BB67AF" w:rsidP="003E6750">
      <w:pPr>
        <w:pStyle w:val="Notes"/>
      </w:pPr>
      <w:r>
        <w:t>(b)</w:t>
      </w:r>
      <w:r>
        <w:tab/>
        <w:t>Includes other employee entitlements, provisions and other liabilities, less other non-equity financial assets.</w:t>
      </w:r>
    </w:p>
    <w:p w:rsidR="00BB67AF" w:rsidRDefault="00BB67AF" w:rsidP="003E6750">
      <w:pPr>
        <w:pStyle w:val="Notes"/>
      </w:pPr>
      <w:r>
        <w:t>(c)</w:t>
      </w:r>
      <w:r>
        <w:tab/>
        <w:t>Total liabilities less financial assets (excluding investments in other sector entities).</w:t>
      </w:r>
    </w:p>
    <w:p w:rsidR="00BB67AF" w:rsidRDefault="00BB67AF" w:rsidP="003E6750">
      <w:pPr>
        <w:pStyle w:val="Notes"/>
      </w:pPr>
      <w:r>
        <w:t>(d)</w:t>
      </w:r>
      <w:r>
        <w:tab/>
        <w:t xml:space="preserve">Ratios to GSP may vary from publications year-to-year due to revisions to the ABS GSP data. The ratios to GSP as at 31 December 2015 reflect the 2015-16 GSP forecast growth rate for the full year.  </w:t>
      </w:r>
    </w:p>
    <w:p w:rsidR="00BB67AF" w:rsidRDefault="00BB67AF" w:rsidP="003E6750"/>
    <w:p w:rsidR="00BB67AF" w:rsidRDefault="00BB67AF">
      <w:pPr>
        <w:spacing w:after="0"/>
        <w:rPr>
          <w:rFonts w:ascii="Calibri" w:hAnsi="Calibri"/>
          <w:b/>
          <w:kern w:val="28"/>
          <w:sz w:val="28"/>
          <w:szCs w:val="22"/>
        </w:rPr>
      </w:pPr>
      <w:r>
        <w:br w:type="page"/>
      </w:r>
    </w:p>
    <w:p w:rsidR="00BB67AF" w:rsidRDefault="00BB67AF" w:rsidP="003E6750">
      <w:pPr>
        <w:pStyle w:val="Heading2"/>
      </w:pPr>
      <w:r>
        <w:lastRenderedPageBreak/>
        <w:t>Non-financial public sector</w:t>
      </w:r>
    </w:p>
    <w:p w:rsidR="00BB67AF" w:rsidRDefault="00BB67AF" w:rsidP="003E6750">
      <w:r w:rsidRPr="004D6A1B">
        <w:t>Table 1.4 includes indicators used to assess financial sustainability of the NFPS (comprising the general government and PNFC sectors), which is significant for the State’s credit rating. The increase in net debt by $408 million has resulted in an increase in net financial liabilities. However, the ratio of net financial liabilities to GSP decreased from 18.9 per cent to 18.1 per cent during the six month period. This is as a result of a greater expected increase in the economic output of the State (GSP) compared to the increase in net financial liabilities.</w:t>
      </w:r>
      <w:r>
        <w:t xml:space="preserve"> </w:t>
      </w:r>
    </w:p>
    <w:p w:rsidR="00BB67AF" w:rsidRDefault="00BB67AF" w:rsidP="003E6750">
      <w:pPr>
        <w:pStyle w:val="Tableheading"/>
      </w:pPr>
      <w:r>
        <w:t>Table 1.4:</w:t>
      </w:r>
      <w:r>
        <w:tab/>
        <w:t>Non-financial public sector net debt and net financial liabilities as at 31 December 2015</w:t>
      </w:r>
    </w:p>
    <w:p w:rsidR="00BB67AF" w:rsidRPr="00510164" w:rsidRDefault="00BB67AF" w:rsidP="003E6750">
      <w:pPr>
        <w:pStyle w:val="million"/>
        <w:rPr>
          <w:b/>
          <w:bCs/>
          <w:sz w:val="25"/>
          <w:lang w:val="en-US"/>
        </w:rPr>
      </w:pPr>
      <w:r>
        <w:t>($ million)</w:t>
      </w:r>
    </w:p>
    <w:tbl>
      <w:tblPr>
        <w:tblW w:w="9636" w:type="dxa"/>
        <w:tblInd w:w="45" w:type="dxa"/>
        <w:tblLayout w:type="fixed"/>
        <w:tblCellMar>
          <w:left w:w="45" w:type="dxa"/>
          <w:right w:w="45" w:type="dxa"/>
        </w:tblCellMar>
        <w:tblLook w:val="0000" w:firstRow="0" w:lastRow="0" w:firstColumn="0" w:lastColumn="0" w:noHBand="0" w:noVBand="0"/>
      </w:tblPr>
      <w:tblGrid>
        <w:gridCol w:w="4960"/>
        <w:gridCol w:w="1406"/>
        <w:gridCol w:w="11"/>
        <w:gridCol w:w="1270"/>
        <w:gridCol w:w="1139"/>
        <w:gridCol w:w="850"/>
      </w:tblGrid>
      <w:tr w:rsidR="00B742C7" w:rsidRPr="00A120C4" w:rsidTr="00897890">
        <w:trPr>
          <w:trHeight w:val="464"/>
          <w:tblHeader/>
        </w:trPr>
        <w:tc>
          <w:tcPr>
            <w:tcW w:w="4960" w:type="dxa"/>
            <w:tcBorders>
              <w:top w:val="nil"/>
              <w:left w:val="nil"/>
              <w:right w:val="nil"/>
            </w:tcBorders>
            <w:shd w:val="solid" w:color="000000" w:fill="auto"/>
            <w:vAlign w:val="bottom"/>
          </w:tcPr>
          <w:p w:rsidR="00B742C7" w:rsidRPr="00A120C4" w:rsidRDefault="00B742C7" w:rsidP="003E6750">
            <w:pPr>
              <w:autoSpaceDE w:val="0"/>
              <w:autoSpaceDN w:val="0"/>
              <w:adjustRightInd w:val="0"/>
              <w:spacing w:after="0"/>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 xml:space="preserve"> </w:t>
            </w:r>
          </w:p>
        </w:tc>
        <w:tc>
          <w:tcPr>
            <w:tcW w:w="1417" w:type="dxa"/>
            <w:gridSpan w:val="2"/>
            <w:tcBorders>
              <w:top w:val="nil"/>
              <w:left w:val="nil"/>
              <w:right w:val="nil"/>
            </w:tcBorders>
            <w:shd w:val="solid" w:color="000000" w:fill="auto"/>
            <w:vAlign w:val="bottom"/>
          </w:tcPr>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Opening</w:t>
            </w:r>
          </w:p>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1 July 2015</w:t>
            </w:r>
          </w:p>
        </w:tc>
        <w:tc>
          <w:tcPr>
            <w:tcW w:w="1270" w:type="dxa"/>
            <w:tcBorders>
              <w:top w:val="nil"/>
              <w:left w:val="nil"/>
              <w:right w:val="nil"/>
            </w:tcBorders>
            <w:shd w:val="solid" w:color="000000" w:fill="auto"/>
            <w:vAlign w:val="bottom"/>
          </w:tcPr>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Closing</w:t>
            </w:r>
          </w:p>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31 Dec 2015</w:t>
            </w:r>
          </w:p>
        </w:tc>
        <w:tc>
          <w:tcPr>
            <w:tcW w:w="1139" w:type="dxa"/>
            <w:tcBorders>
              <w:top w:val="nil"/>
              <w:left w:val="nil"/>
              <w:right w:val="nil"/>
            </w:tcBorders>
            <w:shd w:val="solid" w:color="000000" w:fill="auto"/>
            <w:vAlign w:val="bottom"/>
          </w:tcPr>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Actual</w:t>
            </w:r>
          </w:p>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movement</w:t>
            </w:r>
          </w:p>
        </w:tc>
        <w:tc>
          <w:tcPr>
            <w:tcW w:w="850" w:type="dxa"/>
            <w:tcBorders>
              <w:top w:val="nil"/>
              <w:left w:val="nil"/>
              <w:right w:val="nil"/>
            </w:tcBorders>
            <w:shd w:val="solid" w:color="000000" w:fill="auto"/>
            <w:vAlign w:val="bottom"/>
          </w:tcPr>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w:t>
            </w:r>
          </w:p>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19"/>
                <w:szCs w:val="19"/>
                <w:lang w:eastAsia="en-AU"/>
              </w:rPr>
            </w:pPr>
            <w:r w:rsidRPr="00A120C4">
              <w:rPr>
                <w:rFonts w:ascii="Calibri" w:eastAsiaTheme="minorEastAsia" w:hAnsi="Calibri" w:cs="Calibri"/>
                <w:i/>
                <w:iCs/>
                <w:color w:val="FFFFFF"/>
                <w:sz w:val="19"/>
                <w:szCs w:val="19"/>
                <w:lang w:eastAsia="en-AU"/>
              </w:rPr>
              <w:t>change</w:t>
            </w:r>
          </w:p>
        </w:tc>
      </w:tr>
      <w:tr w:rsidR="00BB67AF" w:rsidRPr="00A120C4" w:rsidTr="00B742C7">
        <w:tc>
          <w:tcPr>
            <w:tcW w:w="496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Assets</w:t>
            </w:r>
          </w:p>
        </w:tc>
        <w:tc>
          <w:tcPr>
            <w:tcW w:w="140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c>
          <w:tcPr>
            <w:tcW w:w="1281"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c>
          <w:tcPr>
            <w:tcW w:w="1139"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c>
          <w:tcPr>
            <w:tcW w:w="85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r>
      <w:tr w:rsidR="00BB67AF" w:rsidRPr="00A120C4" w:rsidTr="00B742C7">
        <w:tc>
          <w:tcPr>
            <w:tcW w:w="496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Cash and deposits</w:t>
            </w:r>
          </w:p>
        </w:tc>
        <w:tc>
          <w:tcPr>
            <w:tcW w:w="140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5 374</w:t>
            </w:r>
          </w:p>
        </w:tc>
        <w:tc>
          <w:tcPr>
            <w:tcW w:w="1281"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4 951</w:t>
            </w:r>
          </w:p>
        </w:tc>
        <w:tc>
          <w:tcPr>
            <w:tcW w:w="1139"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(422)</w:t>
            </w:r>
          </w:p>
        </w:tc>
        <w:tc>
          <w:tcPr>
            <w:tcW w:w="85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(8)</w:t>
            </w:r>
          </w:p>
        </w:tc>
      </w:tr>
      <w:tr w:rsidR="00BB67AF" w:rsidRPr="00A120C4" w:rsidTr="00B742C7">
        <w:tc>
          <w:tcPr>
            <w:tcW w:w="496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Advances paid</w:t>
            </w:r>
          </w:p>
        </w:tc>
        <w:tc>
          <w:tcPr>
            <w:tcW w:w="140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89</w:t>
            </w:r>
          </w:p>
        </w:tc>
        <w:tc>
          <w:tcPr>
            <w:tcW w:w="1281"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97</w:t>
            </w:r>
          </w:p>
        </w:tc>
        <w:tc>
          <w:tcPr>
            <w:tcW w:w="1139"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8</w:t>
            </w:r>
          </w:p>
        </w:tc>
        <w:tc>
          <w:tcPr>
            <w:tcW w:w="85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9</w:t>
            </w:r>
          </w:p>
        </w:tc>
      </w:tr>
      <w:tr w:rsidR="00BB67AF" w:rsidRPr="00A120C4" w:rsidTr="00B742C7">
        <w:tc>
          <w:tcPr>
            <w:tcW w:w="4960"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Investment, loans and placements</w:t>
            </w:r>
          </w:p>
        </w:tc>
        <w:tc>
          <w:tcPr>
            <w:tcW w:w="1406"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4 395</w:t>
            </w:r>
          </w:p>
        </w:tc>
        <w:tc>
          <w:tcPr>
            <w:tcW w:w="1281" w:type="dxa"/>
            <w:gridSpan w:val="2"/>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4 593</w:t>
            </w:r>
          </w:p>
        </w:tc>
        <w:tc>
          <w:tcPr>
            <w:tcW w:w="1139"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198</w:t>
            </w:r>
          </w:p>
        </w:tc>
        <w:tc>
          <w:tcPr>
            <w:tcW w:w="850"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4</w:t>
            </w:r>
          </w:p>
        </w:tc>
      </w:tr>
      <w:tr w:rsidR="00BB67AF" w:rsidRPr="00A120C4" w:rsidTr="00B742C7">
        <w:tc>
          <w:tcPr>
            <w:tcW w:w="4960"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Total</w:t>
            </w:r>
          </w:p>
        </w:tc>
        <w:tc>
          <w:tcPr>
            <w:tcW w:w="1406"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9 858</w:t>
            </w:r>
          </w:p>
        </w:tc>
        <w:tc>
          <w:tcPr>
            <w:tcW w:w="1281" w:type="dxa"/>
            <w:gridSpan w:val="2"/>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9 641</w:t>
            </w:r>
          </w:p>
        </w:tc>
        <w:tc>
          <w:tcPr>
            <w:tcW w:w="1139"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b/>
                <w:bCs/>
                <w:color w:val="000000"/>
                <w:sz w:val="19"/>
                <w:szCs w:val="19"/>
                <w:lang w:eastAsia="en-AU"/>
              </w:rPr>
              <w:t>(217)</w:t>
            </w:r>
          </w:p>
        </w:tc>
        <w:tc>
          <w:tcPr>
            <w:tcW w:w="850"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b/>
                <w:bCs/>
                <w:color w:val="000000"/>
                <w:sz w:val="19"/>
                <w:szCs w:val="19"/>
                <w:lang w:eastAsia="en-AU"/>
              </w:rPr>
              <w:t>(2)</w:t>
            </w:r>
          </w:p>
        </w:tc>
      </w:tr>
      <w:tr w:rsidR="00BB67AF" w:rsidRPr="00A120C4" w:rsidTr="00B742C7">
        <w:tc>
          <w:tcPr>
            <w:tcW w:w="496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Liabilities</w:t>
            </w:r>
          </w:p>
        </w:tc>
        <w:tc>
          <w:tcPr>
            <w:tcW w:w="140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c>
          <w:tcPr>
            <w:tcW w:w="1281"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c>
          <w:tcPr>
            <w:tcW w:w="1139"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color w:val="000000"/>
                <w:sz w:val="19"/>
                <w:szCs w:val="19"/>
                <w:lang w:eastAsia="en-AU"/>
              </w:rPr>
              <w:t xml:space="preserve"> </w:t>
            </w:r>
          </w:p>
        </w:tc>
        <w:tc>
          <w:tcPr>
            <w:tcW w:w="85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color w:val="000000"/>
                <w:sz w:val="19"/>
                <w:szCs w:val="19"/>
                <w:lang w:eastAsia="en-AU"/>
              </w:rPr>
              <w:t xml:space="preserve"> </w:t>
            </w:r>
          </w:p>
        </w:tc>
      </w:tr>
      <w:tr w:rsidR="00BB67AF" w:rsidRPr="00A120C4" w:rsidTr="00B742C7">
        <w:tc>
          <w:tcPr>
            <w:tcW w:w="496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Deposits held and advances received</w:t>
            </w:r>
          </w:p>
        </w:tc>
        <w:tc>
          <w:tcPr>
            <w:tcW w:w="140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637</w:t>
            </w:r>
          </w:p>
        </w:tc>
        <w:tc>
          <w:tcPr>
            <w:tcW w:w="1281"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608</w:t>
            </w:r>
          </w:p>
        </w:tc>
        <w:tc>
          <w:tcPr>
            <w:tcW w:w="1139"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(29)</w:t>
            </w:r>
          </w:p>
        </w:tc>
        <w:tc>
          <w:tcPr>
            <w:tcW w:w="85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(5)</w:t>
            </w:r>
          </w:p>
        </w:tc>
      </w:tr>
      <w:tr w:rsidR="00BB67AF" w:rsidRPr="00A120C4" w:rsidTr="00B742C7">
        <w:tc>
          <w:tcPr>
            <w:tcW w:w="4960"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Borrowings</w:t>
            </w:r>
          </w:p>
        </w:tc>
        <w:tc>
          <w:tcPr>
            <w:tcW w:w="1406"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45 769</w:t>
            </w:r>
          </w:p>
        </w:tc>
        <w:tc>
          <w:tcPr>
            <w:tcW w:w="1281" w:type="dxa"/>
            <w:gridSpan w:val="2"/>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45 989</w:t>
            </w:r>
          </w:p>
        </w:tc>
        <w:tc>
          <w:tcPr>
            <w:tcW w:w="1139"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219</w:t>
            </w:r>
          </w:p>
        </w:tc>
        <w:tc>
          <w:tcPr>
            <w:tcW w:w="850"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w:t>
            </w:r>
          </w:p>
        </w:tc>
      </w:tr>
      <w:tr w:rsidR="00BB67AF" w:rsidRPr="00A120C4" w:rsidTr="00B742C7">
        <w:tc>
          <w:tcPr>
            <w:tcW w:w="4960"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Total</w:t>
            </w:r>
          </w:p>
        </w:tc>
        <w:tc>
          <w:tcPr>
            <w:tcW w:w="1406"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46 406</w:t>
            </w:r>
          </w:p>
        </w:tc>
        <w:tc>
          <w:tcPr>
            <w:tcW w:w="1281" w:type="dxa"/>
            <w:gridSpan w:val="2"/>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46 597</w:t>
            </w:r>
          </w:p>
        </w:tc>
        <w:tc>
          <w:tcPr>
            <w:tcW w:w="1139"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b/>
                <w:bCs/>
                <w:color w:val="000000"/>
                <w:sz w:val="19"/>
                <w:szCs w:val="19"/>
                <w:lang w:eastAsia="en-AU"/>
              </w:rPr>
              <w:t>191</w:t>
            </w:r>
          </w:p>
        </w:tc>
        <w:tc>
          <w:tcPr>
            <w:tcW w:w="850"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w:t>
            </w:r>
          </w:p>
        </w:tc>
      </w:tr>
      <w:tr w:rsidR="00BB67AF" w:rsidRPr="00A120C4" w:rsidTr="00B742C7">
        <w:tc>
          <w:tcPr>
            <w:tcW w:w="4960"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b/>
                <w:bCs/>
                <w:color w:val="000000"/>
                <w:sz w:val="19"/>
                <w:szCs w:val="19"/>
                <w:vertAlign w:val="superscript"/>
                <w:lang w:eastAsia="en-AU"/>
              </w:rPr>
            </w:pPr>
            <w:r w:rsidRPr="00A120C4">
              <w:rPr>
                <w:rFonts w:ascii="Calibri" w:eastAsiaTheme="minorEastAsia" w:hAnsi="Calibri" w:cs="Arial"/>
                <w:b/>
                <w:bCs/>
                <w:color w:val="000000"/>
                <w:sz w:val="19"/>
                <w:szCs w:val="19"/>
                <w:lang w:eastAsia="en-AU"/>
              </w:rPr>
              <w:t xml:space="preserve">Net debt </w:t>
            </w:r>
            <w:r w:rsidRPr="00A120C4">
              <w:rPr>
                <w:rFonts w:ascii="Calibri" w:eastAsiaTheme="minorEastAsia" w:hAnsi="Calibri" w:cs="Arial"/>
                <w:b/>
                <w:bCs/>
                <w:color w:val="000000"/>
                <w:sz w:val="19"/>
                <w:szCs w:val="19"/>
                <w:vertAlign w:val="superscript"/>
                <w:lang w:eastAsia="en-AU"/>
              </w:rPr>
              <w:t>(a)</w:t>
            </w:r>
          </w:p>
        </w:tc>
        <w:tc>
          <w:tcPr>
            <w:tcW w:w="1406"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36 548</w:t>
            </w:r>
          </w:p>
        </w:tc>
        <w:tc>
          <w:tcPr>
            <w:tcW w:w="1281" w:type="dxa"/>
            <w:gridSpan w:val="2"/>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36 956</w:t>
            </w:r>
          </w:p>
        </w:tc>
        <w:tc>
          <w:tcPr>
            <w:tcW w:w="1139"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b/>
                <w:bCs/>
                <w:color w:val="000000"/>
                <w:sz w:val="19"/>
                <w:szCs w:val="19"/>
                <w:lang w:eastAsia="en-AU"/>
              </w:rPr>
              <w:t>408</w:t>
            </w:r>
          </w:p>
        </w:tc>
        <w:tc>
          <w:tcPr>
            <w:tcW w:w="850"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b/>
                <w:bCs/>
                <w:color w:val="000000"/>
                <w:sz w:val="19"/>
                <w:szCs w:val="19"/>
                <w:lang w:eastAsia="en-AU"/>
              </w:rPr>
              <w:t>1</w:t>
            </w:r>
          </w:p>
        </w:tc>
      </w:tr>
      <w:tr w:rsidR="00BB67AF" w:rsidRPr="00A120C4" w:rsidTr="00B742C7">
        <w:tc>
          <w:tcPr>
            <w:tcW w:w="4960"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Superannuation liability</w:t>
            </w:r>
          </w:p>
        </w:tc>
        <w:tc>
          <w:tcPr>
            <w:tcW w:w="1406"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25 988</w:t>
            </w:r>
          </w:p>
        </w:tc>
        <w:tc>
          <w:tcPr>
            <w:tcW w:w="1281" w:type="dxa"/>
            <w:gridSpan w:val="2"/>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26 762</w:t>
            </w:r>
          </w:p>
        </w:tc>
        <w:tc>
          <w:tcPr>
            <w:tcW w:w="1139"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773</w:t>
            </w:r>
          </w:p>
        </w:tc>
        <w:tc>
          <w:tcPr>
            <w:tcW w:w="850"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3</w:t>
            </w:r>
          </w:p>
        </w:tc>
      </w:tr>
      <w:tr w:rsidR="00BB67AF" w:rsidRPr="00A120C4" w:rsidTr="00B742C7">
        <w:tc>
          <w:tcPr>
            <w:tcW w:w="4960"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Net debt plus superannuation liabilities</w:t>
            </w:r>
          </w:p>
        </w:tc>
        <w:tc>
          <w:tcPr>
            <w:tcW w:w="1406"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62 537</w:t>
            </w:r>
          </w:p>
        </w:tc>
        <w:tc>
          <w:tcPr>
            <w:tcW w:w="1281" w:type="dxa"/>
            <w:gridSpan w:val="2"/>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63 717</w:t>
            </w:r>
          </w:p>
        </w:tc>
        <w:tc>
          <w:tcPr>
            <w:tcW w:w="1139"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1 181</w:t>
            </w:r>
          </w:p>
        </w:tc>
        <w:tc>
          <w:tcPr>
            <w:tcW w:w="850"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b/>
                <w:bCs/>
                <w:color w:val="000000"/>
                <w:sz w:val="19"/>
                <w:szCs w:val="19"/>
                <w:lang w:eastAsia="en-AU"/>
              </w:rPr>
              <w:t>2</w:t>
            </w:r>
          </w:p>
        </w:tc>
      </w:tr>
      <w:tr w:rsidR="00BB67AF" w:rsidRPr="00A120C4" w:rsidTr="00B742C7">
        <w:tc>
          <w:tcPr>
            <w:tcW w:w="4960"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 xml:space="preserve">Other liabilities (net) </w:t>
            </w:r>
            <w:r w:rsidRPr="00A120C4">
              <w:rPr>
                <w:rFonts w:ascii="Calibri" w:eastAsiaTheme="minorEastAsia" w:hAnsi="Calibri" w:cs="Arial"/>
                <w:color w:val="000000"/>
                <w:sz w:val="19"/>
                <w:szCs w:val="19"/>
                <w:vertAlign w:val="superscript"/>
                <w:lang w:eastAsia="en-AU"/>
              </w:rPr>
              <w:t>(b)</w:t>
            </w:r>
          </w:p>
        </w:tc>
        <w:tc>
          <w:tcPr>
            <w:tcW w:w="1406"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5 692</w:t>
            </w:r>
          </w:p>
        </w:tc>
        <w:tc>
          <w:tcPr>
            <w:tcW w:w="1281" w:type="dxa"/>
            <w:gridSpan w:val="2"/>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color w:val="000000"/>
                <w:sz w:val="19"/>
                <w:szCs w:val="19"/>
                <w:lang w:eastAsia="en-AU"/>
              </w:rPr>
            </w:pPr>
            <w:r w:rsidRPr="00A120C4">
              <w:rPr>
                <w:rFonts w:ascii="Calibri" w:eastAsiaTheme="minorEastAsia" w:hAnsi="Calibri" w:cs="Arial"/>
                <w:color w:val="000000"/>
                <w:sz w:val="19"/>
                <w:szCs w:val="19"/>
                <w:lang w:eastAsia="en-AU"/>
              </w:rPr>
              <w:t>4 792</w:t>
            </w:r>
          </w:p>
        </w:tc>
        <w:tc>
          <w:tcPr>
            <w:tcW w:w="1139"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(900)</w:t>
            </w:r>
          </w:p>
        </w:tc>
        <w:tc>
          <w:tcPr>
            <w:tcW w:w="850"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Arial"/>
                <w:color w:val="000000"/>
                <w:sz w:val="19"/>
                <w:szCs w:val="19"/>
                <w:lang w:eastAsia="en-AU"/>
              </w:rPr>
              <w:t>(16)</w:t>
            </w:r>
          </w:p>
        </w:tc>
      </w:tr>
      <w:tr w:rsidR="00BB67AF" w:rsidRPr="00A120C4" w:rsidTr="00B742C7">
        <w:tc>
          <w:tcPr>
            <w:tcW w:w="4960"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Arial"/>
                <w:b/>
                <w:bCs/>
                <w:color w:val="000000"/>
                <w:sz w:val="19"/>
                <w:szCs w:val="19"/>
                <w:vertAlign w:val="superscript"/>
                <w:lang w:eastAsia="en-AU"/>
              </w:rPr>
            </w:pPr>
            <w:r w:rsidRPr="00A120C4">
              <w:rPr>
                <w:rFonts w:ascii="Calibri" w:eastAsiaTheme="minorEastAsia" w:hAnsi="Calibri" w:cs="Arial"/>
                <w:b/>
                <w:bCs/>
                <w:color w:val="000000"/>
                <w:sz w:val="19"/>
                <w:szCs w:val="19"/>
                <w:lang w:eastAsia="en-AU"/>
              </w:rPr>
              <w:t xml:space="preserve">Net financial liabilities </w:t>
            </w:r>
            <w:r w:rsidRPr="00A120C4">
              <w:rPr>
                <w:rFonts w:ascii="Calibri" w:eastAsiaTheme="minorEastAsia" w:hAnsi="Calibri" w:cs="Arial"/>
                <w:b/>
                <w:bCs/>
                <w:color w:val="000000"/>
                <w:sz w:val="19"/>
                <w:szCs w:val="19"/>
                <w:vertAlign w:val="superscript"/>
                <w:lang w:eastAsia="en-AU"/>
              </w:rPr>
              <w:t>(c)</w:t>
            </w:r>
          </w:p>
        </w:tc>
        <w:tc>
          <w:tcPr>
            <w:tcW w:w="1406"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68 229</w:t>
            </w:r>
          </w:p>
        </w:tc>
        <w:tc>
          <w:tcPr>
            <w:tcW w:w="1281" w:type="dxa"/>
            <w:gridSpan w:val="2"/>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Arial"/>
                <w:b/>
                <w:bCs/>
                <w:color w:val="000000"/>
                <w:sz w:val="19"/>
                <w:szCs w:val="19"/>
                <w:lang w:eastAsia="en-AU"/>
              </w:rPr>
            </w:pPr>
            <w:r w:rsidRPr="00A120C4">
              <w:rPr>
                <w:rFonts w:ascii="Calibri" w:eastAsiaTheme="minorEastAsia" w:hAnsi="Calibri" w:cs="Arial"/>
                <w:b/>
                <w:bCs/>
                <w:color w:val="000000"/>
                <w:sz w:val="19"/>
                <w:szCs w:val="19"/>
                <w:lang w:eastAsia="en-AU"/>
              </w:rPr>
              <w:t>68 509</w:t>
            </w:r>
          </w:p>
        </w:tc>
        <w:tc>
          <w:tcPr>
            <w:tcW w:w="1139"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b/>
                <w:bCs/>
                <w:color w:val="000000"/>
                <w:sz w:val="19"/>
                <w:szCs w:val="19"/>
                <w:lang w:eastAsia="en-AU"/>
              </w:rPr>
              <w:t>281</w:t>
            </w:r>
          </w:p>
        </w:tc>
        <w:tc>
          <w:tcPr>
            <w:tcW w:w="850"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b/>
                <w:bCs/>
                <w:color w:val="000000"/>
                <w:sz w:val="19"/>
                <w:szCs w:val="19"/>
                <w:lang w:eastAsia="en-AU"/>
              </w:rPr>
              <w:t>..</w:t>
            </w:r>
          </w:p>
        </w:tc>
      </w:tr>
      <w:tr w:rsidR="00BB67AF" w:rsidRPr="00A120C4" w:rsidTr="00B742C7">
        <w:trPr>
          <w:trHeight w:hRule="exact" w:val="120"/>
        </w:trPr>
        <w:tc>
          <w:tcPr>
            <w:tcW w:w="4960"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 xml:space="preserve"> </w:t>
            </w:r>
          </w:p>
        </w:tc>
        <w:tc>
          <w:tcPr>
            <w:tcW w:w="1417" w:type="dxa"/>
            <w:gridSpan w:val="2"/>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 xml:space="preserve"> </w:t>
            </w:r>
          </w:p>
        </w:tc>
        <w:tc>
          <w:tcPr>
            <w:tcW w:w="1270"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 xml:space="preserve"> </w:t>
            </w:r>
          </w:p>
        </w:tc>
        <w:tc>
          <w:tcPr>
            <w:tcW w:w="1139"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 xml:space="preserve"> </w:t>
            </w:r>
          </w:p>
        </w:tc>
        <w:tc>
          <w:tcPr>
            <w:tcW w:w="850"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 xml:space="preserve"> </w:t>
            </w:r>
          </w:p>
        </w:tc>
      </w:tr>
      <w:tr w:rsidR="00B742C7" w:rsidRPr="00A120C4" w:rsidTr="00897890">
        <w:tc>
          <w:tcPr>
            <w:tcW w:w="9636" w:type="dxa"/>
            <w:gridSpan w:val="6"/>
            <w:tcBorders>
              <w:top w:val="nil"/>
              <w:left w:val="nil"/>
              <w:right w:val="nil"/>
            </w:tcBorders>
            <w:shd w:val="clear" w:color="auto" w:fill="FFFFFF"/>
          </w:tcPr>
          <w:p w:rsidR="00B742C7" w:rsidRPr="00A120C4" w:rsidRDefault="00B742C7" w:rsidP="00B742C7">
            <w:pPr>
              <w:autoSpaceDE w:val="0"/>
              <w:autoSpaceDN w:val="0"/>
              <w:adjustRightInd w:val="0"/>
              <w:spacing w:after="0"/>
              <w:ind w:left="227" w:hanging="227"/>
              <w:jc w:val="center"/>
              <w:rPr>
                <w:rFonts w:ascii="Calibri" w:eastAsiaTheme="minorEastAsia" w:hAnsi="Calibri" w:cs="Calibri"/>
                <w:i/>
                <w:iCs/>
                <w:color w:val="000000"/>
                <w:sz w:val="19"/>
                <w:szCs w:val="19"/>
                <w:lang w:eastAsia="en-AU"/>
              </w:rPr>
            </w:pPr>
            <w:r w:rsidRPr="00A120C4">
              <w:rPr>
                <w:rFonts w:ascii="Calibri" w:eastAsiaTheme="minorEastAsia" w:hAnsi="Calibri" w:cs="Helvetica"/>
                <w:i/>
                <w:iCs/>
                <w:color w:val="000000"/>
                <w:sz w:val="19"/>
                <w:szCs w:val="19"/>
                <w:lang w:eastAsia="en-AU"/>
              </w:rPr>
              <w:t>(per cent)</w:t>
            </w:r>
          </w:p>
        </w:tc>
      </w:tr>
      <w:tr w:rsidR="00BB67AF" w:rsidRPr="00A120C4" w:rsidTr="00B742C7">
        <w:trPr>
          <w:trHeight w:hRule="exact" w:val="120"/>
        </w:trPr>
        <w:tc>
          <w:tcPr>
            <w:tcW w:w="496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 xml:space="preserve"> </w:t>
            </w:r>
          </w:p>
        </w:tc>
        <w:tc>
          <w:tcPr>
            <w:tcW w:w="1417"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 xml:space="preserve"> </w:t>
            </w:r>
          </w:p>
        </w:tc>
        <w:tc>
          <w:tcPr>
            <w:tcW w:w="127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 xml:space="preserve"> </w:t>
            </w:r>
          </w:p>
        </w:tc>
        <w:tc>
          <w:tcPr>
            <w:tcW w:w="1139" w:type="dxa"/>
            <w:tcBorders>
              <w:top w:val="nil"/>
              <w:left w:val="nil"/>
              <w:right w:val="nil"/>
            </w:tcBorders>
            <w:shd w:val="clear" w:color="auto" w:fill="FFFFFF"/>
          </w:tcPr>
          <w:p w:rsidR="00BB67AF" w:rsidRPr="00A120C4" w:rsidRDefault="00BB67AF" w:rsidP="003E6750">
            <w:pPr>
              <w:autoSpaceDE w:val="0"/>
              <w:autoSpaceDN w:val="0"/>
              <w:adjustRightInd w:val="0"/>
              <w:spacing w:after="0"/>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 xml:space="preserve"> </w:t>
            </w:r>
          </w:p>
        </w:tc>
        <w:tc>
          <w:tcPr>
            <w:tcW w:w="850" w:type="dxa"/>
            <w:tcBorders>
              <w:top w:val="nil"/>
              <w:left w:val="nil"/>
              <w:right w:val="nil"/>
            </w:tcBorders>
            <w:shd w:val="clear" w:color="auto" w:fill="FFFFFF"/>
          </w:tcPr>
          <w:p w:rsidR="00BB67AF" w:rsidRPr="00A120C4" w:rsidRDefault="00BB67AF" w:rsidP="003E6750">
            <w:pPr>
              <w:autoSpaceDE w:val="0"/>
              <w:autoSpaceDN w:val="0"/>
              <w:adjustRightInd w:val="0"/>
              <w:spacing w:after="0"/>
              <w:rPr>
                <w:rFonts w:ascii="Calibri" w:eastAsiaTheme="minorEastAsia" w:hAnsi="Calibri" w:cs="Calibri"/>
                <w:color w:val="000000"/>
                <w:sz w:val="19"/>
                <w:szCs w:val="19"/>
                <w:lang w:eastAsia="en-AU"/>
              </w:rPr>
            </w:pPr>
            <w:r w:rsidRPr="00A120C4">
              <w:rPr>
                <w:rFonts w:ascii="Calibri" w:eastAsiaTheme="minorEastAsia" w:hAnsi="Calibri" w:cs="Calibri"/>
                <w:color w:val="000000"/>
                <w:sz w:val="19"/>
                <w:szCs w:val="19"/>
                <w:lang w:eastAsia="en-AU"/>
              </w:rPr>
              <w:t xml:space="preserve"> </w:t>
            </w:r>
          </w:p>
        </w:tc>
      </w:tr>
      <w:tr w:rsidR="00BB67AF" w:rsidRPr="00A120C4" w:rsidTr="00B742C7">
        <w:tc>
          <w:tcPr>
            <w:tcW w:w="4960"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19"/>
                <w:szCs w:val="19"/>
                <w:vertAlign w:val="superscript"/>
                <w:lang w:eastAsia="en-AU"/>
              </w:rPr>
            </w:pPr>
            <w:r w:rsidRPr="00A120C4">
              <w:rPr>
                <w:rFonts w:ascii="Calibri" w:eastAsiaTheme="minorEastAsia" w:hAnsi="Calibri" w:cs="Calibri"/>
                <w:b/>
                <w:bCs/>
                <w:color w:val="000000"/>
                <w:sz w:val="19"/>
                <w:szCs w:val="19"/>
                <w:lang w:eastAsia="en-AU"/>
              </w:rPr>
              <w:t xml:space="preserve">Net debt to GSP </w:t>
            </w:r>
            <w:r w:rsidRPr="00A120C4">
              <w:rPr>
                <w:rFonts w:ascii="Calibri" w:eastAsiaTheme="minorEastAsia" w:hAnsi="Calibri" w:cs="Calibri"/>
                <w:b/>
                <w:bCs/>
                <w:color w:val="000000"/>
                <w:sz w:val="19"/>
                <w:szCs w:val="19"/>
                <w:vertAlign w:val="superscript"/>
                <w:lang w:eastAsia="en-AU"/>
              </w:rPr>
              <w:t>(d)</w:t>
            </w:r>
          </w:p>
        </w:tc>
        <w:tc>
          <w:tcPr>
            <w:tcW w:w="1417" w:type="dxa"/>
            <w:gridSpan w:val="2"/>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b/>
                <w:bCs/>
                <w:color w:val="000000"/>
                <w:sz w:val="19"/>
                <w:szCs w:val="19"/>
                <w:lang w:eastAsia="en-AU"/>
              </w:rPr>
              <w:t>10.1</w:t>
            </w:r>
          </w:p>
        </w:tc>
        <w:tc>
          <w:tcPr>
            <w:tcW w:w="1270"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b/>
                <w:bCs/>
                <w:color w:val="000000"/>
                <w:sz w:val="19"/>
                <w:szCs w:val="19"/>
                <w:lang w:eastAsia="en-AU"/>
              </w:rPr>
              <w:t>9.8</w:t>
            </w:r>
          </w:p>
        </w:tc>
        <w:tc>
          <w:tcPr>
            <w:tcW w:w="1139"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c>
          <w:tcPr>
            <w:tcW w:w="850"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r>
      <w:tr w:rsidR="00BB67AF" w:rsidRPr="00A120C4" w:rsidTr="00B742C7">
        <w:tc>
          <w:tcPr>
            <w:tcW w:w="4960"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19"/>
                <w:szCs w:val="19"/>
                <w:vertAlign w:val="superscript"/>
                <w:lang w:eastAsia="en-AU"/>
              </w:rPr>
            </w:pPr>
            <w:r w:rsidRPr="00A120C4">
              <w:rPr>
                <w:rFonts w:ascii="Calibri" w:eastAsiaTheme="minorEastAsia" w:hAnsi="Calibri" w:cs="Calibri"/>
                <w:b/>
                <w:bCs/>
                <w:color w:val="000000"/>
                <w:sz w:val="19"/>
                <w:szCs w:val="19"/>
                <w:lang w:eastAsia="en-AU"/>
              </w:rPr>
              <w:t xml:space="preserve">Net debt plus superannuation liabilities to GSP </w:t>
            </w:r>
            <w:r w:rsidRPr="00A120C4">
              <w:rPr>
                <w:rFonts w:ascii="Calibri" w:eastAsiaTheme="minorEastAsia" w:hAnsi="Calibri" w:cs="Calibri"/>
                <w:b/>
                <w:bCs/>
                <w:color w:val="000000"/>
                <w:sz w:val="19"/>
                <w:szCs w:val="19"/>
                <w:vertAlign w:val="superscript"/>
                <w:lang w:eastAsia="en-AU"/>
              </w:rPr>
              <w:t>(d)</w:t>
            </w:r>
          </w:p>
        </w:tc>
        <w:tc>
          <w:tcPr>
            <w:tcW w:w="1417" w:type="dxa"/>
            <w:gridSpan w:val="2"/>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b/>
                <w:bCs/>
                <w:color w:val="000000"/>
                <w:sz w:val="19"/>
                <w:szCs w:val="19"/>
                <w:lang w:eastAsia="en-AU"/>
              </w:rPr>
              <w:t>17.3</w:t>
            </w:r>
          </w:p>
        </w:tc>
        <w:tc>
          <w:tcPr>
            <w:tcW w:w="1270"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b/>
                <w:bCs/>
                <w:color w:val="000000"/>
                <w:sz w:val="19"/>
                <w:szCs w:val="19"/>
                <w:lang w:eastAsia="en-AU"/>
              </w:rPr>
              <w:t>16.8</w:t>
            </w:r>
          </w:p>
        </w:tc>
        <w:tc>
          <w:tcPr>
            <w:tcW w:w="1139"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c>
          <w:tcPr>
            <w:tcW w:w="850"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r>
      <w:tr w:rsidR="00BB67AF" w:rsidRPr="00A120C4" w:rsidTr="00B742C7">
        <w:tc>
          <w:tcPr>
            <w:tcW w:w="4960" w:type="dxa"/>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19"/>
                <w:szCs w:val="19"/>
                <w:vertAlign w:val="superscript"/>
                <w:lang w:eastAsia="en-AU"/>
              </w:rPr>
            </w:pPr>
            <w:r w:rsidRPr="00A120C4">
              <w:rPr>
                <w:rFonts w:ascii="Calibri" w:eastAsiaTheme="minorEastAsia" w:hAnsi="Calibri" w:cs="Calibri"/>
                <w:b/>
                <w:bCs/>
                <w:color w:val="000000"/>
                <w:sz w:val="19"/>
                <w:szCs w:val="19"/>
                <w:lang w:eastAsia="en-AU"/>
              </w:rPr>
              <w:t xml:space="preserve">Net financial liabilities to GSP </w:t>
            </w:r>
            <w:r w:rsidRPr="00A120C4">
              <w:rPr>
                <w:rFonts w:ascii="Calibri" w:eastAsiaTheme="minorEastAsia" w:hAnsi="Calibri" w:cs="Calibri"/>
                <w:b/>
                <w:bCs/>
                <w:color w:val="000000"/>
                <w:sz w:val="19"/>
                <w:szCs w:val="19"/>
                <w:vertAlign w:val="superscript"/>
                <w:lang w:eastAsia="en-AU"/>
              </w:rPr>
              <w:t>(d)</w:t>
            </w:r>
          </w:p>
        </w:tc>
        <w:tc>
          <w:tcPr>
            <w:tcW w:w="1417" w:type="dxa"/>
            <w:gridSpan w:val="2"/>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b/>
                <w:bCs/>
                <w:color w:val="000000"/>
                <w:sz w:val="19"/>
                <w:szCs w:val="19"/>
                <w:lang w:eastAsia="en-AU"/>
              </w:rPr>
              <w:t>18.9</w:t>
            </w:r>
          </w:p>
        </w:tc>
        <w:tc>
          <w:tcPr>
            <w:tcW w:w="1270" w:type="dxa"/>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Arial"/>
                <w:b/>
                <w:bCs/>
                <w:color w:val="000000"/>
                <w:sz w:val="19"/>
                <w:szCs w:val="19"/>
                <w:lang w:eastAsia="en-AU"/>
              </w:rPr>
              <w:t>18.1</w:t>
            </w:r>
          </w:p>
        </w:tc>
        <w:tc>
          <w:tcPr>
            <w:tcW w:w="1139" w:type="dxa"/>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c>
          <w:tcPr>
            <w:tcW w:w="850" w:type="dxa"/>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A120C4">
              <w:rPr>
                <w:rFonts w:ascii="Calibri" w:eastAsiaTheme="minorEastAsia" w:hAnsi="Calibri" w:cs="Calibri"/>
                <w:b/>
                <w:bCs/>
                <w:color w:val="000000"/>
                <w:sz w:val="19"/>
                <w:szCs w:val="19"/>
                <w:lang w:eastAsia="en-AU"/>
              </w:rPr>
              <w:t xml:space="preserve"> </w:t>
            </w:r>
          </w:p>
        </w:tc>
      </w:tr>
    </w:tbl>
    <w:p w:rsidR="00BB67AF" w:rsidRDefault="00BB67AF" w:rsidP="003E6750">
      <w:pPr>
        <w:pStyle w:val="Notes"/>
      </w:pPr>
      <w:r>
        <w:t>Notes:</w:t>
      </w:r>
    </w:p>
    <w:p w:rsidR="00BB67AF" w:rsidRDefault="00BB67AF" w:rsidP="003E6750">
      <w:pPr>
        <w:pStyle w:val="Notes"/>
      </w:pPr>
      <w:r>
        <w:t>(a)</w:t>
      </w:r>
      <w:r>
        <w:tab/>
        <w:t>The sum of borrowings, deposits held and advances received less the sum of cash and deposits, advances paid, and investments, loans and placements.</w:t>
      </w:r>
    </w:p>
    <w:p w:rsidR="00BB67AF" w:rsidRDefault="00BB67AF" w:rsidP="003E6750">
      <w:pPr>
        <w:pStyle w:val="Notes"/>
      </w:pPr>
      <w:r>
        <w:t>(b)</w:t>
      </w:r>
      <w:r>
        <w:tab/>
        <w:t>Includes other employee entitlements, provisions and other liabilities, less other non-equity financial assets.</w:t>
      </w:r>
    </w:p>
    <w:p w:rsidR="00BB67AF" w:rsidRDefault="00BB67AF" w:rsidP="003E6750">
      <w:pPr>
        <w:pStyle w:val="Notes"/>
      </w:pPr>
      <w:r>
        <w:t>(c)</w:t>
      </w:r>
      <w:r>
        <w:tab/>
        <w:t>Total liabilities less financial assets (excluding investments in other sector entities).</w:t>
      </w:r>
    </w:p>
    <w:p w:rsidR="00BB67AF" w:rsidRDefault="00BB67AF" w:rsidP="003E6750">
      <w:pPr>
        <w:pStyle w:val="Notes"/>
      </w:pPr>
      <w:r>
        <w:t>(d)</w:t>
      </w:r>
      <w:r>
        <w:tab/>
        <w:t xml:space="preserve">Ratios to GSP may vary from publications year-to-year due to revisions to the ABS GSP data. The ratios to GSP as at 31 December 2015 reflect the 2015-16 GSP forecast growth rate for the full year.   </w:t>
      </w:r>
    </w:p>
    <w:p w:rsidR="00BB67AF" w:rsidRDefault="00BB67AF" w:rsidP="003E6750">
      <w:pPr>
        <w:spacing w:after="0"/>
      </w:pPr>
      <w:r>
        <w:br w:type="page"/>
      </w:r>
    </w:p>
    <w:p w:rsidR="00BB67AF" w:rsidRPr="004B33FF" w:rsidRDefault="00BB67AF" w:rsidP="003E6750">
      <w:pPr>
        <w:pStyle w:val="Chartpara"/>
        <w:rPr>
          <w:vanish/>
        </w:rPr>
      </w:pPr>
    </w:p>
    <w:p w:rsidR="00BB67AF" w:rsidRDefault="00BB67AF" w:rsidP="00443963">
      <w:pPr>
        <w:sectPr w:rsidR="00BB67AF" w:rsidSect="00A22BE1">
          <w:footerReference w:type="even" r:id="rId19"/>
          <w:footerReference w:type="default" r:id="rId20"/>
          <w:footerReference w:type="first" r:id="rId21"/>
          <w:type w:val="oddPage"/>
          <w:pgSz w:w="11906" w:h="16838" w:code="9"/>
          <w:pgMar w:top="1152" w:right="1152" w:bottom="1152" w:left="1152" w:header="720" w:footer="720" w:gutter="0"/>
          <w:pgNumType w:start="1"/>
          <w:cols w:space="708"/>
          <w:docGrid w:linePitch="360"/>
        </w:sectPr>
      </w:pPr>
    </w:p>
    <w:p w:rsidR="00BB67AF" w:rsidRDefault="00BB67AF" w:rsidP="003E6750">
      <w:pPr>
        <w:pStyle w:val="ChapterHeading"/>
      </w:pPr>
      <w:bookmarkStart w:id="8" w:name="_Toc445283148"/>
      <w:r>
        <w:lastRenderedPageBreak/>
        <w:t>Chapter 2 – Mid-year financial report</w:t>
      </w:r>
      <w:bookmarkEnd w:id="8"/>
    </w:p>
    <w:p w:rsidR="00BB67AF" w:rsidRDefault="00BB67AF" w:rsidP="003E6750">
      <w:pPr>
        <w:pStyle w:val="Tableheading"/>
      </w:pPr>
      <w:r>
        <w:t>Consolidated comprehensive operating statement for the six months ended 31 December</w:t>
      </w:r>
    </w:p>
    <w:p w:rsidR="00BB67AF" w:rsidRPr="00554280" w:rsidRDefault="00BB67AF" w:rsidP="003E6750">
      <w:pPr>
        <w:pStyle w:val="million"/>
        <w:rPr>
          <w:b/>
          <w:bCs/>
          <w:lang w:val="en-US"/>
        </w:rPr>
      </w:pPr>
      <w:r>
        <w:t>($ million)</w:t>
      </w:r>
    </w:p>
    <w:tbl>
      <w:tblPr>
        <w:tblW w:w="9644" w:type="dxa"/>
        <w:tblInd w:w="45" w:type="dxa"/>
        <w:tblLayout w:type="fixed"/>
        <w:tblCellMar>
          <w:left w:w="45" w:type="dxa"/>
          <w:right w:w="45" w:type="dxa"/>
        </w:tblCellMar>
        <w:tblLook w:val="0000" w:firstRow="0" w:lastRow="0" w:firstColumn="0" w:lastColumn="0" w:noHBand="0" w:noVBand="0"/>
      </w:tblPr>
      <w:tblGrid>
        <w:gridCol w:w="5370"/>
        <w:gridCol w:w="570"/>
        <w:gridCol w:w="9"/>
        <w:gridCol w:w="844"/>
        <w:gridCol w:w="6"/>
        <w:gridCol w:w="993"/>
        <w:gridCol w:w="996"/>
        <w:gridCol w:w="856"/>
      </w:tblGrid>
      <w:tr w:rsidR="00B742C7" w:rsidRPr="00A120C4" w:rsidTr="00FA5601">
        <w:trPr>
          <w:tblHeader/>
        </w:trPr>
        <w:tc>
          <w:tcPr>
            <w:tcW w:w="5371" w:type="dxa"/>
            <w:tcBorders>
              <w:top w:val="nil"/>
              <w:left w:val="nil"/>
              <w:bottom w:val="nil"/>
              <w:right w:val="nil"/>
            </w:tcBorders>
            <w:shd w:val="solid" w:color="000000" w:fill="auto"/>
            <w:vAlign w:val="bottom"/>
          </w:tcPr>
          <w:p w:rsidR="00B742C7" w:rsidRPr="00A120C4" w:rsidRDefault="00A120C4" w:rsidP="003E6750">
            <w:pPr>
              <w:autoSpaceDE w:val="0"/>
              <w:autoSpaceDN w:val="0"/>
              <w:adjustRightInd w:val="0"/>
              <w:spacing w:after="0"/>
              <w:jc w:val="right"/>
              <w:rPr>
                <w:rFonts w:asciiTheme="minorHAnsi" w:eastAsiaTheme="minorEastAsia" w:hAnsiTheme="minorHAnsi" w:cs="Calibri"/>
                <w:i/>
                <w:iCs/>
                <w:color w:val="FFFFFF"/>
                <w:sz w:val="18"/>
                <w:szCs w:val="18"/>
                <w:lang w:eastAsia="en-AU"/>
              </w:rPr>
            </w:pPr>
            <w:r>
              <w:rPr>
                <w:rFonts w:asciiTheme="minorHAnsi" w:eastAsiaTheme="minorEastAsia" w:hAnsiTheme="minorHAnsi" w:cs="Calibri"/>
                <w:i/>
                <w:iCs/>
                <w:color w:val="FFFFFF"/>
                <w:sz w:val="18"/>
                <w:szCs w:val="18"/>
                <w:lang w:eastAsia="en-AU"/>
              </w:rPr>
              <w:t>.</w:t>
            </w:r>
          </w:p>
        </w:tc>
        <w:tc>
          <w:tcPr>
            <w:tcW w:w="570" w:type="dxa"/>
            <w:tcBorders>
              <w:top w:val="nil"/>
              <w:left w:val="nil"/>
              <w:bottom w:val="nil"/>
              <w:right w:val="nil"/>
            </w:tcBorders>
            <w:shd w:val="solid" w:color="000000" w:fill="auto"/>
            <w:vAlign w:val="bottom"/>
          </w:tcPr>
          <w:p w:rsidR="00B742C7" w:rsidRPr="00A120C4" w:rsidRDefault="00B742C7" w:rsidP="003E6750">
            <w:pPr>
              <w:autoSpaceDE w:val="0"/>
              <w:autoSpaceDN w:val="0"/>
              <w:adjustRightInd w:val="0"/>
              <w:spacing w:after="0"/>
              <w:jc w:val="right"/>
              <w:rPr>
                <w:rFonts w:asciiTheme="minorHAnsi" w:eastAsiaTheme="minorEastAsia" w:hAnsiTheme="minorHAnsi" w:cs="Calibri"/>
                <w:i/>
                <w:iCs/>
                <w:color w:val="FFFFFF"/>
                <w:sz w:val="18"/>
                <w:szCs w:val="18"/>
                <w:lang w:eastAsia="en-AU"/>
              </w:rPr>
            </w:pPr>
            <w:r w:rsidRPr="00A120C4">
              <w:rPr>
                <w:rFonts w:asciiTheme="minorHAnsi" w:eastAsiaTheme="minorEastAsia" w:hAnsiTheme="minorHAnsi" w:cs="Calibri"/>
                <w:i/>
                <w:iCs/>
                <w:color w:val="FFFFFF"/>
                <w:sz w:val="18"/>
                <w:szCs w:val="18"/>
                <w:lang w:eastAsia="en-AU"/>
              </w:rPr>
              <w:t xml:space="preserve"> </w:t>
            </w:r>
          </w:p>
        </w:tc>
        <w:tc>
          <w:tcPr>
            <w:tcW w:w="1852" w:type="dxa"/>
            <w:gridSpan w:val="4"/>
            <w:tcBorders>
              <w:top w:val="nil"/>
              <w:left w:val="nil"/>
              <w:bottom w:val="nil"/>
              <w:right w:val="nil"/>
            </w:tcBorders>
            <w:shd w:val="solid" w:color="000000" w:fill="auto"/>
            <w:vAlign w:val="bottom"/>
          </w:tcPr>
          <w:p w:rsidR="00B742C7" w:rsidRPr="00A120C4" w:rsidRDefault="00B742C7" w:rsidP="00B742C7">
            <w:pPr>
              <w:autoSpaceDE w:val="0"/>
              <w:autoSpaceDN w:val="0"/>
              <w:adjustRightInd w:val="0"/>
              <w:spacing w:after="0"/>
              <w:jc w:val="center"/>
              <w:rPr>
                <w:rFonts w:asciiTheme="minorHAnsi" w:eastAsiaTheme="minorEastAsia" w:hAnsiTheme="minorHAnsi" w:cs="Calibri"/>
                <w:i/>
                <w:iCs/>
                <w:color w:val="FFFFFF"/>
                <w:sz w:val="18"/>
                <w:szCs w:val="18"/>
                <w:lang w:eastAsia="en-AU"/>
              </w:rPr>
            </w:pPr>
            <w:r w:rsidRPr="00A120C4">
              <w:rPr>
                <w:rFonts w:asciiTheme="minorHAnsi" w:eastAsiaTheme="minorEastAsia" w:hAnsiTheme="minorHAnsi" w:cs="Calibri"/>
                <w:i/>
                <w:iCs/>
                <w:color w:val="FFFFFF"/>
                <w:sz w:val="18"/>
                <w:szCs w:val="18"/>
                <w:lang w:eastAsia="en-AU"/>
              </w:rPr>
              <w:t xml:space="preserve">State of Victoria </w:t>
            </w:r>
          </w:p>
        </w:tc>
        <w:tc>
          <w:tcPr>
            <w:tcW w:w="1851" w:type="dxa"/>
            <w:gridSpan w:val="2"/>
            <w:tcBorders>
              <w:top w:val="nil"/>
              <w:left w:val="nil"/>
              <w:bottom w:val="nil"/>
              <w:right w:val="nil"/>
            </w:tcBorders>
            <w:shd w:val="solid" w:color="000000" w:fill="auto"/>
            <w:vAlign w:val="bottom"/>
          </w:tcPr>
          <w:p w:rsidR="00B742C7" w:rsidRPr="00A120C4" w:rsidRDefault="00B742C7" w:rsidP="00B742C7">
            <w:pPr>
              <w:autoSpaceDE w:val="0"/>
              <w:autoSpaceDN w:val="0"/>
              <w:adjustRightInd w:val="0"/>
              <w:spacing w:after="0"/>
              <w:jc w:val="center"/>
              <w:rPr>
                <w:rFonts w:asciiTheme="minorHAnsi" w:eastAsiaTheme="minorEastAsia" w:hAnsiTheme="minorHAnsi" w:cs="Calibri"/>
                <w:i/>
                <w:iCs/>
                <w:color w:val="FFFFFF"/>
                <w:sz w:val="18"/>
                <w:szCs w:val="18"/>
                <w:lang w:eastAsia="en-AU"/>
              </w:rPr>
            </w:pPr>
            <w:r w:rsidRPr="00A120C4">
              <w:rPr>
                <w:rFonts w:asciiTheme="minorHAnsi" w:eastAsiaTheme="minorEastAsia" w:hAnsiTheme="minorHAnsi" w:cs="Calibri"/>
                <w:i/>
                <w:iCs/>
                <w:color w:val="FFFFFF"/>
                <w:sz w:val="18"/>
                <w:szCs w:val="18"/>
                <w:lang w:eastAsia="en-AU"/>
              </w:rPr>
              <w:t xml:space="preserve">General </w:t>
            </w:r>
            <w:r w:rsidRPr="00A120C4">
              <w:rPr>
                <w:rFonts w:asciiTheme="minorHAnsi" w:eastAsiaTheme="minorEastAsia" w:hAnsiTheme="minorHAnsi" w:cs="Calibri"/>
                <w:i/>
                <w:iCs/>
                <w:color w:val="FFFFFF"/>
                <w:sz w:val="18"/>
                <w:szCs w:val="18"/>
                <w:lang w:eastAsia="en-AU"/>
              </w:rPr>
              <w:br/>
              <w:t xml:space="preserve">government sector </w:t>
            </w:r>
          </w:p>
        </w:tc>
      </w:tr>
      <w:tr w:rsidR="00BB67AF" w:rsidRPr="00A120C4" w:rsidTr="00FA5601">
        <w:trPr>
          <w:tblHeader/>
        </w:trPr>
        <w:tc>
          <w:tcPr>
            <w:tcW w:w="5371" w:type="dxa"/>
            <w:tcBorders>
              <w:top w:val="nil"/>
              <w:left w:val="nil"/>
              <w:right w:val="nil"/>
            </w:tcBorders>
            <w:shd w:val="solid" w:color="000000" w:fill="auto"/>
            <w:vAlign w:val="bottom"/>
          </w:tcPr>
          <w:p w:rsidR="00BB67AF" w:rsidRPr="00A120C4" w:rsidRDefault="00BB67AF" w:rsidP="003E6750">
            <w:pPr>
              <w:autoSpaceDE w:val="0"/>
              <w:autoSpaceDN w:val="0"/>
              <w:adjustRightInd w:val="0"/>
              <w:spacing w:after="0"/>
              <w:jc w:val="right"/>
              <w:rPr>
                <w:rFonts w:asciiTheme="minorHAnsi" w:eastAsiaTheme="minorEastAsia" w:hAnsiTheme="minorHAnsi" w:cs="Calibri"/>
                <w:i/>
                <w:iCs/>
                <w:color w:val="FFFFFF"/>
                <w:sz w:val="18"/>
                <w:szCs w:val="18"/>
                <w:lang w:eastAsia="en-AU"/>
              </w:rPr>
            </w:pPr>
            <w:r w:rsidRPr="00A120C4">
              <w:rPr>
                <w:rFonts w:asciiTheme="minorHAnsi" w:eastAsiaTheme="minorEastAsia" w:hAnsiTheme="minorHAnsi" w:cs="Calibri"/>
                <w:i/>
                <w:iCs/>
                <w:color w:val="FFFFFF"/>
                <w:sz w:val="18"/>
                <w:szCs w:val="18"/>
                <w:lang w:eastAsia="en-AU"/>
              </w:rPr>
              <w:t xml:space="preserve"> </w:t>
            </w:r>
          </w:p>
        </w:tc>
        <w:tc>
          <w:tcPr>
            <w:tcW w:w="570" w:type="dxa"/>
            <w:tcBorders>
              <w:top w:val="nil"/>
              <w:left w:val="nil"/>
              <w:right w:val="nil"/>
            </w:tcBorders>
            <w:shd w:val="solid" w:color="000000" w:fill="auto"/>
            <w:vAlign w:val="bottom"/>
          </w:tcPr>
          <w:p w:rsidR="00BB67AF" w:rsidRPr="00A120C4" w:rsidRDefault="00BB67AF" w:rsidP="003E6750">
            <w:pPr>
              <w:autoSpaceDE w:val="0"/>
              <w:autoSpaceDN w:val="0"/>
              <w:adjustRightInd w:val="0"/>
              <w:spacing w:after="0"/>
              <w:jc w:val="center"/>
              <w:rPr>
                <w:rFonts w:asciiTheme="minorHAnsi" w:eastAsiaTheme="minorEastAsia" w:hAnsiTheme="minorHAnsi" w:cs="Calibri"/>
                <w:i/>
                <w:iCs/>
                <w:color w:val="FFFFFF"/>
                <w:sz w:val="18"/>
                <w:szCs w:val="18"/>
                <w:lang w:eastAsia="en-AU"/>
              </w:rPr>
            </w:pPr>
            <w:r w:rsidRPr="00A120C4">
              <w:rPr>
                <w:rFonts w:asciiTheme="minorHAnsi" w:eastAsiaTheme="minorEastAsia" w:hAnsiTheme="minorHAnsi" w:cs="Calibri"/>
                <w:i/>
                <w:iCs/>
                <w:color w:val="FFFFFF"/>
                <w:sz w:val="18"/>
                <w:szCs w:val="18"/>
                <w:lang w:eastAsia="en-AU"/>
              </w:rPr>
              <w:t>Notes</w:t>
            </w:r>
          </w:p>
        </w:tc>
        <w:tc>
          <w:tcPr>
            <w:tcW w:w="853" w:type="dxa"/>
            <w:gridSpan w:val="2"/>
            <w:tcBorders>
              <w:top w:val="nil"/>
              <w:left w:val="nil"/>
              <w:right w:val="nil"/>
            </w:tcBorders>
            <w:shd w:val="solid" w:color="000000" w:fill="auto"/>
            <w:vAlign w:val="bottom"/>
          </w:tcPr>
          <w:p w:rsidR="00BB67AF" w:rsidRPr="00A120C4" w:rsidRDefault="00BB67AF" w:rsidP="003E6750">
            <w:pPr>
              <w:autoSpaceDE w:val="0"/>
              <w:autoSpaceDN w:val="0"/>
              <w:adjustRightInd w:val="0"/>
              <w:spacing w:after="0"/>
              <w:jc w:val="right"/>
              <w:rPr>
                <w:rFonts w:asciiTheme="minorHAnsi" w:eastAsiaTheme="minorEastAsia" w:hAnsiTheme="minorHAnsi" w:cs="Calibri"/>
                <w:i/>
                <w:iCs/>
                <w:color w:val="FFFFFF"/>
                <w:sz w:val="18"/>
                <w:szCs w:val="18"/>
                <w:lang w:eastAsia="en-AU"/>
              </w:rPr>
            </w:pPr>
            <w:r w:rsidRPr="00A120C4">
              <w:rPr>
                <w:rFonts w:asciiTheme="minorHAnsi" w:eastAsiaTheme="minorEastAsia" w:hAnsiTheme="minorHAnsi" w:cs="Calibri"/>
                <w:i/>
                <w:iCs/>
                <w:color w:val="FFFFFF"/>
                <w:sz w:val="18"/>
                <w:szCs w:val="18"/>
                <w:lang w:eastAsia="en-AU"/>
              </w:rPr>
              <w:t>2015</w:t>
            </w:r>
          </w:p>
        </w:tc>
        <w:tc>
          <w:tcPr>
            <w:tcW w:w="999" w:type="dxa"/>
            <w:gridSpan w:val="2"/>
            <w:tcBorders>
              <w:top w:val="nil"/>
              <w:left w:val="nil"/>
              <w:right w:val="nil"/>
            </w:tcBorders>
            <w:shd w:val="solid" w:color="000000" w:fill="auto"/>
            <w:vAlign w:val="bottom"/>
          </w:tcPr>
          <w:p w:rsidR="00BB67AF" w:rsidRPr="00A120C4" w:rsidRDefault="00BB67AF" w:rsidP="003E6750">
            <w:pPr>
              <w:autoSpaceDE w:val="0"/>
              <w:autoSpaceDN w:val="0"/>
              <w:adjustRightInd w:val="0"/>
              <w:spacing w:after="0"/>
              <w:jc w:val="right"/>
              <w:rPr>
                <w:rFonts w:asciiTheme="minorHAnsi" w:eastAsiaTheme="minorEastAsia" w:hAnsiTheme="minorHAnsi" w:cs="Calibri"/>
                <w:i/>
                <w:iCs/>
                <w:color w:val="FFFFFF"/>
                <w:sz w:val="18"/>
                <w:szCs w:val="18"/>
                <w:vertAlign w:val="superscript"/>
                <w:lang w:eastAsia="en-AU"/>
              </w:rPr>
            </w:pPr>
            <w:r w:rsidRPr="00A120C4">
              <w:rPr>
                <w:rFonts w:asciiTheme="minorHAnsi" w:eastAsiaTheme="minorEastAsia" w:hAnsiTheme="minorHAnsi" w:cs="Calibri"/>
                <w:i/>
                <w:iCs/>
                <w:color w:val="FFFFFF"/>
                <w:sz w:val="18"/>
                <w:szCs w:val="18"/>
                <w:lang w:eastAsia="en-AU"/>
              </w:rPr>
              <w:t xml:space="preserve">2014 </w:t>
            </w:r>
            <w:r w:rsidRPr="00A120C4">
              <w:rPr>
                <w:rFonts w:asciiTheme="minorHAnsi" w:eastAsiaTheme="minorEastAsia" w:hAnsiTheme="minorHAnsi" w:cs="Calibri"/>
                <w:i/>
                <w:iCs/>
                <w:color w:val="FFFFFF"/>
                <w:sz w:val="18"/>
                <w:szCs w:val="18"/>
                <w:vertAlign w:val="superscript"/>
                <w:lang w:eastAsia="en-AU"/>
              </w:rPr>
              <w:t>(a)</w:t>
            </w:r>
          </w:p>
        </w:tc>
        <w:tc>
          <w:tcPr>
            <w:tcW w:w="996" w:type="dxa"/>
            <w:tcBorders>
              <w:top w:val="nil"/>
              <w:left w:val="nil"/>
              <w:right w:val="nil"/>
            </w:tcBorders>
            <w:shd w:val="solid" w:color="000000" w:fill="auto"/>
            <w:vAlign w:val="bottom"/>
          </w:tcPr>
          <w:p w:rsidR="00BB67AF" w:rsidRPr="00A120C4" w:rsidRDefault="00BB67AF" w:rsidP="003E6750">
            <w:pPr>
              <w:autoSpaceDE w:val="0"/>
              <w:autoSpaceDN w:val="0"/>
              <w:adjustRightInd w:val="0"/>
              <w:spacing w:after="0"/>
              <w:jc w:val="right"/>
              <w:rPr>
                <w:rFonts w:asciiTheme="minorHAnsi" w:eastAsiaTheme="minorEastAsia" w:hAnsiTheme="minorHAnsi" w:cs="Calibri"/>
                <w:i/>
                <w:iCs/>
                <w:color w:val="FFFFFF"/>
                <w:sz w:val="18"/>
                <w:szCs w:val="18"/>
                <w:lang w:eastAsia="en-AU"/>
              </w:rPr>
            </w:pPr>
            <w:r w:rsidRPr="00A120C4">
              <w:rPr>
                <w:rFonts w:asciiTheme="minorHAnsi" w:eastAsiaTheme="minorEastAsia" w:hAnsiTheme="minorHAnsi" w:cs="Calibri"/>
                <w:i/>
                <w:iCs/>
                <w:color w:val="FFFFFF"/>
                <w:sz w:val="18"/>
                <w:szCs w:val="18"/>
                <w:lang w:eastAsia="en-AU"/>
              </w:rPr>
              <w:t>2015</w:t>
            </w:r>
          </w:p>
        </w:tc>
        <w:tc>
          <w:tcPr>
            <w:tcW w:w="855" w:type="dxa"/>
            <w:tcBorders>
              <w:top w:val="nil"/>
              <w:left w:val="nil"/>
              <w:right w:val="nil"/>
            </w:tcBorders>
            <w:shd w:val="solid" w:color="000000" w:fill="auto"/>
            <w:vAlign w:val="bottom"/>
          </w:tcPr>
          <w:p w:rsidR="00BB67AF" w:rsidRPr="00A120C4" w:rsidRDefault="00BB67AF" w:rsidP="003E6750">
            <w:pPr>
              <w:autoSpaceDE w:val="0"/>
              <w:autoSpaceDN w:val="0"/>
              <w:adjustRightInd w:val="0"/>
              <w:spacing w:after="0"/>
              <w:jc w:val="right"/>
              <w:rPr>
                <w:rFonts w:asciiTheme="minorHAnsi" w:eastAsiaTheme="minorEastAsia" w:hAnsiTheme="minorHAnsi" w:cs="Calibri"/>
                <w:i/>
                <w:iCs/>
                <w:color w:val="FFFFFF"/>
                <w:sz w:val="18"/>
                <w:szCs w:val="18"/>
                <w:vertAlign w:val="superscript"/>
                <w:lang w:eastAsia="en-AU"/>
              </w:rPr>
            </w:pPr>
            <w:r w:rsidRPr="00A120C4">
              <w:rPr>
                <w:rFonts w:asciiTheme="minorHAnsi" w:eastAsiaTheme="minorEastAsia" w:hAnsiTheme="minorHAnsi" w:cs="Calibri"/>
                <w:i/>
                <w:iCs/>
                <w:color w:val="FFFFFF"/>
                <w:sz w:val="18"/>
                <w:szCs w:val="18"/>
                <w:lang w:eastAsia="en-AU"/>
              </w:rPr>
              <w:t xml:space="preserve">2014 </w:t>
            </w:r>
            <w:r w:rsidRPr="00A120C4">
              <w:rPr>
                <w:rFonts w:asciiTheme="minorHAnsi" w:eastAsiaTheme="minorEastAsia" w:hAnsiTheme="minorHAnsi" w:cs="Calibri"/>
                <w:i/>
                <w:iCs/>
                <w:color w:val="FFFFFF"/>
                <w:sz w:val="18"/>
                <w:szCs w:val="18"/>
                <w:vertAlign w:val="superscript"/>
                <w:lang w:eastAsia="en-AU"/>
              </w:rPr>
              <w:t>(a)</w:t>
            </w:r>
          </w:p>
        </w:tc>
      </w:tr>
      <w:tr w:rsidR="00BB67AF" w:rsidRPr="00A120C4" w:rsidTr="00B742C7">
        <w:tc>
          <w:tcPr>
            <w:tcW w:w="537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Revenue from transactions</w:t>
            </w:r>
          </w:p>
        </w:tc>
        <w:tc>
          <w:tcPr>
            <w:tcW w:w="57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853"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999"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99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85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r>
      <w:tr w:rsidR="00BB67AF" w:rsidRPr="00A120C4" w:rsidTr="00B742C7">
        <w:tc>
          <w:tcPr>
            <w:tcW w:w="537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Taxation revenue</w:t>
            </w:r>
          </w:p>
        </w:tc>
        <w:tc>
          <w:tcPr>
            <w:tcW w:w="57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3</w:t>
            </w:r>
          </w:p>
        </w:tc>
        <w:tc>
          <w:tcPr>
            <w:tcW w:w="853"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9 443</w:t>
            </w:r>
          </w:p>
        </w:tc>
        <w:tc>
          <w:tcPr>
            <w:tcW w:w="999"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8 555</w:t>
            </w:r>
          </w:p>
        </w:tc>
        <w:tc>
          <w:tcPr>
            <w:tcW w:w="99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9 676</w:t>
            </w:r>
          </w:p>
        </w:tc>
        <w:tc>
          <w:tcPr>
            <w:tcW w:w="85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8 764</w:t>
            </w:r>
          </w:p>
        </w:tc>
      </w:tr>
      <w:tr w:rsidR="00BB67AF" w:rsidRPr="00A120C4" w:rsidTr="00B742C7">
        <w:tc>
          <w:tcPr>
            <w:tcW w:w="537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Interest revenue</w:t>
            </w:r>
          </w:p>
        </w:tc>
        <w:tc>
          <w:tcPr>
            <w:tcW w:w="57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 xml:space="preserve"> </w:t>
            </w:r>
          </w:p>
        </w:tc>
        <w:tc>
          <w:tcPr>
            <w:tcW w:w="853"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308</w:t>
            </w:r>
          </w:p>
        </w:tc>
        <w:tc>
          <w:tcPr>
            <w:tcW w:w="999"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462</w:t>
            </w:r>
          </w:p>
        </w:tc>
        <w:tc>
          <w:tcPr>
            <w:tcW w:w="99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394</w:t>
            </w:r>
          </w:p>
        </w:tc>
        <w:tc>
          <w:tcPr>
            <w:tcW w:w="85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405</w:t>
            </w:r>
          </w:p>
        </w:tc>
      </w:tr>
      <w:tr w:rsidR="00BB67AF" w:rsidRPr="00A120C4" w:rsidTr="00B742C7">
        <w:tc>
          <w:tcPr>
            <w:tcW w:w="537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Dividends and income tax equivalent and rate equivalent revenue</w:t>
            </w:r>
          </w:p>
        </w:tc>
        <w:tc>
          <w:tcPr>
            <w:tcW w:w="57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4</w:t>
            </w:r>
          </w:p>
        </w:tc>
        <w:tc>
          <w:tcPr>
            <w:tcW w:w="853"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766</w:t>
            </w:r>
          </w:p>
        </w:tc>
        <w:tc>
          <w:tcPr>
            <w:tcW w:w="999"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502</w:t>
            </w:r>
          </w:p>
        </w:tc>
        <w:tc>
          <w:tcPr>
            <w:tcW w:w="99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451</w:t>
            </w:r>
          </w:p>
        </w:tc>
        <w:tc>
          <w:tcPr>
            <w:tcW w:w="85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667</w:t>
            </w:r>
          </w:p>
        </w:tc>
      </w:tr>
      <w:tr w:rsidR="00BB67AF" w:rsidRPr="00A120C4" w:rsidTr="00B742C7">
        <w:tc>
          <w:tcPr>
            <w:tcW w:w="537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Sales of goods and services</w:t>
            </w:r>
          </w:p>
        </w:tc>
        <w:tc>
          <w:tcPr>
            <w:tcW w:w="57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5</w:t>
            </w:r>
          </w:p>
        </w:tc>
        <w:tc>
          <w:tcPr>
            <w:tcW w:w="853"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7 017</w:t>
            </w:r>
          </w:p>
        </w:tc>
        <w:tc>
          <w:tcPr>
            <w:tcW w:w="999"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6 854</w:t>
            </w:r>
          </w:p>
        </w:tc>
        <w:tc>
          <w:tcPr>
            <w:tcW w:w="99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3 332</w:t>
            </w:r>
          </w:p>
        </w:tc>
        <w:tc>
          <w:tcPr>
            <w:tcW w:w="85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3 332</w:t>
            </w:r>
          </w:p>
        </w:tc>
      </w:tr>
      <w:tr w:rsidR="00BB67AF" w:rsidRPr="00A120C4" w:rsidTr="00B742C7">
        <w:tc>
          <w:tcPr>
            <w:tcW w:w="537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Grant revenue</w:t>
            </w:r>
          </w:p>
        </w:tc>
        <w:tc>
          <w:tcPr>
            <w:tcW w:w="57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6</w:t>
            </w:r>
          </w:p>
        </w:tc>
        <w:tc>
          <w:tcPr>
            <w:tcW w:w="853"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12 258</w:t>
            </w:r>
          </w:p>
        </w:tc>
        <w:tc>
          <w:tcPr>
            <w:tcW w:w="999"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11 664</w:t>
            </w:r>
          </w:p>
        </w:tc>
        <w:tc>
          <w:tcPr>
            <w:tcW w:w="99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12 301</w:t>
            </w:r>
          </w:p>
        </w:tc>
        <w:tc>
          <w:tcPr>
            <w:tcW w:w="85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11 722</w:t>
            </w:r>
          </w:p>
        </w:tc>
      </w:tr>
      <w:tr w:rsidR="00BB67AF" w:rsidRPr="00A120C4" w:rsidTr="00B742C7">
        <w:tc>
          <w:tcPr>
            <w:tcW w:w="5371"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Other revenue</w:t>
            </w:r>
          </w:p>
        </w:tc>
        <w:tc>
          <w:tcPr>
            <w:tcW w:w="570"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7</w:t>
            </w:r>
          </w:p>
        </w:tc>
        <w:tc>
          <w:tcPr>
            <w:tcW w:w="853" w:type="dxa"/>
            <w:gridSpan w:val="2"/>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2 065</w:t>
            </w:r>
          </w:p>
        </w:tc>
        <w:tc>
          <w:tcPr>
            <w:tcW w:w="999" w:type="dxa"/>
            <w:gridSpan w:val="2"/>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1 415</w:t>
            </w:r>
          </w:p>
        </w:tc>
        <w:tc>
          <w:tcPr>
            <w:tcW w:w="995"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1 726</w:t>
            </w:r>
          </w:p>
        </w:tc>
        <w:tc>
          <w:tcPr>
            <w:tcW w:w="856"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1 155</w:t>
            </w:r>
          </w:p>
        </w:tc>
      </w:tr>
      <w:tr w:rsidR="00BB67AF" w:rsidRPr="00A120C4" w:rsidTr="00B742C7">
        <w:tc>
          <w:tcPr>
            <w:tcW w:w="5371"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Total revenue from transactions</w:t>
            </w:r>
          </w:p>
        </w:tc>
        <w:tc>
          <w:tcPr>
            <w:tcW w:w="570"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853" w:type="dxa"/>
            <w:gridSpan w:val="2"/>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31 857</w:t>
            </w:r>
          </w:p>
        </w:tc>
        <w:tc>
          <w:tcPr>
            <w:tcW w:w="999" w:type="dxa"/>
            <w:gridSpan w:val="2"/>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29 452</w:t>
            </w:r>
          </w:p>
        </w:tc>
        <w:tc>
          <w:tcPr>
            <w:tcW w:w="995"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27 880</w:t>
            </w:r>
          </w:p>
        </w:tc>
        <w:tc>
          <w:tcPr>
            <w:tcW w:w="856"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26 045</w:t>
            </w:r>
          </w:p>
        </w:tc>
      </w:tr>
      <w:tr w:rsidR="00BB67AF" w:rsidRPr="00A120C4" w:rsidTr="00B742C7">
        <w:tc>
          <w:tcPr>
            <w:tcW w:w="537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Expenses from transactions</w:t>
            </w:r>
          </w:p>
        </w:tc>
        <w:tc>
          <w:tcPr>
            <w:tcW w:w="57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853"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999"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99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85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r>
      <w:tr w:rsidR="00BB67AF" w:rsidRPr="00A120C4" w:rsidTr="00B742C7">
        <w:tc>
          <w:tcPr>
            <w:tcW w:w="537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Employee expenses</w:t>
            </w:r>
          </w:p>
        </w:tc>
        <w:tc>
          <w:tcPr>
            <w:tcW w:w="57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 xml:space="preserve"> </w:t>
            </w:r>
          </w:p>
        </w:tc>
        <w:tc>
          <w:tcPr>
            <w:tcW w:w="853"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10 261</w:t>
            </w:r>
          </w:p>
        </w:tc>
        <w:tc>
          <w:tcPr>
            <w:tcW w:w="999"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9 803</w:t>
            </w:r>
          </w:p>
        </w:tc>
        <w:tc>
          <w:tcPr>
            <w:tcW w:w="99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9 765</w:t>
            </w:r>
          </w:p>
        </w:tc>
        <w:tc>
          <w:tcPr>
            <w:tcW w:w="85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9 319</w:t>
            </w:r>
          </w:p>
        </w:tc>
      </w:tr>
      <w:tr w:rsidR="00BB67AF" w:rsidRPr="00A120C4" w:rsidTr="00B742C7">
        <w:tc>
          <w:tcPr>
            <w:tcW w:w="537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Net superannuation interest expense</w:t>
            </w:r>
          </w:p>
        </w:tc>
        <w:tc>
          <w:tcPr>
            <w:tcW w:w="57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8a</w:t>
            </w:r>
          </w:p>
        </w:tc>
        <w:tc>
          <w:tcPr>
            <w:tcW w:w="853"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441</w:t>
            </w:r>
          </w:p>
        </w:tc>
        <w:tc>
          <w:tcPr>
            <w:tcW w:w="999"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512</w:t>
            </w:r>
          </w:p>
        </w:tc>
        <w:tc>
          <w:tcPr>
            <w:tcW w:w="99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441</w:t>
            </w:r>
          </w:p>
        </w:tc>
        <w:tc>
          <w:tcPr>
            <w:tcW w:w="85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512</w:t>
            </w:r>
          </w:p>
        </w:tc>
      </w:tr>
      <w:tr w:rsidR="00BB67AF" w:rsidRPr="00A120C4" w:rsidTr="00B742C7">
        <w:tc>
          <w:tcPr>
            <w:tcW w:w="537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Other superannuation</w:t>
            </w:r>
          </w:p>
        </w:tc>
        <w:tc>
          <w:tcPr>
            <w:tcW w:w="57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8a</w:t>
            </w:r>
          </w:p>
        </w:tc>
        <w:tc>
          <w:tcPr>
            <w:tcW w:w="853"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1 223</w:t>
            </w:r>
          </w:p>
        </w:tc>
        <w:tc>
          <w:tcPr>
            <w:tcW w:w="999"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1 094</w:t>
            </w:r>
          </w:p>
        </w:tc>
        <w:tc>
          <w:tcPr>
            <w:tcW w:w="99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1 160</w:t>
            </w:r>
          </w:p>
        </w:tc>
        <w:tc>
          <w:tcPr>
            <w:tcW w:w="85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1 035</w:t>
            </w:r>
          </w:p>
        </w:tc>
      </w:tr>
      <w:tr w:rsidR="00BB67AF" w:rsidRPr="00A120C4" w:rsidTr="00B742C7">
        <w:tc>
          <w:tcPr>
            <w:tcW w:w="537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Depreciation</w:t>
            </w:r>
          </w:p>
        </w:tc>
        <w:tc>
          <w:tcPr>
            <w:tcW w:w="57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9</w:t>
            </w:r>
          </w:p>
        </w:tc>
        <w:tc>
          <w:tcPr>
            <w:tcW w:w="853"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2 322</w:t>
            </w:r>
          </w:p>
        </w:tc>
        <w:tc>
          <w:tcPr>
            <w:tcW w:w="999"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2 198</w:t>
            </w:r>
          </w:p>
        </w:tc>
        <w:tc>
          <w:tcPr>
            <w:tcW w:w="99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1 200</w:t>
            </w:r>
          </w:p>
        </w:tc>
        <w:tc>
          <w:tcPr>
            <w:tcW w:w="85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1 198</w:t>
            </w:r>
          </w:p>
        </w:tc>
      </w:tr>
      <w:tr w:rsidR="00BB67AF" w:rsidRPr="00A120C4" w:rsidTr="00B742C7">
        <w:tc>
          <w:tcPr>
            <w:tcW w:w="537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Interest expense</w:t>
            </w:r>
          </w:p>
        </w:tc>
        <w:tc>
          <w:tcPr>
            <w:tcW w:w="57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10</w:t>
            </w:r>
          </w:p>
        </w:tc>
        <w:tc>
          <w:tcPr>
            <w:tcW w:w="853"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1 356</w:t>
            </w:r>
          </w:p>
        </w:tc>
        <w:tc>
          <w:tcPr>
            <w:tcW w:w="999"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1 424</w:t>
            </w:r>
          </w:p>
        </w:tc>
        <w:tc>
          <w:tcPr>
            <w:tcW w:w="99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1 034</w:t>
            </w:r>
          </w:p>
        </w:tc>
        <w:tc>
          <w:tcPr>
            <w:tcW w:w="85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1 048</w:t>
            </w:r>
          </w:p>
        </w:tc>
      </w:tr>
      <w:tr w:rsidR="00BB67AF" w:rsidRPr="00A120C4" w:rsidTr="00B742C7">
        <w:tc>
          <w:tcPr>
            <w:tcW w:w="537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Grant expense</w:t>
            </w:r>
          </w:p>
        </w:tc>
        <w:tc>
          <w:tcPr>
            <w:tcW w:w="57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11</w:t>
            </w:r>
          </w:p>
        </w:tc>
        <w:tc>
          <w:tcPr>
            <w:tcW w:w="853"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2 841</w:t>
            </w:r>
          </w:p>
        </w:tc>
        <w:tc>
          <w:tcPr>
            <w:tcW w:w="999"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2 721</w:t>
            </w:r>
          </w:p>
        </w:tc>
        <w:tc>
          <w:tcPr>
            <w:tcW w:w="99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4 315</w:t>
            </w:r>
          </w:p>
        </w:tc>
        <w:tc>
          <w:tcPr>
            <w:tcW w:w="85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4 130</w:t>
            </w:r>
          </w:p>
        </w:tc>
      </w:tr>
      <w:tr w:rsidR="00BB67AF" w:rsidRPr="00A120C4" w:rsidTr="00B742C7">
        <w:tc>
          <w:tcPr>
            <w:tcW w:w="5371"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Other operating expenses</w:t>
            </w:r>
          </w:p>
        </w:tc>
        <w:tc>
          <w:tcPr>
            <w:tcW w:w="570"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12</w:t>
            </w:r>
          </w:p>
        </w:tc>
        <w:tc>
          <w:tcPr>
            <w:tcW w:w="853" w:type="dxa"/>
            <w:gridSpan w:val="2"/>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12 267</w:t>
            </w:r>
          </w:p>
        </w:tc>
        <w:tc>
          <w:tcPr>
            <w:tcW w:w="999" w:type="dxa"/>
            <w:gridSpan w:val="2"/>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12 090</w:t>
            </w:r>
          </w:p>
        </w:tc>
        <w:tc>
          <w:tcPr>
            <w:tcW w:w="995"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8 457</w:t>
            </w:r>
          </w:p>
        </w:tc>
        <w:tc>
          <w:tcPr>
            <w:tcW w:w="856"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8 340</w:t>
            </w:r>
          </w:p>
        </w:tc>
      </w:tr>
      <w:tr w:rsidR="00BB67AF" w:rsidRPr="00A120C4" w:rsidTr="00B742C7">
        <w:tc>
          <w:tcPr>
            <w:tcW w:w="5371"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Total expenses from transactions</w:t>
            </w:r>
          </w:p>
        </w:tc>
        <w:tc>
          <w:tcPr>
            <w:tcW w:w="570"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13</w:t>
            </w:r>
          </w:p>
        </w:tc>
        <w:tc>
          <w:tcPr>
            <w:tcW w:w="853" w:type="dxa"/>
            <w:gridSpan w:val="2"/>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30 711</w:t>
            </w:r>
          </w:p>
        </w:tc>
        <w:tc>
          <w:tcPr>
            <w:tcW w:w="999" w:type="dxa"/>
            <w:gridSpan w:val="2"/>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29 841</w:t>
            </w:r>
          </w:p>
        </w:tc>
        <w:tc>
          <w:tcPr>
            <w:tcW w:w="995"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26 373</w:t>
            </w:r>
          </w:p>
        </w:tc>
        <w:tc>
          <w:tcPr>
            <w:tcW w:w="856"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25 581</w:t>
            </w:r>
          </w:p>
        </w:tc>
      </w:tr>
      <w:tr w:rsidR="00BB67AF" w:rsidRPr="00A120C4" w:rsidTr="00B742C7">
        <w:tc>
          <w:tcPr>
            <w:tcW w:w="5371"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Net result from transactions – net operating balance</w:t>
            </w:r>
          </w:p>
        </w:tc>
        <w:tc>
          <w:tcPr>
            <w:tcW w:w="570"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853" w:type="dxa"/>
            <w:gridSpan w:val="2"/>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1 146</w:t>
            </w:r>
          </w:p>
        </w:tc>
        <w:tc>
          <w:tcPr>
            <w:tcW w:w="999" w:type="dxa"/>
            <w:gridSpan w:val="2"/>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(389)</w:t>
            </w:r>
          </w:p>
        </w:tc>
        <w:tc>
          <w:tcPr>
            <w:tcW w:w="995"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1 507</w:t>
            </w:r>
          </w:p>
        </w:tc>
        <w:tc>
          <w:tcPr>
            <w:tcW w:w="856"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463</w:t>
            </w:r>
          </w:p>
        </w:tc>
      </w:tr>
      <w:tr w:rsidR="00BB67AF" w:rsidRPr="00A120C4" w:rsidTr="00B742C7">
        <w:tc>
          <w:tcPr>
            <w:tcW w:w="5371"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Other economic flows included in net result</w:t>
            </w:r>
          </w:p>
        </w:tc>
        <w:tc>
          <w:tcPr>
            <w:tcW w:w="570"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853" w:type="dxa"/>
            <w:gridSpan w:val="2"/>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999" w:type="dxa"/>
            <w:gridSpan w:val="2"/>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995"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856"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r>
      <w:tr w:rsidR="00BB67AF" w:rsidRPr="00A120C4" w:rsidTr="00B742C7">
        <w:tc>
          <w:tcPr>
            <w:tcW w:w="537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Net gain/(loss) on disposal of non-financial assets</w:t>
            </w:r>
          </w:p>
        </w:tc>
        <w:tc>
          <w:tcPr>
            <w:tcW w:w="57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 xml:space="preserve"> </w:t>
            </w:r>
          </w:p>
        </w:tc>
        <w:tc>
          <w:tcPr>
            <w:tcW w:w="853"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8</w:t>
            </w:r>
          </w:p>
        </w:tc>
        <w:tc>
          <w:tcPr>
            <w:tcW w:w="999"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28</w:t>
            </w:r>
          </w:p>
        </w:tc>
        <w:tc>
          <w:tcPr>
            <w:tcW w:w="99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11</w:t>
            </w:r>
          </w:p>
        </w:tc>
        <w:tc>
          <w:tcPr>
            <w:tcW w:w="85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26</w:t>
            </w:r>
          </w:p>
        </w:tc>
      </w:tr>
      <w:tr w:rsidR="00BB67AF" w:rsidRPr="00A120C4" w:rsidTr="00B742C7">
        <w:tc>
          <w:tcPr>
            <w:tcW w:w="537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Net gain/(loss) on financial assets or liabilities at fair value</w:t>
            </w:r>
          </w:p>
        </w:tc>
        <w:tc>
          <w:tcPr>
            <w:tcW w:w="57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 xml:space="preserve"> </w:t>
            </w:r>
          </w:p>
        </w:tc>
        <w:tc>
          <w:tcPr>
            <w:tcW w:w="853"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(289)</w:t>
            </w:r>
          </w:p>
        </w:tc>
        <w:tc>
          <w:tcPr>
            <w:tcW w:w="999"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(174)</w:t>
            </w:r>
          </w:p>
        </w:tc>
        <w:tc>
          <w:tcPr>
            <w:tcW w:w="99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(21)</w:t>
            </w:r>
          </w:p>
        </w:tc>
        <w:tc>
          <w:tcPr>
            <w:tcW w:w="85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35</w:t>
            </w:r>
          </w:p>
        </w:tc>
      </w:tr>
      <w:tr w:rsidR="00BB67AF" w:rsidRPr="00A120C4" w:rsidTr="00B742C7">
        <w:tc>
          <w:tcPr>
            <w:tcW w:w="537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Share of net profit/(loss) from associates/joint venture entities</w:t>
            </w:r>
          </w:p>
        </w:tc>
        <w:tc>
          <w:tcPr>
            <w:tcW w:w="57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 xml:space="preserve"> </w:t>
            </w:r>
          </w:p>
        </w:tc>
        <w:tc>
          <w:tcPr>
            <w:tcW w:w="853"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28</w:t>
            </w:r>
          </w:p>
        </w:tc>
        <w:tc>
          <w:tcPr>
            <w:tcW w:w="999"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22</w:t>
            </w:r>
          </w:p>
        </w:tc>
        <w:tc>
          <w:tcPr>
            <w:tcW w:w="99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2</w:t>
            </w:r>
          </w:p>
        </w:tc>
        <w:tc>
          <w:tcPr>
            <w:tcW w:w="85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w:t>
            </w:r>
          </w:p>
        </w:tc>
      </w:tr>
      <w:tr w:rsidR="00BB67AF" w:rsidRPr="00A120C4" w:rsidTr="00B742C7">
        <w:tc>
          <w:tcPr>
            <w:tcW w:w="5371"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Other gains/(losses) from other economic flows</w:t>
            </w:r>
          </w:p>
        </w:tc>
        <w:tc>
          <w:tcPr>
            <w:tcW w:w="570"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14</w:t>
            </w:r>
          </w:p>
        </w:tc>
        <w:tc>
          <w:tcPr>
            <w:tcW w:w="853" w:type="dxa"/>
            <w:gridSpan w:val="2"/>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(351)</w:t>
            </w:r>
          </w:p>
        </w:tc>
        <w:tc>
          <w:tcPr>
            <w:tcW w:w="999" w:type="dxa"/>
            <w:gridSpan w:val="2"/>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(1 266)</w:t>
            </w:r>
          </w:p>
        </w:tc>
        <w:tc>
          <w:tcPr>
            <w:tcW w:w="995"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(260)</w:t>
            </w:r>
          </w:p>
        </w:tc>
        <w:tc>
          <w:tcPr>
            <w:tcW w:w="856"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(333)</w:t>
            </w:r>
          </w:p>
        </w:tc>
      </w:tr>
      <w:tr w:rsidR="00BB67AF" w:rsidRPr="00A120C4" w:rsidTr="00B742C7">
        <w:tc>
          <w:tcPr>
            <w:tcW w:w="5371"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Total other economic flows included in net result</w:t>
            </w:r>
          </w:p>
        </w:tc>
        <w:tc>
          <w:tcPr>
            <w:tcW w:w="570"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853" w:type="dxa"/>
            <w:gridSpan w:val="2"/>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(604)</w:t>
            </w:r>
          </w:p>
        </w:tc>
        <w:tc>
          <w:tcPr>
            <w:tcW w:w="999" w:type="dxa"/>
            <w:gridSpan w:val="2"/>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(1 390)</w:t>
            </w:r>
          </w:p>
        </w:tc>
        <w:tc>
          <w:tcPr>
            <w:tcW w:w="995"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(267)</w:t>
            </w:r>
          </w:p>
        </w:tc>
        <w:tc>
          <w:tcPr>
            <w:tcW w:w="856"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(273)</w:t>
            </w:r>
          </w:p>
        </w:tc>
      </w:tr>
      <w:tr w:rsidR="00BB67AF" w:rsidRPr="00A120C4" w:rsidTr="00B742C7">
        <w:tc>
          <w:tcPr>
            <w:tcW w:w="5371"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Net result</w:t>
            </w:r>
          </w:p>
        </w:tc>
        <w:tc>
          <w:tcPr>
            <w:tcW w:w="570"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853" w:type="dxa"/>
            <w:gridSpan w:val="2"/>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542</w:t>
            </w:r>
          </w:p>
        </w:tc>
        <w:tc>
          <w:tcPr>
            <w:tcW w:w="999" w:type="dxa"/>
            <w:gridSpan w:val="2"/>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(1 779)</w:t>
            </w:r>
          </w:p>
        </w:tc>
        <w:tc>
          <w:tcPr>
            <w:tcW w:w="995"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1 239</w:t>
            </w:r>
          </w:p>
        </w:tc>
        <w:tc>
          <w:tcPr>
            <w:tcW w:w="856"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191</w:t>
            </w:r>
          </w:p>
        </w:tc>
      </w:tr>
      <w:tr w:rsidR="00BB67AF" w:rsidRPr="00A120C4" w:rsidTr="00FA5601">
        <w:tc>
          <w:tcPr>
            <w:tcW w:w="5371"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Other economic flows – other comprehensive income</w:t>
            </w:r>
          </w:p>
        </w:tc>
        <w:tc>
          <w:tcPr>
            <w:tcW w:w="579" w:type="dxa"/>
            <w:gridSpan w:val="2"/>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850" w:type="dxa"/>
            <w:gridSpan w:val="2"/>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993"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995"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856"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r>
      <w:tr w:rsidR="00BB67AF" w:rsidRPr="00A120C4" w:rsidTr="00B742C7">
        <w:tc>
          <w:tcPr>
            <w:tcW w:w="537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Items that will not be reclassified to net result</w:t>
            </w:r>
          </w:p>
        </w:tc>
        <w:tc>
          <w:tcPr>
            <w:tcW w:w="57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853"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999"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99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85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r>
      <w:tr w:rsidR="00BB67AF" w:rsidRPr="00A120C4" w:rsidTr="00B742C7">
        <w:tc>
          <w:tcPr>
            <w:tcW w:w="537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Changes in non-financial assets revaluation surplus</w:t>
            </w:r>
          </w:p>
        </w:tc>
        <w:tc>
          <w:tcPr>
            <w:tcW w:w="57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 xml:space="preserve"> </w:t>
            </w:r>
          </w:p>
        </w:tc>
        <w:tc>
          <w:tcPr>
            <w:tcW w:w="853"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(82)</w:t>
            </w:r>
          </w:p>
        </w:tc>
        <w:tc>
          <w:tcPr>
            <w:tcW w:w="999"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74</w:t>
            </w:r>
          </w:p>
        </w:tc>
        <w:tc>
          <w:tcPr>
            <w:tcW w:w="99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8</w:t>
            </w:r>
          </w:p>
        </w:tc>
        <w:tc>
          <w:tcPr>
            <w:tcW w:w="85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59</w:t>
            </w:r>
          </w:p>
        </w:tc>
      </w:tr>
      <w:tr w:rsidR="00BB67AF" w:rsidRPr="00A120C4" w:rsidTr="00B742C7">
        <w:tc>
          <w:tcPr>
            <w:tcW w:w="537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color w:val="000000"/>
                <w:sz w:val="18"/>
                <w:szCs w:val="18"/>
                <w:lang w:eastAsia="en-AU"/>
              </w:rPr>
            </w:pPr>
            <w:proofErr w:type="spellStart"/>
            <w:r w:rsidRPr="00A120C4">
              <w:rPr>
                <w:rFonts w:asciiTheme="minorHAnsi" w:eastAsiaTheme="minorEastAsia" w:hAnsiTheme="minorHAnsi" w:cs="Calibri"/>
                <w:color w:val="000000"/>
                <w:sz w:val="18"/>
                <w:szCs w:val="18"/>
                <w:lang w:eastAsia="en-AU"/>
              </w:rPr>
              <w:t>Remeasurement</w:t>
            </w:r>
            <w:proofErr w:type="spellEnd"/>
            <w:r w:rsidRPr="00A120C4">
              <w:rPr>
                <w:rFonts w:asciiTheme="minorHAnsi" w:eastAsiaTheme="minorEastAsia" w:hAnsiTheme="minorHAnsi" w:cs="Calibri"/>
                <w:color w:val="000000"/>
                <w:sz w:val="18"/>
                <w:szCs w:val="18"/>
                <w:lang w:eastAsia="en-AU"/>
              </w:rPr>
              <w:t xml:space="preserve"> of superannuation defined benefits plans</w:t>
            </w:r>
          </w:p>
        </w:tc>
        <w:tc>
          <w:tcPr>
            <w:tcW w:w="57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8a</w:t>
            </w:r>
          </w:p>
        </w:tc>
        <w:tc>
          <w:tcPr>
            <w:tcW w:w="853"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(704)</w:t>
            </w:r>
          </w:p>
        </w:tc>
        <w:tc>
          <w:tcPr>
            <w:tcW w:w="999"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(2 467)</w:t>
            </w:r>
          </w:p>
        </w:tc>
        <w:tc>
          <w:tcPr>
            <w:tcW w:w="99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(704)</w:t>
            </w:r>
          </w:p>
        </w:tc>
        <w:tc>
          <w:tcPr>
            <w:tcW w:w="85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(2 464)</w:t>
            </w:r>
          </w:p>
        </w:tc>
      </w:tr>
      <w:tr w:rsidR="00BB67AF" w:rsidRPr="00A120C4" w:rsidTr="00B742C7">
        <w:tc>
          <w:tcPr>
            <w:tcW w:w="537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Net gain/(loss) on equity investments in other sector entities at proportional share of the carrying amount of net assets</w:t>
            </w:r>
          </w:p>
        </w:tc>
        <w:tc>
          <w:tcPr>
            <w:tcW w:w="57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 xml:space="preserve"> </w:t>
            </w:r>
          </w:p>
        </w:tc>
        <w:tc>
          <w:tcPr>
            <w:tcW w:w="853"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w:t>
            </w:r>
          </w:p>
        </w:tc>
        <w:tc>
          <w:tcPr>
            <w:tcW w:w="999"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w:t>
            </w:r>
          </w:p>
        </w:tc>
        <w:tc>
          <w:tcPr>
            <w:tcW w:w="99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(246)</w:t>
            </w:r>
          </w:p>
        </w:tc>
        <w:tc>
          <w:tcPr>
            <w:tcW w:w="85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3</w:t>
            </w:r>
          </w:p>
        </w:tc>
      </w:tr>
      <w:tr w:rsidR="00BB67AF" w:rsidRPr="00A120C4" w:rsidTr="00B742C7">
        <w:tc>
          <w:tcPr>
            <w:tcW w:w="537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Other movements in equity</w:t>
            </w:r>
          </w:p>
        </w:tc>
        <w:tc>
          <w:tcPr>
            <w:tcW w:w="57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 xml:space="preserve"> </w:t>
            </w:r>
          </w:p>
        </w:tc>
        <w:tc>
          <w:tcPr>
            <w:tcW w:w="853"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53</w:t>
            </w:r>
          </w:p>
        </w:tc>
        <w:tc>
          <w:tcPr>
            <w:tcW w:w="999"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(26)</w:t>
            </w:r>
          </w:p>
        </w:tc>
        <w:tc>
          <w:tcPr>
            <w:tcW w:w="99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(25)</w:t>
            </w:r>
          </w:p>
        </w:tc>
        <w:tc>
          <w:tcPr>
            <w:tcW w:w="85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(7)</w:t>
            </w:r>
          </w:p>
        </w:tc>
      </w:tr>
      <w:tr w:rsidR="00BB67AF" w:rsidRPr="00A120C4" w:rsidTr="00FA5601">
        <w:tc>
          <w:tcPr>
            <w:tcW w:w="537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Items that may be reclassified subsequently to net result</w:t>
            </w:r>
          </w:p>
        </w:tc>
        <w:tc>
          <w:tcPr>
            <w:tcW w:w="57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853"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999"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99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85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r>
      <w:tr w:rsidR="00BB67AF" w:rsidRPr="00A120C4" w:rsidTr="00B742C7">
        <w:tc>
          <w:tcPr>
            <w:tcW w:w="5371"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Net gain/(loss) on financial assets at fair value</w:t>
            </w:r>
          </w:p>
        </w:tc>
        <w:tc>
          <w:tcPr>
            <w:tcW w:w="570"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 xml:space="preserve"> </w:t>
            </w:r>
          </w:p>
        </w:tc>
        <w:tc>
          <w:tcPr>
            <w:tcW w:w="853" w:type="dxa"/>
            <w:gridSpan w:val="2"/>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(30)</w:t>
            </w:r>
          </w:p>
        </w:tc>
        <w:tc>
          <w:tcPr>
            <w:tcW w:w="999" w:type="dxa"/>
            <w:gridSpan w:val="2"/>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(54)</w:t>
            </w:r>
          </w:p>
        </w:tc>
        <w:tc>
          <w:tcPr>
            <w:tcW w:w="995"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(26)</w:t>
            </w:r>
          </w:p>
        </w:tc>
        <w:tc>
          <w:tcPr>
            <w:tcW w:w="856"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(34)</w:t>
            </w:r>
          </w:p>
        </w:tc>
      </w:tr>
      <w:tr w:rsidR="00BB67AF" w:rsidRPr="00A120C4" w:rsidTr="00B742C7">
        <w:tc>
          <w:tcPr>
            <w:tcW w:w="5371"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Total other economic flows – other comprehensive income</w:t>
            </w:r>
          </w:p>
        </w:tc>
        <w:tc>
          <w:tcPr>
            <w:tcW w:w="570"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853" w:type="dxa"/>
            <w:gridSpan w:val="2"/>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(763)</w:t>
            </w:r>
          </w:p>
        </w:tc>
        <w:tc>
          <w:tcPr>
            <w:tcW w:w="999" w:type="dxa"/>
            <w:gridSpan w:val="2"/>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(2 473)</w:t>
            </w:r>
          </w:p>
        </w:tc>
        <w:tc>
          <w:tcPr>
            <w:tcW w:w="995"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(993)</w:t>
            </w:r>
          </w:p>
        </w:tc>
        <w:tc>
          <w:tcPr>
            <w:tcW w:w="856"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(2 444)</w:t>
            </w:r>
          </w:p>
        </w:tc>
      </w:tr>
      <w:tr w:rsidR="00BB67AF" w:rsidRPr="00A120C4" w:rsidTr="00B742C7">
        <w:tc>
          <w:tcPr>
            <w:tcW w:w="5371"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Comprehensive result – total change in net worth</w:t>
            </w:r>
          </w:p>
        </w:tc>
        <w:tc>
          <w:tcPr>
            <w:tcW w:w="570"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853" w:type="dxa"/>
            <w:gridSpan w:val="2"/>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(221)</w:t>
            </w:r>
          </w:p>
        </w:tc>
        <w:tc>
          <w:tcPr>
            <w:tcW w:w="999" w:type="dxa"/>
            <w:gridSpan w:val="2"/>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(4 253)</w:t>
            </w:r>
          </w:p>
        </w:tc>
        <w:tc>
          <w:tcPr>
            <w:tcW w:w="995"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246</w:t>
            </w:r>
          </w:p>
        </w:tc>
        <w:tc>
          <w:tcPr>
            <w:tcW w:w="856"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(2 253)</w:t>
            </w:r>
          </w:p>
        </w:tc>
      </w:tr>
      <w:tr w:rsidR="00BB67AF" w:rsidRPr="00A120C4" w:rsidTr="00B742C7">
        <w:trPr>
          <w:trHeight w:hRule="exact" w:val="120"/>
        </w:trPr>
        <w:tc>
          <w:tcPr>
            <w:tcW w:w="5371"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 xml:space="preserve"> </w:t>
            </w:r>
          </w:p>
        </w:tc>
        <w:tc>
          <w:tcPr>
            <w:tcW w:w="570"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 xml:space="preserve"> </w:t>
            </w:r>
          </w:p>
        </w:tc>
        <w:tc>
          <w:tcPr>
            <w:tcW w:w="853" w:type="dxa"/>
            <w:gridSpan w:val="2"/>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 xml:space="preserve"> </w:t>
            </w:r>
          </w:p>
        </w:tc>
        <w:tc>
          <w:tcPr>
            <w:tcW w:w="999" w:type="dxa"/>
            <w:gridSpan w:val="2"/>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 xml:space="preserve"> </w:t>
            </w:r>
          </w:p>
        </w:tc>
        <w:tc>
          <w:tcPr>
            <w:tcW w:w="995"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 xml:space="preserve"> </w:t>
            </w:r>
          </w:p>
        </w:tc>
        <w:tc>
          <w:tcPr>
            <w:tcW w:w="856"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 xml:space="preserve"> </w:t>
            </w:r>
          </w:p>
        </w:tc>
      </w:tr>
      <w:tr w:rsidR="00BB67AF" w:rsidRPr="00A120C4" w:rsidTr="00B742C7">
        <w:tc>
          <w:tcPr>
            <w:tcW w:w="537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KEY FISCAL AGGREGATES</w:t>
            </w:r>
          </w:p>
        </w:tc>
        <w:tc>
          <w:tcPr>
            <w:tcW w:w="57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853"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999"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99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85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r>
      <w:tr w:rsidR="00BB67AF" w:rsidRPr="00A120C4" w:rsidTr="00B742C7">
        <w:tc>
          <w:tcPr>
            <w:tcW w:w="537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b/>
                <w:bCs/>
                <w:color w:val="000000" w:themeColor="text1"/>
                <w:sz w:val="18"/>
                <w:szCs w:val="18"/>
                <w:lang w:eastAsia="en-AU"/>
              </w:rPr>
            </w:pPr>
            <w:r w:rsidRPr="00A120C4">
              <w:rPr>
                <w:rFonts w:asciiTheme="minorHAnsi" w:eastAsiaTheme="minorEastAsia" w:hAnsiTheme="minorHAnsi" w:cs="Calibri"/>
                <w:b/>
                <w:bCs/>
                <w:color w:val="000000"/>
                <w:sz w:val="18"/>
                <w:szCs w:val="18"/>
                <w:lang w:eastAsia="en-AU"/>
              </w:rPr>
              <w:t xml:space="preserve">Net operating balance </w:t>
            </w:r>
            <w:r w:rsidRPr="00A120C4">
              <w:rPr>
                <w:rFonts w:asciiTheme="minorHAnsi" w:eastAsiaTheme="minorEastAsia" w:hAnsiTheme="minorHAnsi" w:cs="Calibri"/>
                <w:b/>
                <w:iCs/>
                <w:color w:val="000000" w:themeColor="text1"/>
                <w:sz w:val="18"/>
                <w:szCs w:val="18"/>
                <w:vertAlign w:val="superscript"/>
                <w:lang w:eastAsia="en-AU"/>
              </w:rPr>
              <w:t>(a)</w:t>
            </w:r>
          </w:p>
        </w:tc>
        <w:tc>
          <w:tcPr>
            <w:tcW w:w="57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853"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1 146</w:t>
            </w:r>
          </w:p>
        </w:tc>
        <w:tc>
          <w:tcPr>
            <w:tcW w:w="999"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(389)</w:t>
            </w:r>
          </w:p>
        </w:tc>
        <w:tc>
          <w:tcPr>
            <w:tcW w:w="99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1 507</w:t>
            </w:r>
          </w:p>
        </w:tc>
        <w:tc>
          <w:tcPr>
            <w:tcW w:w="85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463</w:t>
            </w:r>
          </w:p>
        </w:tc>
      </w:tr>
      <w:tr w:rsidR="00BB67AF" w:rsidRPr="00A120C4" w:rsidTr="00B742C7">
        <w:tc>
          <w:tcPr>
            <w:tcW w:w="5371"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Less: Net acquisition of non-financial assets from transactions</w:t>
            </w:r>
          </w:p>
        </w:tc>
        <w:tc>
          <w:tcPr>
            <w:tcW w:w="570"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2</w:t>
            </w:r>
          </w:p>
        </w:tc>
        <w:tc>
          <w:tcPr>
            <w:tcW w:w="853" w:type="dxa"/>
            <w:gridSpan w:val="2"/>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819</w:t>
            </w:r>
          </w:p>
        </w:tc>
        <w:tc>
          <w:tcPr>
            <w:tcW w:w="999" w:type="dxa"/>
            <w:gridSpan w:val="2"/>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848</w:t>
            </w:r>
          </w:p>
        </w:tc>
        <w:tc>
          <w:tcPr>
            <w:tcW w:w="995"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359</w:t>
            </w:r>
          </w:p>
        </w:tc>
        <w:tc>
          <w:tcPr>
            <w:tcW w:w="856"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color w:val="000000"/>
                <w:sz w:val="18"/>
                <w:szCs w:val="18"/>
                <w:lang w:eastAsia="en-AU"/>
              </w:rPr>
            </w:pPr>
            <w:r w:rsidRPr="00A120C4">
              <w:rPr>
                <w:rFonts w:asciiTheme="minorHAnsi" w:eastAsiaTheme="minorEastAsia" w:hAnsiTheme="minorHAnsi" w:cs="Calibri"/>
                <w:color w:val="000000"/>
                <w:sz w:val="18"/>
                <w:szCs w:val="18"/>
                <w:lang w:eastAsia="en-AU"/>
              </w:rPr>
              <w:t>445</w:t>
            </w:r>
          </w:p>
        </w:tc>
      </w:tr>
      <w:tr w:rsidR="00BB67AF" w:rsidRPr="00A120C4" w:rsidTr="00B742C7">
        <w:tc>
          <w:tcPr>
            <w:tcW w:w="5371" w:type="dxa"/>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ind w:left="227" w:hanging="227"/>
              <w:rPr>
                <w:rFonts w:asciiTheme="minorHAnsi" w:eastAsiaTheme="minorEastAsia" w:hAnsiTheme="minorHAnsi" w:cs="Calibri"/>
                <w:b/>
                <w:bCs/>
                <w:color w:val="000000"/>
                <w:sz w:val="18"/>
                <w:szCs w:val="18"/>
                <w:vertAlign w:val="superscript"/>
                <w:lang w:eastAsia="en-AU"/>
              </w:rPr>
            </w:pPr>
            <w:r w:rsidRPr="00A120C4">
              <w:rPr>
                <w:rFonts w:asciiTheme="minorHAnsi" w:eastAsiaTheme="minorEastAsia" w:hAnsiTheme="minorHAnsi" w:cs="Calibri"/>
                <w:b/>
                <w:bCs/>
                <w:color w:val="000000"/>
                <w:sz w:val="18"/>
                <w:szCs w:val="18"/>
                <w:lang w:eastAsia="en-AU"/>
              </w:rPr>
              <w:t>Net lending/(borrowing)</w:t>
            </w:r>
            <w:r w:rsidRPr="00A120C4">
              <w:rPr>
                <w:rFonts w:asciiTheme="minorHAnsi" w:eastAsiaTheme="minorEastAsia" w:hAnsiTheme="minorHAnsi" w:cs="Calibri"/>
                <w:b/>
                <w:iCs/>
                <w:color w:val="000000" w:themeColor="text1"/>
                <w:sz w:val="18"/>
                <w:szCs w:val="18"/>
                <w:vertAlign w:val="superscript"/>
                <w:lang w:eastAsia="en-AU"/>
              </w:rPr>
              <w:t xml:space="preserve"> (a)</w:t>
            </w:r>
          </w:p>
        </w:tc>
        <w:tc>
          <w:tcPr>
            <w:tcW w:w="570" w:type="dxa"/>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center"/>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 xml:space="preserve"> </w:t>
            </w:r>
          </w:p>
        </w:tc>
        <w:tc>
          <w:tcPr>
            <w:tcW w:w="853" w:type="dxa"/>
            <w:gridSpan w:val="2"/>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327</w:t>
            </w:r>
          </w:p>
        </w:tc>
        <w:tc>
          <w:tcPr>
            <w:tcW w:w="999" w:type="dxa"/>
            <w:gridSpan w:val="2"/>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(1 237)</w:t>
            </w:r>
          </w:p>
        </w:tc>
        <w:tc>
          <w:tcPr>
            <w:tcW w:w="995" w:type="dxa"/>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1 148</w:t>
            </w:r>
          </w:p>
        </w:tc>
        <w:tc>
          <w:tcPr>
            <w:tcW w:w="856" w:type="dxa"/>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Theme="minorHAnsi" w:eastAsiaTheme="minorEastAsia" w:hAnsiTheme="minorHAnsi" w:cs="Calibri"/>
                <w:b/>
                <w:bCs/>
                <w:color w:val="000000"/>
                <w:sz w:val="18"/>
                <w:szCs w:val="18"/>
                <w:lang w:eastAsia="en-AU"/>
              </w:rPr>
            </w:pPr>
            <w:r w:rsidRPr="00A120C4">
              <w:rPr>
                <w:rFonts w:asciiTheme="minorHAnsi" w:eastAsiaTheme="minorEastAsia" w:hAnsiTheme="minorHAnsi" w:cs="Calibri"/>
                <w:b/>
                <w:bCs/>
                <w:color w:val="000000"/>
                <w:sz w:val="18"/>
                <w:szCs w:val="18"/>
                <w:lang w:eastAsia="en-AU"/>
              </w:rPr>
              <w:t>18</w:t>
            </w:r>
          </w:p>
        </w:tc>
      </w:tr>
    </w:tbl>
    <w:p w:rsidR="00BB67AF" w:rsidRDefault="00BB67AF" w:rsidP="003E6750">
      <w:pPr>
        <w:pStyle w:val="Source"/>
      </w:pPr>
      <w:r>
        <w:t>The accompanying notes form part of these financial statements.</w:t>
      </w:r>
    </w:p>
    <w:p w:rsidR="00BB67AF" w:rsidRDefault="00BB67AF" w:rsidP="003E6750">
      <w:pPr>
        <w:pStyle w:val="Notes"/>
      </w:pPr>
      <w:r>
        <w:t>Note:</w:t>
      </w:r>
    </w:p>
    <w:p w:rsidR="00BB67AF" w:rsidRPr="00717E8D" w:rsidRDefault="00BB67AF" w:rsidP="003E6750">
      <w:pPr>
        <w:pStyle w:val="Notes"/>
      </w:pPr>
      <w:r>
        <w:t>(a)</w:t>
      </w:r>
      <w:r>
        <w:tab/>
        <w:t xml:space="preserve">The December 2014 comparative figures have been restated to reflect more current information, mainly including adjustments outlined in Note 37 of the </w:t>
      </w:r>
      <w:r>
        <w:rPr>
          <w:i w:val="0"/>
        </w:rPr>
        <w:t>2014</w:t>
      </w:r>
      <w:r>
        <w:rPr>
          <w:i w:val="0"/>
        </w:rPr>
        <w:noBreakHyphen/>
        <w:t>15 Financial Report</w:t>
      </w:r>
      <w:r>
        <w:t>.</w:t>
      </w:r>
    </w:p>
    <w:p w:rsidR="00BB67AF" w:rsidRDefault="00BB67AF">
      <w:pPr>
        <w:spacing w:after="0"/>
        <w:rPr>
          <w:rFonts w:ascii="Calibri" w:hAnsi="Calibri"/>
          <w:b/>
          <w:sz w:val="25"/>
        </w:rPr>
      </w:pPr>
      <w:r>
        <w:br w:type="page"/>
      </w:r>
    </w:p>
    <w:p w:rsidR="00BB67AF" w:rsidRDefault="00BB67AF" w:rsidP="003E6750">
      <w:pPr>
        <w:pStyle w:val="Tableheading"/>
      </w:pPr>
      <w:r>
        <w:lastRenderedPageBreak/>
        <w:t>Consolidated balance sheet as at 31 December</w:t>
      </w:r>
    </w:p>
    <w:p w:rsidR="00BB67AF" w:rsidRPr="00385099" w:rsidRDefault="00BB67AF" w:rsidP="003E6750">
      <w:pPr>
        <w:pStyle w:val="million"/>
        <w:rPr>
          <w:rFonts w:eastAsiaTheme="minorEastAsia"/>
          <w:b/>
          <w:bCs/>
          <w:lang w:val="en-US" w:eastAsia="en-AU"/>
        </w:rPr>
      </w:pPr>
      <w:r>
        <w:t>($ million)</w:t>
      </w:r>
    </w:p>
    <w:tbl>
      <w:tblPr>
        <w:tblW w:w="9644" w:type="dxa"/>
        <w:tblInd w:w="45" w:type="dxa"/>
        <w:tblLayout w:type="fixed"/>
        <w:tblCellMar>
          <w:left w:w="45" w:type="dxa"/>
          <w:right w:w="45" w:type="dxa"/>
        </w:tblCellMar>
        <w:tblLook w:val="0000" w:firstRow="0" w:lastRow="0" w:firstColumn="0" w:lastColumn="0" w:noHBand="0" w:noVBand="0"/>
      </w:tblPr>
      <w:tblGrid>
        <w:gridCol w:w="4961"/>
        <w:gridCol w:w="709"/>
        <w:gridCol w:w="884"/>
        <w:gridCol w:w="1021"/>
        <w:gridCol w:w="11"/>
        <w:gridCol w:w="1032"/>
        <w:gridCol w:w="1026"/>
      </w:tblGrid>
      <w:tr w:rsidR="00B742C7" w:rsidRPr="00A120C4" w:rsidTr="00B742C7">
        <w:trPr>
          <w:tblHeader/>
        </w:trPr>
        <w:tc>
          <w:tcPr>
            <w:tcW w:w="4961" w:type="dxa"/>
            <w:tcBorders>
              <w:top w:val="nil"/>
              <w:left w:val="nil"/>
              <w:bottom w:val="nil"/>
              <w:right w:val="nil"/>
            </w:tcBorders>
            <w:shd w:val="solid" w:color="000000" w:fill="auto"/>
            <w:vAlign w:val="bottom"/>
          </w:tcPr>
          <w:p w:rsidR="00B742C7" w:rsidRPr="00A120C4" w:rsidRDefault="00B742C7" w:rsidP="003E6750">
            <w:pPr>
              <w:pStyle w:val="Source"/>
              <w:spacing w:after="0"/>
              <w:jc w:val="right"/>
              <w:rPr>
                <w:rFonts w:eastAsiaTheme="minorEastAsia" w:cs="Calibri"/>
                <w:iCs/>
                <w:color w:val="FFFFFF"/>
                <w:sz w:val="20"/>
                <w:lang w:eastAsia="en-AU"/>
              </w:rPr>
            </w:pPr>
            <w:r w:rsidRPr="00A120C4">
              <w:rPr>
                <w:rFonts w:eastAsiaTheme="minorEastAsia" w:cs="Calibri"/>
                <w:iCs/>
                <w:color w:val="FFFFFF"/>
                <w:sz w:val="20"/>
                <w:lang w:eastAsia="en-AU"/>
              </w:rPr>
              <w:t xml:space="preserve"> </w:t>
            </w:r>
          </w:p>
        </w:tc>
        <w:tc>
          <w:tcPr>
            <w:tcW w:w="709" w:type="dxa"/>
            <w:tcBorders>
              <w:top w:val="nil"/>
              <w:left w:val="nil"/>
              <w:bottom w:val="nil"/>
              <w:right w:val="nil"/>
            </w:tcBorders>
            <w:shd w:val="solid" w:color="000000" w:fill="auto"/>
            <w:vAlign w:val="bottom"/>
          </w:tcPr>
          <w:p w:rsidR="00B742C7" w:rsidRPr="00A120C4" w:rsidRDefault="00B742C7" w:rsidP="003E6750">
            <w:pPr>
              <w:autoSpaceDE w:val="0"/>
              <w:autoSpaceDN w:val="0"/>
              <w:adjustRightInd w:val="0"/>
              <w:spacing w:after="0"/>
              <w:jc w:val="center"/>
              <w:rPr>
                <w:rFonts w:ascii="Calibri" w:eastAsiaTheme="minorEastAsia" w:hAnsi="Calibri" w:cs="Calibri"/>
                <w:i/>
                <w:iCs/>
                <w:color w:val="FFFFFF"/>
                <w:sz w:val="20"/>
                <w:lang w:eastAsia="en-AU"/>
              </w:rPr>
            </w:pPr>
            <w:r w:rsidRPr="00A120C4">
              <w:rPr>
                <w:rFonts w:ascii="Calibri" w:eastAsiaTheme="minorEastAsia" w:hAnsi="Calibri" w:cs="Calibri"/>
                <w:i/>
                <w:iCs/>
                <w:color w:val="FFFFFF"/>
                <w:sz w:val="20"/>
                <w:lang w:eastAsia="en-AU"/>
              </w:rPr>
              <w:t xml:space="preserve"> </w:t>
            </w:r>
          </w:p>
        </w:tc>
        <w:tc>
          <w:tcPr>
            <w:tcW w:w="1905" w:type="dxa"/>
            <w:gridSpan w:val="2"/>
            <w:tcBorders>
              <w:top w:val="nil"/>
              <w:left w:val="nil"/>
              <w:bottom w:val="nil"/>
              <w:right w:val="nil"/>
            </w:tcBorders>
            <w:shd w:val="solid" w:color="000000" w:fill="auto"/>
            <w:vAlign w:val="bottom"/>
          </w:tcPr>
          <w:p w:rsidR="00B742C7" w:rsidRPr="00A120C4" w:rsidRDefault="00B742C7" w:rsidP="00B742C7">
            <w:pPr>
              <w:autoSpaceDE w:val="0"/>
              <w:autoSpaceDN w:val="0"/>
              <w:adjustRightInd w:val="0"/>
              <w:spacing w:after="0"/>
              <w:jc w:val="center"/>
              <w:rPr>
                <w:rFonts w:ascii="Calibri" w:eastAsiaTheme="minorEastAsia" w:hAnsi="Calibri" w:cs="Calibri"/>
                <w:i/>
                <w:iCs/>
                <w:color w:val="FFFFFF"/>
                <w:sz w:val="20"/>
                <w:lang w:eastAsia="en-AU"/>
              </w:rPr>
            </w:pPr>
            <w:r w:rsidRPr="00A120C4">
              <w:rPr>
                <w:rFonts w:ascii="Calibri" w:eastAsiaTheme="minorEastAsia" w:hAnsi="Calibri" w:cs="Calibri"/>
                <w:i/>
                <w:iCs/>
                <w:color w:val="FFFFFF"/>
                <w:sz w:val="20"/>
                <w:lang w:eastAsia="en-AU"/>
              </w:rPr>
              <w:t xml:space="preserve">State of Victoria </w:t>
            </w:r>
          </w:p>
        </w:tc>
        <w:tc>
          <w:tcPr>
            <w:tcW w:w="2069" w:type="dxa"/>
            <w:gridSpan w:val="3"/>
            <w:tcBorders>
              <w:top w:val="nil"/>
              <w:left w:val="nil"/>
              <w:bottom w:val="nil"/>
              <w:right w:val="nil"/>
            </w:tcBorders>
            <w:shd w:val="solid" w:color="000000" w:fill="auto"/>
            <w:vAlign w:val="bottom"/>
          </w:tcPr>
          <w:p w:rsidR="00B742C7" w:rsidRPr="00A120C4" w:rsidRDefault="00B742C7" w:rsidP="00B742C7">
            <w:pPr>
              <w:autoSpaceDE w:val="0"/>
              <w:autoSpaceDN w:val="0"/>
              <w:adjustRightInd w:val="0"/>
              <w:spacing w:after="0"/>
              <w:jc w:val="center"/>
              <w:rPr>
                <w:rFonts w:ascii="Calibri" w:eastAsiaTheme="minorEastAsia" w:hAnsi="Calibri" w:cs="Calibri"/>
                <w:i/>
                <w:iCs/>
                <w:color w:val="FFFFFF"/>
                <w:sz w:val="20"/>
                <w:lang w:eastAsia="en-AU"/>
              </w:rPr>
            </w:pPr>
            <w:r w:rsidRPr="00A120C4">
              <w:rPr>
                <w:rFonts w:ascii="Calibri" w:eastAsiaTheme="minorEastAsia" w:hAnsi="Calibri" w:cs="Calibri"/>
                <w:i/>
                <w:iCs/>
                <w:color w:val="FFFFFF"/>
                <w:sz w:val="20"/>
                <w:lang w:eastAsia="en-AU"/>
              </w:rPr>
              <w:t xml:space="preserve">General </w:t>
            </w:r>
            <w:r w:rsidRPr="00A120C4">
              <w:rPr>
                <w:rFonts w:ascii="Calibri" w:eastAsiaTheme="minorEastAsia" w:hAnsi="Calibri" w:cs="Calibri"/>
                <w:i/>
                <w:iCs/>
                <w:color w:val="FFFFFF"/>
                <w:sz w:val="20"/>
                <w:lang w:eastAsia="en-AU"/>
              </w:rPr>
              <w:br/>
              <w:t xml:space="preserve">government sector </w:t>
            </w:r>
          </w:p>
        </w:tc>
      </w:tr>
      <w:tr w:rsidR="00B742C7" w:rsidRPr="00A120C4" w:rsidTr="00897890">
        <w:trPr>
          <w:trHeight w:val="537"/>
          <w:tblHeader/>
        </w:trPr>
        <w:tc>
          <w:tcPr>
            <w:tcW w:w="4961" w:type="dxa"/>
            <w:tcBorders>
              <w:top w:val="nil"/>
              <w:left w:val="nil"/>
              <w:right w:val="nil"/>
            </w:tcBorders>
            <w:shd w:val="solid" w:color="000000" w:fill="auto"/>
            <w:vAlign w:val="bottom"/>
          </w:tcPr>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20"/>
                <w:lang w:eastAsia="en-AU"/>
              </w:rPr>
            </w:pPr>
            <w:r w:rsidRPr="00A120C4">
              <w:rPr>
                <w:rFonts w:ascii="Calibri" w:eastAsiaTheme="minorEastAsia" w:hAnsi="Calibri" w:cs="Calibri"/>
                <w:i/>
                <w:iCs/>
                <w:color w:val="FFFFFF"/>
                <w:sz w:val="20"/>
                <w:lang w:eastAsia="en-AU"/>
              </w:rPr>
              <w:t xml:space="preserve"> </w:t>
            </w:r>
          </w:p>
          <w:p w:rsidR="00B742C7" w:rsidRPr="00A120C4" w:rsidRDefault="00B742C7" w:rsidP="003E6750">
            <w:pPr>
              <w:autoSpaceDE w:val="0"/>
              <w:autoSpaceDN w:val="0"/>
              <w:adjustRightInd w:val="0"/>
              <w:spacing w:after="0"/>
              <w:rPr>
                <w:rFonts w:ascii="Calibri" w:eastAsiaTheme="minorEastAsia" w:hAnsi="Calibri" w:cs="Calibri"/>
                <w:i/>
                <w:iCs/>
                <w:color w:val="FFFFFF"/>
                <w:sz w:val="20"/>
                <w:lang w:eastAsia="en-AU"/>
              </w:rPr>
            </w:pPr>
            <w:r w:rsidRPr="00A120C4">
              <w:rPr>
                <w:rFonts w:ascii="Calibri" w:eastAsiaTheme="minorEastAsia" w:hAnsi="Calibri" w:cs="Calibri"/>
                <w:i/>
                <w:iCs/>
                <w:color w:val="FFFFFF"/>
                <w:sz w:val="20"/>
                <w:lang w:eastAsia="en-AU"/>
              </w:rPr>
              <w:t xml:space="preserve"> </w:t>
            </w:r>
          </w:p>
        </w:tc>
        <w:tc>
          <w:tcPr>
            <w:tcW w:w="709" w:type="dxa"/>
            <w:tcBorders>
              <w:top w:val="nil"/>
              <w:left w:val="nil"/>
              <w:right w:val="nil"/>
            </w:tcBorders>
            <w:shd w:val="solid" w:color="000000" w:fill="auto"/>
            <w:vAlign w:val="bottom"/>
          </w:tcPr>
          <w:p w:rsidR="00B742C7" w:rsidRPr="00A120C4" w:rsidRDefault="00B742C7" w:rsidP="00B742C7">
            <w:pPr>
              <w:autoSpaceDE w:val="0"/>
              <w:autoSpaceDN w:val="0"/>
              <w:adjustRightInd w:val="0"/>
              <w:spacing w:after="0"/>
              <w:jc w:val="center"/>
              <w:rPr>
                <w:rFonts w:ascii="Calibri" w:eastAsiaTheme="minorEastAsia" w:hAnsi="Calibri" w:cs="Calibri"/>
                <w:i/>
                <w:iCs/>
                <w:color w:val="FFFFFF"/>
                <w:sz w:val="20"/>
                <w:lang w:eastAsia="en-AU"/>
              </w:rPr>
            </w:pPr>
            <w:r w:rsidRPr="00A120C4">
              <w:rPr>
                <w:rFonts w:ascii="Calibri" w:eastAsiaTheme="minorEastAsia" w:hAnsi="Calibri" w:cs="Calibri"/>
                <w:i/>
                <w:iCs/>
                <w:color w:val="FFFFFF"/>
                <w:sz w:val="20"/>
                <w:lang w:eastAsia="en-AU"/>
              </w:rPr>
              <w:t>Notes</w:t>
            </w:r>
          </w:p>
        </w:tc>
        <w:tc>
          <w:tcPr>
            <w:tcW w:w="884" w:type="dxa"/>
            <w:tcBorders>
              <w:top w:val="nil"/>
              <w:left w:val="nil"/>
              <w:right w:val="nil"/>
            </w:tcBorders>
            <w:shd w:val="solid" w:color="000000" w:fill="auto"/>
            <w:vAlign w:val="bottom"/>
          </w:tcPr>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20"/>
                <w:lang w:eastAsia="en-AU"/>
              </w:rPr>
            </w:pPr>
            <w:r w:rsidRPr="00A120C4">
              <w:rPr>
                <w:rFonts w:ascii="Calibri" w:eastAsiaTheme="minorEastAsia" w:hAnsi="Calibri" w:cs="Calibri"/>
                <w:i/>
                <w:iCs/>
                <w:color w:val="FFFFFF"/>
                <w:sz w:val="20"/>
                <w:lang w:eastAsia="en-AU"/>
              </w:rPr>
              <w:t>Dec</w:t>
            </w:r>
          </w:p>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20"/>
                <w:lang w:eastAsia="en-AU"/>
              </w:rPr>
            </w:pPr>
            <w:r w:rsidRPr="00A120C4">
              <w:rPr>
                <w:rFonts w:ascii="Calibri" w:eastAsiaTheme="minorEastAsia" w:hAnsi="Calibri" w:cs="Calibri"/>
                <w:i/>
                <w:iCs/>
                <w:color w:val="FFFFFF"/>
                <w:sz w:val="20"/>
                <w:lang w:eastAsia="en-AU"/>
              </w:rPr>
              <w:t>2015</w:t>
            </w:r>
          </w:p>
        </w:tc>
        <w:tc>
          <w:tcPr>
            <w:tcW w:w="1032" w:type="dxa"/>
            <w:gridSpan w:val="2"/>
            <w:tcBorders>
              <w:top w:val="nil"/>
              <w:left w:val="nil"/>
              <w:right w:val="nil"/>
            </w:tcBorders>
            <w:shd w:val="solid" w:color="000000" w:fill="auto"/>
            <w:vAlign w:val="bottom"/>
          </w:tcPr>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20"/>
                <w:lang w:eastAsia="en-AU"/>
              </w:rPr>
            </w:pPr>
            <w:r w:rsidRPr="00A120C4">
              <w:rPr>
                <w:rFonts w:ascii="Calibri" w:eastAsiaTheme="minorEastAsia" w:hAnsi="Calibri" w:cs="Calibri"/>
                <w:i/>
                <w:iCs/>
                <w:color w:val="FFFFFF"/>
                <w:sz w:val="20"/>
                <w:lang w:eastAsia="en-AU"/>
              </w:rPr>
              <w:t>Jun</w:t>
            </w:r>
          </w:p>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20"/>
                <w:lang w:eastAsia="en-AU"/>
              </w:rPr>
            </w:pPr>
            <w:r w:rsidRPr="00A120C4">
              <w:rPr>
                <w:rFonts w:ascii="Calibri" w:eastAsiaTheme="minorEastAsia" w:hAnsi="Calibri" w:cs="Calibri"/>
                <w:i/>
                <w:iCs/>
                <w:color w:val="FFFFFF"/>
                <w:sz w:val="20"/>
                <w:lang w:eastAsia="en-AU"/>
              </w:rPr>
              <w:t xml:space="preserve">2015 </w:t>
            </w:r>
          </w:p>
        </w:tc>
        <w:tc>
          <w:tcPr>
            <w:tcW w:w="1032" w:type="dxa"/>
            <w:tcBorders>
              <w:top w:val="nil"/>
              <w:left w:val="nil"/>
              <w:right w:val="nil"/>
            </w:tcBorders>
            <w:shd w:val="solid" w:color="000000" w:fill="auto"/>
            <w:vAlign w:val="bottom"/>
          </w:tcPr>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20"/>
                <w:lang w:eastAsia="en-AU"/>
              </w:rPr>
            </w:pPr>
            <w:r w:rsidRPr="00A120C4">
              <w:rPr>
                <w:rFonts w:ascii="Calibri" w:eastAsiaTheme="minorEastAsia" w:hAnsi="Calibri" w:cs="Calibri"/>
                <w:i/>
                <w:iCs/>
                <w:color w:val="FFFFFF"/>
                <w:sz w:val="20"/>
                <w:lang w:eastAsia="en-AU"/>
              </w:rPr>
              <w:t>Dec</w:t>
            </w:r>
          </w:p>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20"/>
                <w:lang w:eastAsia="en-AU"/>
              </w:rPr>
            </w:pPr>
            <w:r w:rsidRPr="00A120C4">
              <w:rPr>
                <w:rFonts w:ascii="Calibri" w:eastAsiaTheme="minorEastAsia" w:hAnsi="Calibri" w:cs="Calibri"/>
                <w:i/>
                <w:iCs/>
                <w:color w:val="FFFFFF"/>
                <w:sz w:val="20"/>
                <w:lang w:eastAsia="en-AU"/>
              </w:rPr>
              <w:t>2015</w:t>
            </w:r>
          </w:p>
        </w:tc>
        <w:tc>
          <w:tcPr>
            <w:tcW w:w="1026" w:type="dxa"/>
            <w:tcBorders>
              <w:top w:val="nil"/>
              <w:left w:val="nil"/>
              <w:right w:val="nil"/>
            </w:tcBorders>
            <w:shd w:val="solid" w:color="000000" w:fill="auto"/>
            <w:vAlign w:val="bottom"/>
          </w:tcPr>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20"/>
                <w:lang w:eastAsia="en-AU"/>
              </w:rPr>
            </w:pPr>
            <w:r w:rsidRPr="00A120C4">
              <w:rPr>
                <w:rFonts w:ascii="Calibri" w:eastAsiaTheme="minorEastAsia" w:hAnsi="Calibri" w:cs="Calibri"/>
                <w:i/>
                <w:iCs/>
                <w:color w:val="FFFFFF"/>
                <w:sz w:val="20"/>
                <w:lang w:eastAsia="en-AU"/>
              </w:rPr>
              <w:t>Jun</w:t>
            </w:r>
          </w:p>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20"/>
                <w:lang w:eastAsia="en-AU"/>
              </w:rPr>
            </w:pPr>
            <w:r w:rsidRPr="00A120C4">
              <w:rPr>
                <w:rFonts w:ascii="Calibri" w:eastAsiaTheme="minorEastAsia" w:hAnsi="Calibri" w:cs="Calibri"/>
                <w:i/>
                <w:iCs/>
                <w:color w:val="FFFFFF"/>
                <w:sz w:val="20"/>
                <w:lang w:eastAsia="en-AU"/>
              </w:rPr>
              <w:t>2015</w:t>
            </w:r>
          </w:p>
        </w:tc>
      </w:tr>
      <w:tr w:rsidR="00BB67AF" w:rsidRPr="00A120C4" w:rsidTr="00B742C7">
        <w:tc>
          <w:tcPr>
            <w:tcW w:w="49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Assets</w:t>
            </w:r>
          </w:p>
        </w:tc>
        <w:tc>
          <w:tcPr>
            <w:tcW w:w="709"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88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103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10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102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r>
      <w:tr w:rsidR="00BB67AF" w:rsidRPr="00A120C4" w:rsidTr="00B742C7">
        <w:tc>
          <w:tcPr>
            <w:tcW w:w="49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Financial assets</w:t>
            </w:r>
          </w:p>
        </w:tc>
        <w:tc>
          <w:tcPr>
            <w:tcW w:w="709"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88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103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10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102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r>
      <w:tr w:rsidR="00BB67AF" w:rsidRPr="00A120C4" w:rsidTr="00B742C7">
        <w:tc>
          <w:tcPr>
            <w:tcW w:w="49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Cash and deposits</w:t>
            </w:r>
          </w:p>
        </w:tc>
        <w:tc>
          <w:tcPr>
            <w:tcW w:w="709" w:type="dxa"/>
            <w:tcBorders>
              <w:top w:val="nil"/>
              <w:left w:val="nil"/>
              <w:right w:val="nil"/>
            </w:tcBorders>
            <w:shd w:val="clear" w:color="auto" w:fill="FFFFFF"/>
          </w:tcPr>
          <w:p w:rsidR="00BB67AF" w:rsidRPr="00A120C4" w:rsidRDefault="00842014" w:rsidP="003E6750">
            <w:pPr>
              <w:autoSpaceDE w:val="0"/>
              <w:autoSpaceDN w:val="0"/>
              <w:adjustRightInd w:val="0"/>
              <w:spacing w:after="0"/>
              <w:jc w:val="center"/>
              <w:rPr>
                <w:rFonts w:ascii="Calibri" w:eastAsiaTheme="minorEastAsia" w:hAnsi="Calibri" w:cs="Calibri"/>
                <w:color w:val="000000"/>
                <w:sz w:val="20"/>
                <w:lang w:eastAsia="en-AU"/>
              </w:rPr>
            </w:pPr>
            <w:r>
              <w:rPr>
                <w:rFonts w:ascii="Calibri" w:eastAsiaTheme="minorEastAsia" w:hAnsi="Calibri" w:cs="Calibri"/>
                <w:color w:val="000000"/>
                <w:sz w:val="20"/>
                <w:lang w:eastAsia="en-AU"/>
              </w:rPr>
              <w:t>27a</w:t>
            </w:r>
          </w:p>
        </w:tc>
        <w:tc>
          <w:tcPr>
            <w:tcW w:w="88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5 946</w:t>
            </w:r>
          </w:p>
        </w:tc>
        <w:tc>
          <w:tcPr>
            <w:tcW w:w="103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6 521</w:t>
            </w:r>
          </w:p>
        </w:tc>
        <w:tc>
          <w:tcPr>
            <w:tcW w:w="10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4 112</w:t>
            </w:r>
          </w:p>
        </w:tc>
        <w:tc>
          <w:tcPr>
            <w:tcW w:w="102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4 282</w:t>
            </w:r>
          </w:p>
        </w:tc>
      </w:tr>
      <w:tr w:rsidR="00BB67AF" w:rsidRPr="00A120C4" w:rsidTr="00B742C7">
        <w:tc>
          <w:tcPr>
            <w:tcW w:w="49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Advances paid</w:t>
            </w:r>
          </w:p>
        </w:tc>
        <w:tc>
          <w:tcPr>
            <w:tcW w:w="709"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15</w:t>
            </w:r>
          </w:p>
        </w:tc>
        <w:tc>
          <w:tcPr>
            <w:tcW w:w="88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143</w:t>
            </w:r>
          </w:p>
        </w:tc>
        <w:tc>
          <w:tcPr>
            <w:tcW w:w="103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121</w:t>
            </w:r>
          </w:p>
        </w:tc>
        <w:tc>
          <w:tcPr>
            <w:tcW w:w="10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4 550</w:t>
            </w:r>
          </w:p>
        </w:tc>
        <w:tc>
          <w:tcPr>
            <w:tcW w:w="102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4 572</w:t>
            </w:r>
          </w:p>
        </w:tc>
      </w:tr>
      <w:tr w:rsidR="00BB67AF" w:rsidRPr="00A120C4" w:rsidTr="00B742C7">
        <w:tc>
          <w:tcPr>
            <w:tcW w:w="49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Receivables</w:t>
            </w:r>
          </w:p>
        </w:tc>
        <w:tc>
          <w:tcPr>
            <w:tcW w:w="709"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16</w:t>
            </w:r>
          </w:p>
        </w:tc>
        <w:tc>
          <w:tcPr>
            <w:tcW w:w="88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7 735</w:t>
            </w:r>
          </w:p>
        </w:tc>
        <w:tc>
          <w:tcPr>
            <w:tcW w:w="103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6 789</w:t>
            </w:r>
          </w:p>
        </w:tc>
        <w:tc>
          <w:tcPr>
            <w:tcW w:w="10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5 907</w:t>
            </w:r>
          </w:p>
        </w:tc>
        <w:tc>
          <w:tcPr>
            <w:tcW w:w="102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5 555</w:t>
            </w:r>
          </w:p>
        </w:tc>
      </w:tr>
      <w:tr w:rsidR="00BB67AF" w:rsidRPr="00A120C4" w:rsidTr="00B742C7">
        <w:tc>
          <w:tcPr>
            <w:tcW w:w="49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Investments, loans and placements</w:t>
            </w:r>
          </w:p>
        </w:tc>
        <w:tc>
          <w:tcPr>
            <w:tcW w:w="709"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15</w:t>
            </w:r>
          </w:p>
        </w:tc>
        <w:tc>
          <w:tcPr>
            <w:tcW w:w="88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35 289</w:t>
            </w:r>
          </w:p>
        </w:tc>
        <w:tc>
          <w:tcPr>
            <w:tcW w:w="103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34 317</w:t>
            </w:r>
          </w:p>
        </w:tc>
        <w:tc>
          <w:tcPr>
            <w:tcW w:w="10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3 389</w:t>
            </w:r>
          </w:p>
        </w:tc>
        <w:tc>
          <w:tcPr>
            <w:tcW w:w="102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3 406</w:t>
            </w:r>
          </w:p>
        </w:tc>
      </w:tr>
      <w:tr w:rsidR="00BB67AF" w:rsidRPr="00A120C4" w:rsidTr="00B742C7">
        <w:tc>
          <w:tcPr>
            <w:tcW w:w="49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Investments accounted for using the equity method</w:t>
            </w:r>
          </w:p>
        </w:tc>
        <w:tc>
          <w:tcPr>
            <w:tcW w:w="709"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17</w:t>
            </w:r>
          </w:p>
        </w:tc>
        <w:tc>
          <w:tcPr>
            <w:tcW w:w="88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2 020</w:t>
            </w:r>
          </w:p>
        </w:tc>
        <w:tc>
          <w:tcPr>
            <w:tcW w:w="103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2 021</w:t>
            </w:r>
          </w:p>
        </w:tc>
        <w:tc>
          <w:tcPr>
            <w:tcW w:w="10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44</w:t>
            </w:r>
          </w:p>
        </w:tc>
        <w:tc>
          <w:tcPr>
            <w:tcW w:w="102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45</w:t>
            </w:r>
          </w:p>
        </w:tc>
      </w:tr>
      <w:tr w:rsidR="00BB67AF" w:rsidRPr="00A120C4" w:rsidTr="00B742C7">
        <w:tc>
          <w:tcPr>
            <w:tcW w:w="4961"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Investments in other sector entities</w:t>
            </w:r>
          </w:p>
        </w:tc>
        <w:tc>
          <w:tcPr>
            <w:tcW w:w="709"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 xml:space="preserve"> </w:t>
            </w:r>
          </w:p>
        </w:tc>
        <w:tc>
          <w:tcPr>
            <w:tcW w:w="884"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w:t>
            </w:r>
          </w:p>
        </w:tc>
        <w:tc>
          <w:tcPr>
            <w:tcW w:w="1032" w:type="dxa"/>
            <w:gridSpan w:val="2"/>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w:t>
            </w:r>
          </w:p>
        </w:tc>
        <w:tc>
          <w:tcPr>
            <w:tcW w:w="1032"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82 563</w:t>
            </w:r>
          </w:p>
        </w:tc>
        <w:tc>
          <w:tcPr>
            <w:tcW w:w="1026"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82 181</w:t>
            </w:r>
          </w:p>
        </w:tc>
      </w:tr>
      <w:tr w:rsidR="00BB67AF" w:rsidRPr="00A120C4" w:rsidTr="00B742C7">
        <w:tc>
          <w:tcPr>
            <w:tcW w:w="4961"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Total financial assets</w:t>
            </w:r>
          </w:p>
        </w:tc>
        <w:tc>
          <w:tcPr>
            <w:tcW w:w="709"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884"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51 134</w:t>
            </w:r>
          </w:p>
        </w:tc>
        <w:tc>
          <w:tcPr>
            <w:tcW w:w="1032" w:type="dxa"/>
            <w:gridSpan w:val="2"/>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49 770</w:t>
            </w:r>
          </w:p>
        </w:tc>
        <w:tc>
          <w:tcPr>
            <w:tcW w:w="1032"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100 566</w:t>
            </w:r>
          </w:p>
        </w:tc>
        <w:tc>
          <w:tcPr>
            <w:tcW w:w="1026"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100 040</w:t>
            </w:r>
          </w:p>
        </w:tc>
      </w:tr>
      <w:tr w:rsidR="00BB67AF" w:rsidRPr="00A120C4" w:rsidTr="00B742C7">
        <w:tc>
          <w:tcPr>
            <w:tcW w:w="4961"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Non-financial assets</w:t>
            </w:r>
          </w:p>
        </w:tc>
        <w:tc>
          <w:tcPr>
            <w:tcW w:w="709"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884"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1032" w:type="dxa"/>
            <w:gridSpan w:val="2"/>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1032"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1026"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r>
      <w:tr w:rsidR="00BB67AF" w:rsidRPr="00A120C4" w:rsidTr="00B742C7">
        <w:tc>
          <w:tcPr>
            <w:tcW w:w="49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Inventories</w:t>
            </w:r>
          </w:p>
        </w:tc>
        <w:tc>
          <w:tcPr>
            <w:tcW w:w="709"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18</w:t>
            </w:r>
          </w:p>
        </w:tc>
        <w:tc>
          <w:tcPr>
            <w:tcW w:w="88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706</w:t>
            </w:r>
          </w:p>
        </w:tc>
        <w:tc>
          <w:tcPr>
            <w:tcW w:w="103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710</w:t>
            </w:r>
          </w:p>
        </w:tc>
        <w:tc>
          <w:tcPr>
            <w:tcW w:w="10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154</w:t>
            </w:r>
          </w:p>
        </w:tc>
        <w:tc>
          <w:tcPr>
            <w:tcW w:w="102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144</w:t>
            </w:r>
          </w:p>
        </w:tc>
      </w:tr>
      <w:tr w:rsidR="00BB67AF" w:rsidRPr="00A120C4" w:rsidTr="00B742C7">
        <w:tc>
          <w:tcPr>
            <w:tcW w:w="49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Non-financial assets held for sale</w:t>
            </w:r>
          </w:p>
        </w:tc>
        <w:tc>
          <w:tcPr>
            <w:tcW w:w="709"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19</w:t>
            </w:r>
          </w:p>
        </w:tc>
        <w:tc>
          <w:tcPr>
            <w:tcW w:w="88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192</w:t>
            </w:r>
          </w:p>
        </w:tc>
        <w:tc>
          <w:tcPr>
            <w:tcW w:w="103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205</w:t>
            </w:r>
          </w:p>
        </w:tc>
        <w:tc>
          <w:tcPr>
            <w:tcW w:w="10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165</w:t>
            </w:r>
          </w:p>
        </w:tc>
        <w:tc>
          <w:tcPr>
            <w:tcW w:w="102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175</w:t>
            </w:r>
          </w:p>
        </w:tc>
      </w:tr>
      <w:tr w:rsidR="00BB67AF" w:rsidRPr="00A120C4" w:rsidTr="00B742C7">
        <w:tc>
          <w:tcPr>
            <w:tcW w:w="49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A120C4">
              <w:rPr>
                <w:rFonts w:ascii="Calibri" w:eastAsiaTheme="minorEastAsia" w:hAnsi="Calibri" w:cs="Calibri"/>
                <w:color w:val="000000"/>
                <w:sz w:val="20"/>
                <w:lang w:eastAsia="en-AU"/>
              </w:rPr>
              <w:t xml:space="preserve">Land, buildings, infrastructure, plant and equipment </w:t>
            </w:r>
            <w:r w:rsidRPr="00A120C4">
              <w:rPr>
                <w:rFonts w:ascii="Calibri" w:eastAsiaTheme="minorEastAsia" w:hAnsi="Calibri" w:cs="Calibri"/>
                <w:color w:val="000000"/>
                <w:sz w:val="20"/>
                <w:vertAlign w:val="superscript"/>
                <w:lang w:eastAsia="en-AU"/>
              </w:rPr>
              <w:t>(a)</w:t>
            </w:r>
          </w:p>
        </w:tc>
        <w:tc>
          <w:tcPr>
            <w:tcW w:w="709"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20</w:t>
            </w:r>
          </w:p>
        </w:tc>
        <w:tc>
          <w:tcPr>
            <w:tcW w:w="88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207 459</w:t>
            </w:r>
          </w:p>
        </w:tc>
        <w:tc>
          <w:tcPr>
            <w:tcW w:w="103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206 949</w:t>
            </w:r>
          </w:p>
        </w:tc>
        <w:tc>
          <w:tcPr>
            <w:tcW w:w="10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107 750</w:t>
            </w:r>
          </w:p>
        </w:tc>
        <w:tc>
          <w:tcPr>
            <w:tcW w:w="102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107 562</w:t>
            </w:r>
          </w:p>
        </w:tc>
      </w:tr>
      <w:tr w:rsidR="00BB67AF" w:rsidRPr="00A120C4" w:rsidTr="00B742C7">
        <w:tc>
          <w:tcPr>
            <w:tcW w:w="4961"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Other non-financial assets</w:t>
            </w:r>
          </w:p>
        </w:tc>
        <w:tc>
          <w:tcPr>
            <w:tcW w:w="709"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21</w:t>
            </w:r>
          </w:p>
        </w:tc>
        <w:tc>
          <w:tcPr>
            <w:tcW w:w="884"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2 287</w:t>
            </w:r>
          </w:p>
        </w:tc>
        <w:tc>
          <w:tcPr>
            <w:tcW w:w="1032" w:type="dxa"/>
            <w:gridSpan w:val="2"/>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2 127</w:t>
            </w:r>
          </w:p>
        </w:tc>
        <w:tc>
          <w:tcPr>
            <w:tcW w:w="1032"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1 195</w:t>
            </w:r>
          </w:p>
        </w:tc>
        <w:tc>
          <w:tcPr>
            <w:tcW w:w="1026"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1 038</w:t>
            </w:r>
          </w:p>
        </w:tc>
      </w:tr>
      <w:tr w:rsidR="00BB67AF" w:rsidRPr="00A120C4" w:rsidTr="00B742C7">
        <w:tc>
          <w:tcPr>
            <w:tcW w:w="4961"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A120C4">
              <w:rPr>
                <w:rFonts w:ascii="Calibri" w:eastAsiaTheme="minorEastAsia" w:hAnsi="Calibri" w:cs="Calibri"/>
                <w:b/>
                <w:bCs/>
                <w:color w:val="000000"/>
                <w:sz w:val="20"/>
                <w:lang w:eastAsia="en-AU"/>
              </w:rPr>
              <w:t xml:space="preserve">Total non-financial assets </w:t>
            </w:r>
            <w:r w:rsidRPr="00A120C4">
              <w:rPr>
                <w:rFonts w:ascii="Calibri" w:eastAsiaTheme="minorEastAsia" w:hAnsi="Calibri" w:cs="Calibri"/>
                <w:b/>
                <w:bCs/>
                <w:color w:val="000000"/>
                <w:sz w:val="20"/>
                <w:vertAlign w:val="superscript"/>
                <w:lang w:eastAsia="en-AU"/>
              </w:rPr>
              <w:t>(a)</w:t>
            </w:r>
          </w:p>
        </w:tc>
        <w:tc>
          <w:tcPr>
            <w:tcW w:w="709"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884"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210 644</w:t>
            </w:r>
          </w:p>
        </w:tc>
        <w:tc>
          <w:tcPr>
            <w:tcW w:w="1032" w:type="dxa"/>
            <w:gridSpan w:val="2"/>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209 991</w:t>
            </w:r>
          </w:p>
        </w:tc>
        <w:tc>
          <w:tcPr>
            <w:tcW w:w="1032"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109 265</w:t>
            </w:r>
          </w:p>
        </w:tc>
        <w:tc>
          <w:tcPr>
            <w:tcW w:w="1026"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108 920</w:t>
            </w:r>
          </w:p>
        </w:tc>
      </w:tr>
      <w:tr w:rsidR="00BB67AF" w:rsidRPr="00A120C4" w:rsidTr="00B742C7">
        <w:tc>
          <w:tcPr>
            <w:tcW w:w="4961"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A120C4">
              <w:rPr>
                <w:rFonts w:ascii="Calibri" w:eastAsiaTheme="minorEastAsia" w:hAnsi="Calibri" w:cs="Calibri"/>
                <w:b/>
                <w:bCs/>
                <w:color w:val="000000"/>
                <w:sz w:val="20"/>
                <w:lang w:eastAsia="en-AU"/>
              </w:rPr>
              <w:t xml:space="preserve">Total assets </w:t>
            </w:r>
            <w:r w:rsidRPr="00A120C4">
              <w:rPr>
                <w:rFonts w:ascii="Calibri" w:eastAsiaTheme="minorEastAsia" w:hAnsi="Calibri" w:cs="Calibri"/>
                <w:b/>
                <w:bCs/>
                <w:color w:val="000000"/>
                <w:sz w:val="20"/>
                <w:vertAlign w:val="superscript"/>
                <w:lang w:eastAsia="en-AU"/>
              </w:rPr>
              <w:t>(a)</w:t>
            </w:r>
          </w:p>
        </w:tc>
        <w:tc>
          <w:tcPr>
            <w:tcW w:w="709"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22</w:t>
            </w:r>
          </w:p>
        </w:tc>
        <w:tc>
          <w:tcPr>
            <w:tcW w:w="884"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261 778</w:t>
            </w:r>
          </w:p>
        </w:tc>
        <w:tc>
          <w:tcPr>
            <w:tcW w:w="1032" w:type="dxa"/>
            <w:gridSpan w:val="2"/>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259 760</w:t>
            </w:r>
          </w:p>
        </w:tc>
        <w:tc>
          <w:tcPr>
            <w:tcW w:w="1032"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209 830</w:t>
            </w:r>
          </w:p>
        </w:tc>
        <w:tc>
          <w:tcPr>
            <w:tcW w:w="1026"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208 960</w:t>
            </w:r>
          </w:p>
        </w:tc>
      </w:tr>
      <w:tr w:rsidR="00BB67AF" w:rsidRPr="00A120C4" w:rsidTr="00B742C7">
        <w:tc>
          <w:tcPr>
            <w:tcW w:w="49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Liabilities</w:t>
            </w:r>
          </w:p>
        </w:tc>
        <w:tc>
          <w:tcPr>
            <w:tcW w:w="709"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88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103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10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102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r>
      <w:tr w:rsidR="00BB67AF" w:rsidRPr="00A120C4" w:rsidTr="00B742C7">
        <w:tc>
          <w:tcPr>
            <w:tcW w:w="49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Depo</w:t>
            </w:r>
            <w:r w:rsidR="00B742C7" w:rsidRPr="00A120C4">
              <w:rPr>
                <w:rFonts w:ascii="Calibri" w:eastAsiaTheme="minorEastAsia" w:hAnsi="Calibri" w:cs="Calibri"/>
                <w:color w:val="000000"/>
                <w:sz w:val="20"/>
                <w:lang w:eastAsia="en-AU"/>
              </w:rPr>
              <w:t>sits held and advances received</w:t>
            </w:r>
          </w:p>
        </w:tc>
        <w:tc>
          <w:tcPr>
            <w:tcW w:w="709"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 xml:space="preserve"> </w:t>
            </w:r>
          </w:p>
        </w:tc>
        <w:tc>
          <w:tcPr>
            <w:tcW w:w="88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2 464</w:t>
            </w:r>
          </w:p>
        </w:tc>
        <w:tc>
          <w:tcPr>
            <w:tcW w:w="103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2 320</w:t>
            </w:r>
          </w:p>
        </w:tc>
        <w:tc>
          <w:tcPr>
            <w:tcW w:w="10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485</w:t>
            </w:r>
          </w:p>
        </w:tc>
        <w:tc>
          <w:tcPr>
            <w:tcW w:w="102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518</w:t>
            </w:r>
          </w:p>
        </w:tc>
      </w:tr>
      <w:tr w:rsidR="00BB67AF" w:rsidRPr="00A120C4" w:rsidTr="00B742C7">
        <w:tc>
          <w:tcPr>
            <w:tcW w:w="49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Payables</w:t>
            </w:r>
          </w:p>
        </w:tc>
        <w:tc>
          <w:tcPr>
            <w:tcW w:w="709"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23</w:t>
            </w:r>
          </w:p>
        </w:tc>
        <w:tc>
          <w:tcPr>
            <w:tcW w:w="88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7 967</w:t>
            </w:r>
          </w:p>
        </w:tc>
        <w:tc>
          <w:tcPr>
            <w:tcW w:w="103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7 591</w:t>
            </w:r>
          </w:p>
        </w:tc>
        <w:tc>
          <w:tcPr>
            <w:tcW w:w="10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5 188</w:t>
            </w:r>
          </w:p>
        </w:tc>
        <w:tc>
          <w:tcPr>
            <w:tcW w:w="102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5 704</w:t>
            </w:r>
          </w:p>
        </w:tc>
      </w:tr>
      <w:tr w:rsidR="00BB67AF" w:rsidRPr="00A120C4" w:rsidTr="00B742C7">
        <w:tc>
          <w:tcPr>
            <w:tcW w:w="49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Borrowings</w:t>
            </w:r>
          </w:p>
        </w:tc>
        <w:tc>
          <w:tcPr>
            <w:tcW w:w="709"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24</w:t>
            </w:r>
          </w:p>
        </w:tc>
        <w:tc>
          <w:tcPr>
            <w:tcW w:w="88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51 593</w:t>
            </w:r>
          </w:p>
        </w:tc>
        <w:tc>
          <w:tcPr>
            <w:tcW w:w="103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51 688</w:t>
            </w:r>
          </w:p>
        </w:tc>
        <w:tc>
          <w:tcPr>
            <w:tcW w:w="10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34 301</w:t>
            </w:r>
          </w:p>
        </w:tc>
        <w:tc>
          <w:tcPr>
            <w:tcW w:w="102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34 069</w:t>
            </w:r>
          </w:p>
        </w:tc>
      </w:tr>
      <w:tr w:rsidR="00BB67AF" w:rsidRPr="00A120C4" w:rsidTr="00B742C7">
        <w:tc>
          <w:tcPr>
            <w:tcW w:w="49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Employee benefits</w:t>
            </w:r>
          </w:p>
        </w:tc>
        <w:tc>
          <w:tcPr>
            <w:tcW w:w="709"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25</w:t>
            </w:r>
          </w:p>
        </w:tc>
        <w:tc>
          <w:tcPr>
            <w:tcW w:w="88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6 223</w:t>
            </w:r>
          </w:p>
        </w:tc>
        <w:tc>
          <w:tcPr>
            <w:tcW w:w="103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6 076</w:t>
            </w:r>
          </w:p>
        </w:tc>
        <w:tc>
          <w:tcPr>
            <w:tcW w:w="10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5 769</w:t>
            </w:r>
          </w:p>
        </w:tc>
        <w:tc>
          <w:tcPr>
            <w:tcW w:w="102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5 605</w:t>
            </w:r>
          </w:p>
        </w:tc>
      </w:tr>
      <w:tr w:rsidR="00BB67AF" w:rsidRPr="00A120C4" w:rsidTr="00B742C7">
        <w:tc>
          <w:tcPr>
            <w:tcW w:w="49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Superannuation</w:t>
            </w:r>
          </w:p>
        </w:tc>
        <w:tc>
          <w:tcPr>
            <w:tcW w:w="709"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8b</w:t>
            </w:r>
          </w:p>
        </w:tc>
        <w:tc>
          <w:tcPr>
            <w:tcW w:w="88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26 762</w:t>
            </w:r>
          </w:p>
        </w:tc>
        <w:tc>
          <w:tcPr>
            <w:tcW w:w="103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25 988</w:t>
            </w:r>
          </w:p>
        </w:tc>
        <w:tc>
          <w:tcPr>
            <w:tcW w:w="10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26 722</w:t>
            </w:r>
          </w:p>
        </w:tc>
        <w:tc>
          <w:tcPr>
            <w:tcW w:w="102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25 947</w:t>
            </w:r>
          </w:p>
        </w:tc>
      </w:tr>
      <w:tr w:rsidR="00BB67AF" w:rsidRPr="00A120C4" w:rsidTr="00B742C7">
        <w:tc>
          <w:tcPr>
            <w:tcW w:w="4961"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Other provisions</w:t>
            </w:r>
          </w:p>
        </w:tc>
        <w:tc>
          <w:tcPr>
            <w:tcW w:w="709"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26</w:t>
            </w:r>
          </w:p>
        </w:tc>
        <w:tc>
          <w:tcPr>
            <w:tcW w:w="884"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27 104</w:t>
            </w:r>
          </w:p>
        </w:tc>
        <w:tc>
          <w:tcPr>
            <w:tcW w:w="1032" w:type="dxa"/>
            <w:gridSpan w:val="2"/>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26 213</w:t>
            </w:r>
          </w:p>
        </w:tc>
        <w:tc>
          <w:tcPr>
            <w:tcW w:w="1032"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809</w:t>
            </w:r>
          </w:p>
        </w:tc>
        <w:tc>
          <w:tcPr>
            <w:tcW w:w="1026"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807</w:t>
            </w:r>
          </w:p>
        </w:tc>
      </w:tr>
      <w:tr w:rsidR="00BB67AF" w:rsidRPr="00A120C4" w:rsidTr="00B742C7">
        <w:tc>
          <w:tcPr>
            <w:tcW w:w="4961"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Total liabilities</w:t>
            </w:r>
          </w:p>
        </w:tc>
        <w:tc>
          <w:tcPr>
            <w:tcW w:w="709"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884"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122 114</w:t>
            </w:r>
          </w:p>
        </w:tc>
        <w:tc>
          <w:tcPr>
            <w:tcW w:w="1032" w:type="dxa"/>
            <w:gridSpan w:val="2"/>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119 876</w:t>
            </w:r>
          </w:p>
        </w:tc>
        <w:tc>
          <w:tcPr>
            <w:tcW w:w="1032"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73 274</w:t>
            </w:r>
          </w:p>
        </w:tc>
        <w:tc>
          <w:tcPr>
            <w:tcW w:w="1026"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72 650</w:t>
            </w:r>
          </w:p>
        </w:tc>
      </w:tr>
      <w:tr w:rsidR="00BB67AF" w:rsidRPr="00A120C4" w:rsidTr="00B742C7">
        <w:tc>
          <w:tcPr>
            <w:tcW w:w="4961"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A120C4">
              <w:rPr>
                <w:rFonts w:ascii="Calibri" w:eastAsiaTheme="minorEastAsia" w:hAnsi="Calibri" w:cs="Calibri"/>
                <w:b/>
                <w:bCs/>
                <w:color w:val="000000"/>
                <w:sz w:val="20"/>
                <w:lang w:eastAsia="en-AU"/>
              </w:rPr>
              <w:t xml:space="preserve">Net assets </w:t>
            </w:r>
            <w:r w:rsidRPr="00A120C4">
              <w:rPr>
                <w:rFonts w:ascii="Calibri" w:eastAsiaTheme="minorEastAsia" w:hAnsi="Calibri" w:cs="Calibri"/>
                <w:b/>
                <w:bCs/>
                <w:color w:val="000000"/>
                <w:sz w:val="20"/>
                <w:vertAlign w:val="superscript"/>
                <w:lang w:eastAsia="en-AU"/>
              </w:rPr>
              <w:t>(a)</w:t>
            </w:r>
          </w:p>
        </w:tc>
        <w:tc>
          <w:tcPr>
            <w:tcW w:w="709"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884"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139 664</w:t>
            </w:r>
          </w:p>
        </w:tc>
        <w:tc>
          <w:tcPr>
            <w:tcW w:w="1032" w:type="dxa"/>
            <w:gridSpan w:val="2"/>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139 885</w:t>
            </w:r>
          </w:p>
        </w:tc>
        <w:tc>
          <w:tcPr>
            <w:tcW w:w="1032"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136 556</w:t>
            </w:r>
          </w:p>
        </w:tc>
        <w:tc>
          <w:tcPr>
            <w:tcW w:w="1026"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136 310</w:t>
            </w:r>
          </w:p>
        </w:tc>
      </w:tr>
      <w:tr w:rsidR="00BB67AF" w:rsidRPr="00A120C4" w:rsidTr="00B742C7">
        <w:tc>
          <w:tcPr>
            <w:tcW w:w="4961"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A120C4">
              <w:rPr>
                <w:rFonts w:ascii="Calibri" w:eastAsiaTheme="minorEastAsia" w:hAnsi="Calibri" w:cs="Calibri"/>
                <w:color w:val="000000"/>
                <w:sz w:val="20"/>
                <w:lang w:eastAsia="en-AU"/>
              </w:rPr>
              <w:t xml:space="preserve">Accumulated surplus/(deficit) </w:t>
            </w:r>
            <w:r w:rsidRPr="00A120C4">
              <w:rPr>
                <w:rFonts w:ascii="Calibri" w:eastAsiaTheme="minorEastAsia" w:hAnsi="Calibri" w:cs="Calibri"/>
                <w:color w:val="000000"/>
                <w:sz w:val="20"/>
                <w:vertAlign w:val="superscript"/>
                <w:lang w:eastAsia="en-AU"/>
              </w:rPr>
              <w:t>(a)</w:t>
            </w:r>
          </w:p>
        </w:tc>
        <w:tc>
          <w:tcPr>
            <w:tcW w:w="709"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 xml:space="preserve"> </w:t>
            </w:r>
          </w:p>
        </w:tc>
        <w:tc>
          <w:tcPr>
            <w:tcW w:w="884"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61 108</w:t>
            </w:r>
          </w:p>
        </w:tc>
        <w:tc>
          <w:tcPr>
            <w:tcW w:w="1032" w:type="dxa"/>
            <w:gridSpan w:val="2"/>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61 204</w:t>
            </w:r>
          </w:p>
        </w:tc>
        <w:tc>
          <w:tcPr>
            <w:tcW w:w="1032"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46 304</w:t>
            </w:r>
          </w:p>
        </w:tc>
        <w:tc>
          <w:tcPr>
            <w:tcW w:w="1026"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45 764</w:t>
            </w:r>
          </w:p>
        </w:tc>
      </w:tr>
      <w:tr w:rsidR="00BB67AF" w:rsidRPr="00A120C4" w:rsidTr="00B742C7">
        <w:tc>
          <w:tcPr>
            <w:tcW w:w="49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Reserves</w:t>
            </w:r>
          </w:p>
        </w:tc>
        <w:tc>
          <w:tcPr>
            <w:tcW w:w="709"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 xml:space="preserve"> </w:t>
            </w:r>
          </w:p>
        </w:tc>
        <w:tc>
          <w:tcPr>
            <w:tcW w:w="88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78 506</w:t>
            </w:r>
          </w:p>
        </w:tc>
        <w:tc>
          <w:tcPr>
            <w:tcW w:w="103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78 630</w:t>
            </w:r>
          </w:p>
        </w:tc>
        <w:tc>
          <w:tcPr>
            <w:tcW w:w="10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90 203</w:t>
            </w:r>
          </w:p>
        </w:tc>
        <w:tc>
          <w:tcPr>
            <w:tcW w:w="102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90 496</w:t>
            </w:r>
          </w:p>
        </w:tc>
      </w:tr>
      <w:tr w:rsidR="00BB67AF" w:rsidRPr="00A120C4" w:rsidTr="00B742C7">
        <w:tc>
          <w:tcPr>
            <w:tcW w:w="4961"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Non-controlling interest</w:t>
            </w:r>
          </w:p>
        </w:tc>
        <w:tc>
          <w:tcPr>
            <w:tcW w:w="709"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 xml:space="preserve"> </w:t>
            </w:r>
          </w:p>
        </w:tc>
        <w:tc>
          <w:tcPr>
            <w:tcW w:w="884"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50</w:t>
            </w:r>
          </w:p>
        </w:tc>
        <w:tc>
          <w:tcPr>
            <w:tcW w:w="1032" w:type="dxa"/>
            <w:gridSpan w:val="2"/>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50</w:t>
            </w:r>
          </w:p>
        </w:tc>
        <w:tc>
          <w:tcPr>
            <w:tcW w:w="1032"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50</w:t>
            </w:r>
          </w:p>
        </w:tc>
        <w:tc>
          <w:tcPr>
            <w:tcW w:w="1026"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50</w:t>
            </w:r>
          </w:p>
        </w:tc>
      </w:tr>
      <w:tr w:rsidR="00BB67AF" w:rsidRPr="00A120C4" w:rsidTr="00B742C7">
        <w:tc>
          <w:tcPr>
            <w:tcW w:w="4961"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A120C4">
              <w:rPr>
                <w:rFonts w:ascii="Calibri" w:eastAsiaTheme="minorEastAsia" w:hAnsi="Calibri" w:cs="Calibri"/>
                <w:b/>
                <w:bCs/>
                <w:color w:val="000000"/>
                <w:sz w:val="20"/>
                <w:lang w:eastAsia="en-AU"/>
              </w:rPr>
              <w:t xml:space="preserve">Net worth </w:t>
            </w:r>
            <w:r w:rsidRPr="00A120C4">
              <w:rPr>
                <w:rFonts w:ascii="Calibri" w:eastAsiaTheme="minorEastAsia" w:hAnsi="Calibri" w:cs="Calibri"/>
                <w:b/>
                <w:bCs/>
                <w:color w:val="000000"/>
                <w:sz w:val="20"/>
                <w:vertAlign w:val="superscript"/>
                <w:lang w:eastAsia="en-AU"/>
              </w:rPr>
              <w:t>(a)</w:t>
            </w:r>
          </w:p>
        </w:tc>
        <w:tc>
          <w:tcPr>
            <w:tcW w:w="709"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884"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139 664</w:t>
            </w:r>
          </w:p>
        </w:tc>
        <w:tc>
          <w:tcPr>
            <w:tcW w:w="1032" w:type="dxa"/>
            <w:gridSpan w:val="2"/>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139 885</w:t>
            </w:r>
          </w:p>
        </w:tc>
        <w:tc>
          <w:tcPr>
            <w:tcW w:w="1032"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136 556</w:t>
            </w:r>
          </w:p>
        </w:tc>
        <w:tc>
          <w:tcPr>
            <w:tcW w:w="1026"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136 310</w:t>
            </w:r>
          </w:p>
        </w:tc>
      </w:tr>
      <w:tr w:rsidR="00BB67AF" w:rsidRPr="00A120C4" w:rsidTr="00B742C7">
        <w:trPr>
          <w:trHeight w:hRule="exact" w:val="120"/>
        </w:trPr>
        <w:tc>
          <w:tcPr>
            <w:tcW w:w="4961"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 xml:space="preserve"> </w:t>
            </w:r>
          </w:p>
        </w:tc>
        <w:tc>
          <w:tcPr>
            <w:tcW w:w="709"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 xml:space="preserve"> </w:t>
            </w:r>
          </w:p>
        </w:tc>
        <w:tc>
          <w:tcPr>
            <w:tcW w:w="884"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 xml:space="preserve"> </w:t>
            </w:r>
          </w:p>
        </w:tc>
        <w:tc>
          <w:tcPr>
            <w:tcW w:w="1032" w:type="dxa"/>
            <w:gridSpan w:val="2"/>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 xml:space="preserve"> </w:t>
            </w:r>
          </w:p>
        </w:tc>
        <w:tc>
          <w:tcPr>
            <w:tcW w:w="1032"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 xml:space="preserve"> </w:t>
            </w:r>
          </w:p>
        </w:tc>
        <w:tc>
          <w:tcPr>
            <w:tcW w:w="1026"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 xml:space="preserve"> </w:t>
            </w:r>
          </w:p>
        </w:tc>
      </w:tr>
      <w:tr w:rsidR="00BB67AF" w:rsidRPr="00A120C4" w:rsidTr="00B742C7">
        <w:tc>
          <w:tcPr>
            <w:tcW w:w="49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FISCAL AGGREGATES</w:t>
            </w:r>
          </w:p>
        </w:tc>
        <w:tc>
          <w:tcPr>
            <w:tcW w:w="709"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88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103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10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102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r>
      <w:tr w:rsidR="00BB67AF" w:rsidRPr="00A120C4" w:rsidTr="00B742C7">
        <w:tc>
          <w:tcPr>
            <w:tcW w:w="49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Net financial worth</w:t>
            </w:r>
          </w:p>
        </w:tc>
        <w:tc>
          <w:tcPr>
            <w:tcW w:w="709"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 xml:space="preserve"> </w:t>
            </w:r>
          </w:p>
        </w:tc>
        <w:tc>
          <w:tcPr>
            <w:tcW w:w="88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(70 980)</w:t>
            </w:r>
          </w:p>
        </w:tc>
        <w:tc>
          <w:tcPr>
            <w:tcW w:w="103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(70 106)</w:t>
            </w:r>
          </w:p>
        </w:tc>
        <w:tc>
          <w:tcPr>
            <w:tcW w:w="10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27 292</w:t>
            </w:r>
          </w:p>
        </w:tc>
        <w:tc>
          <w:tcPr>
            <w:tcW w:w="102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27 390</w:t>
            </w:r>
          </w:p>
        </w:tc>
      </w:tr>
      <w:tr w:rsidR="00BB67AF" w:rsidRPr="00A120C4" w:rsidTr="00B742C7">
        <w:tc>
          <w:tcPr>
            <w:tcW w:w="4961"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Net financial liabilities</w:t>
            </w:r>
          </w:p>
        </w:tc>
        <w:tc>
          <w:tcPr>
            <w:tcW w:w="709"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 xml:space="preserve"> </w:t>
            </w:r>
          </w:p>
        </w:tc>
        <w:tc>
          <w:tcPr>
            <w:tcW w:w="88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70 980</w:t>
            </w:r>
          </w:p>
        </w:tc>
        <w:tc>
          <w:tcPr>
            <w:tcW w:w="103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70 106</w:t>
            </w:r>
          </w:p>
        </w:tc>
        <w:tc>
          <w:tcPr>
            <w:tcW w:w="103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55 271</w:t>
            </w:r>
          </w:p>
        </w:tc>
        <w:tc>
          <w:tcPr>
            <w:tcW w:w="102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54 791</w:t>
            </w:r>
          </w:p>
        </w:tc>
      </w:tr>
      <w:tr w:rsidR="00BB67AF" w:rsidRPr="00A120C4" w:rsidTr="00B742C7">
        <w:tc>
          <w:tcPr>
            <w:tcW w:w="4961" w:type="dxa"/>
            <w:tcBorders>
              <w:top w:val="nil"/>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Net debt</w:t>
            </w:r>
          </w:p>
        </w:tc>
        <w:tc>
          <w:tcPr>
            <w:tcW w:w="709" w:type="dxa"/>
            <w:tcBorders>
              <w:top w:val="nil"/>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 xml:space="preserve"> </w:t>
            </w:r>
          </w:p>
        </w:tc>
        <w:tc>
          <w:tcPr>
            <w:tcW w:w="884" w:type="dxa"/>
            <w:tcBorders>
              <w:top w:val="nil"/>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12 679</w:t>
            </w:r>
          </w:p>
        </w:tc>
        <w:tc>
          <w:tcPr>
            <w:tcW w:w="1032" w:type="dxa"/>
            <w:gridSpan w:val="2"/>
            <w:tcBorders>
              <w:top w:val="nil"/>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13 048</w:t>
            </w:r>
          </w:p>
        </w:tc>
        <w:tc>
          <w:tcPr>
            <w:tcW w:w="1032" w:type="dxa"/>
            <w:tcBorders>
              <w:top w:val="nil"/>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22 735</w:t>
            </w:r>
          </w:p>
        </w:tc>
        <w:tc>
          <w:tcPr>
            <w:tcW w:w="1026" w:type="dxa"/>
            <w:tcBorders>
              <w:top w:val="nil"/>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22 327</w:t>
            </w:r>
          </w:p>
        </w:tc>
      </w:tr>
    </w:tbl>
    <w:p w:rsidR="00BB67AF" w:rsidRDefault="00BB67AF" w:rsidP="003E6750">
      <w:pPr>
        <w:pStyle w:val="Source"/>
      </w:pPr>
      <w:r>
        <w:t>The accompanying notes form part of these financial statements.</w:t>
      </w:r>
    </w:p>
    <w:p w:rsidR="00BB67AF" w:rsidRDefault="00BB67AF" w:rsidP="003E6750">
      <w:pPr>
        <w:pStyle w:val="Notes"/>
      </w:pPr>
      <w:r>
        <w:t>Note:</w:t>
      </w:r>
    </w:p>
    <w:p w:rsidR="00BB67AF" w:rsidRDefault="00BB67AF" w:rsidP="003E6750">
      <w:pPr>
        <w:pStyle w:val="Notes"/>
      </w:pPr>
      <w:r>
        <w:t>(a)</w:t>
      </w:r>
      <w:r>
        <w:tab/>
        <w:t>Certain June 2015 comparative figures have been restated to reflect more current information.</w:t>
      </w:r>
    </w:p>
    <w:p w:rsidR="00BB67AF" w:rsidRDefault="00BB67AF" w:rsidP="003E6750"/>
    <w:p w:rsidR="00BB67AF" w:rsidRDefault="00BB67AF" w:rsidP="003E6750">
      <w:pPr>
        <w:pStyle w:val="Chartpara"/>
        <w:spacing w:after="120"/>
      </w:pPr>
    </w:p>
    <w:p w:rsidR="00BB67AF" w:rsidRDefault="00BB67AF">
      <w:pPr>
        <w:spacing w:after="0"/>
        <w:rPr>
          <w:rFonts w:ascii="Calibri" w:hAnsi="Calibri"/>
          <w:b/>
          <w:sz w:val="25"/>
        </w:rPr>
      </w:pPr>
      <w:r>
        <w:br w:type="page"/>
      </w:r>
    </w:p>
    <w:p w:rsidR="00BB67AF" w:rsidRDefault="00BB67AF" w:rsidP="003E6750">
      <w:pPr>
        <w:pStyle w:val="Tableheading"/>
      </w:pPr>
      <w:r w:rsidRPr="006B7532">
        <w:lastRenderedPageBreak/>
        <w:t>Consolidated cash flow statement for the six months ended 31 December</w:t>
      </w:r>
    </w:p>
    <w:p w:rsidR="00BB67AF" w:rsidRPr="00C27862" w:rsidRDefault="00BB67AF" w:rsidP="003E6750">
      <w:pPr>
        <w:pStyle w:val="million"/>
        <w:rPr>
          <w:rFonts w:ascii="Garamond" w:hAnsi="Garamond"/>
          <w:b/>
          <w:bCs/>
          <w:sz w:val="24"/>
          <w:lang w:val="en-US"/>
        </w:rPr>
      </w:pPr>
      <w:r>
        <w:t>($ million)</w:t>
      </w:r>
    </w:p>
    <w:tbl>
      <w:tblPr>
        <w:tblW w:w="9639" w:type="dxa"/>
        <w:tblInd w:w="45" w:type="dxa"/>
        <w:tblLayout w:type="fixed"/>
        <w:tblCellMar>
          <w:left w:w="45" w:type="dxa"/>
          <w:right w:w="45" w:type="dxa"/>
        </w:tblCellMar>
        <w:tblLook w:val="0000" w:firstRow="0" w:lastRow="0" w:firstColumn="0" w:lastColumn="0" w:noHBand="0" w:noVBand="0"/>
      </w:tblPr>
      <w:tblGrid>
        <w:gridCol w:w="4799"/>
        <w:gridCol w:w="6"/>
        <w:gridCol w:w="298"/>
        <w:gridCol w:w="410"/>
        <w:gridCol w:w="1025"/>
        <w:gridCol w:w="1034"/>
        <w:gridCol w:w="1025"/>
        <w:gridCol w:w="6"/>
        <w:gridCol w:w="1036"/>
      </w:tblGrid>
      <w:tr w:rsidR="00B742C7" w:rsidRPr="00A120C4" w:rsidTr="00AC25A6">
        <w:trPr>
          <w:tblHeader/>
        </w:trPr>
        <w:tc>
          <w:tcPr>
            <w:tcW w:w="4805" w:type="dxa"/>
            <w:gridSpan w:val="2"/>
            <w:tcBorders>
              <w:top w:val="nil"/>
              <w:left w:val="nil"/>
              <w:bottom w:val="nil"/>
              <w:right w:val="nil"/>
            </w:tcBorders>
            <w:shd w:val="solid" w:color="000000" w:fill="auto"/>
            <w:vAlign w:val="bottom"/>
          </w:tcPr>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18"/>
                <w:szCs w:val="18"/>
                <w:lang w:eastAsia="en-AU"/>
              </w:rPr>
            </w:pPr>
            <w:r w:rsidRPr="00A120C4">
              <w:rPr>
                <w:rFonts w:ascii="Calibri" w:eastAsiaTheme="minorEastAsia" w:hAnsi="Calibri" w:cs="Calibri"/>
                <w:i/>
                <w:iCs/>
                <w:color w:val="FFFFFF"/>
                <w:sz w:val="18"/>
                <w:szCs w:val="18"/>
                <w:lang w:eastAsia="en-AU"/>
              </w:rPr>
              <w:t xml:space="preserve"> </w:t>
            </w:r>
          </w:p>
        </w:tc>
        <w:tc>
          <w:tcPr>
            <w:tcW w:w="708" w:type="dxa"/>
            <w:gridSpan w:val="2"/>
            <w:tcBorders>
              <w:top w:val="nil"/>
              <w:left w:val="nil"/>
              <w:bottom w:val="nil"/>
              <w:right w:val="nil"/>
            </w:tcBorders>
            <w:shd w:val="solid" w:color="000000" w:fill="auto"/>
            <w:vAlign w:val="bottom"/>
          </w:tcPr>
          <w:p w:rsidR="00B742C7" w:rsidRPr="00A120C4" w:rsidRDefault="00B742C7" w:rsidP="003E6750">
            <w:pPr>
              <w:autoSpaceDE w:val="0"/>
              <w:autoSpaceDN w:val="0"/>
              <w:adjustRightInd w:val="0"/>
              <w:spacing w:after="0"/>
              <w:jc w:val="center"/>
              <w:rPr>
                <w:rFonts w:ascii="Calibri" w:eastAsiaTheme="minorEastAsia" w:hAnsi="Calibri" w:cs="Calibri"/>
                <w:i/>
                <w:iCs/>
                <w:color w:val="FFFFFF"/>
                <w:sz w:val="18"/>
                <w:szCs w:val="18"/>
                <w:lang w:eastAsia="en-AU"/>
              </w:rPr>
            </w:pPr>
            <w:r w:rsidRPr="00A120C4">
              <w:rPr>
                <w:rFonts w:ascii="Calibri" w:eastAsiaTheme="minorEastAsia" w:hAnsi="Calibri" w:cs="Calibri"/>
                <w:i/>
                <w:iCs/>
                <w:color w:val="FFFFFF"/>
                <w:sz w:val="18"/>
                <w:szCs w:val="18"/>
                <w:lang w:eastAsia="en-AU"/>
              </w:rPr>
              <w:t xml:space="preserve"> </w:t>
            </w:r>
          </w:p>
        </w:tc>
        <w:tc>
          <w:tcPr>
            <w:tcW w:w="2059" w:type="dxa"/>
            <w:gridSpan w:val="2"/>
            <w:tcBorders>
              <w:top w:val="nil"/>
              <w:left w:val="nil"/>
              <w:bottom w:val="nil"/>
              <w:right w:val="nil"/>
            </w:tcBorders>
            <w:shd w:val="solid" w:color="000000" w:fill="auto"/>
            <w:vAlign w:val="bottom"/>
          </w:tcPr>
          <w:p w:rsidR="00B742C7" w:rsidRPr="00A120C4" w:rsidRDefault="00B742C7" w:rsidP="003E6750">
            <w:pPr>
              <w:autoSpaceDE w:val="0"/>
              <w:autoSpaceDN w:val="0"/>
              <w:adjustRightInd w:val="0"/>
              <w:spacing w:after="0"/>
              <w:jc w:val="center"/>
              <w:rPr>
                <w:rFonts w:ascii="Calibri" w:eastAsiaTheme="minorEastAsia" w:hAnsi="Calibri" w:cs="Calibri"/>
                <w:i/>
                <w:iCs/>
                <w:color w:val="FFFFFF"/>
                <w:sz w:val="18"/>
                <w:szCs w:val="18"/>
                <w:lang w:eastAsia="en-AU"/>
              </w:rPr>
            </w:pPr>
            <w:r w:rsidRPr="00A120C4">
              <w:rPr>
                <w:rFonts w:ascii="Calibri" w:eastAsiaTheme="minorEastAsia" w:hAnsi="Calibri" w:cs="Calibri"/>
                <w:i/>
                <w:iCs/>
                <w:color w:val="FFFFFF"/>
                <w:sz w:val="18"/>
                <w:szCs w:val="18"/>
                <w:lang w:eastAsia="en-AU"/>
              </w:rPr>
              <w:t>State of Victoria</w:t>
            </w:r>
          </w:p>
        </w:tc>
        <w:tc>
          <w:tcPr>
            <w:tcW w:w="2067" w:type="dxa"/>
            <w:gridSpan w:val="3"/>
            <w:tcBorders>
              <w:top w:val="nil"/>
              <w:left w:val="nil"/>
              <w:bottom w:val="nil"/>
              <w:right w:val="nil"/>
            </w:tcBorders>
            <w:shd w:val="solid" w:color="000000" w:fill="auto"/>
            <w:vAlign w:val="bottom"/>
          </w:tcPr>
          <w:p w:rsidR="00B742C7" w:rsidRPr="00A120C4" w:rsidRDefault="00B742C7" w:rsidP="00B742C7">
            <w:pPr>
              <w:autoSpaceDE w:val="0"/>
              <w:autoSpaceDN w:val="0"/>
              <w:adjustRightInd w:val="0"/>
              <w:spacing w:after="0"/>
              <w:jc w:val="center"/>
              <w:rPr>
                <w:rFonts w:ascii="Calibri" w:eastAsiaTheme="minorEastAsia" w:hAnsi="Calibri" w:cs="Calibri"/>
                <w:i/>
                <w:iCs/>
                <w:color w:val="FFFFFF"/>
                <w:sz w:val="18"/>
                <w:szCs w:val="18"/>
                <w:lang w:eastAsia="en-AU"/>
              </w:rPr>
            </w:pPr>
            <w:r w:rsidRPr="00A120C4">
              <w:rPr>
                <w:rFonts w:ascii="Calibri" w:eastAsiaTheme="minorEastAsia" w:hAnsi="Calibri" w:cs="Calibri"/>
                <w:i/>
                <w:iCs/>
                <w:color w:val="FFFFFF"/>
                <w:sz w:val="18"/>
                <w:szCs w:val="18"/>
                <w:lang w:eastAsia="en-AU"/>
              </w:rPr>
              <w:t>General</w:t>
            </w:r>
            <w:r w:rsidRPr="00A120C4">
              <w:rPr>
                <w:rFonts w:ascii="Calibri" w:eastAsiaTheme="minorEastAsia" w:hAnsi="Calibri" w:cs="Calibri"/>
                <w:i/>
                <w:iCs/>
                <w:color w:val="FFFFFF"/>
                <w:sz w:val="18"/>
                <w:szCs w:val="18"/>
                <w:lang w:eastAsia="en-AU"/>
              </w:rPr>
              <w:br/>
              <w:t>government sector</w:t>
            </w:r>
          </w:p>
        </w:tc>
      </w:tr>
      <w:tr w:rsidR="00BB67AF" w:rsidRPr="00A120C4" w:rsidTr="00AC25A6">
        <w:trPr>
          <w:tblHeader/>
        </w:trPr>
        <w:tc>
          <w:tcPr>
            <w:tcW w:w="4805" w:type="dxa"/>
            <w:gridSpan w:val="2"/>
            <w:tcBorders>
              <w:top w:val="nil"/>
              <w:left w:val="nil"/>
              <w:right w:val="nil"/>
            </w:tcBorders>
            <w:shd w:val="solid" w:color="000000" w:fill="auto"/>
            <w:vAlign w:val="bottom"/>
          </w:tcPr>
          <w:p w:rsidR="00BB67AF" w:rsidRPr="00A120C4" w:rsidRDefault="00BB67AF" w:rsidP="003E6750">
            <w:pPr>
              <w:autoSpaceDE w:val="0"/>
              <w:autoSpaceDN w:val="0"/>
              <w:adjustRightInd w:val="0"/>
              <w:spacing w:after="0"/>
              <w:jc w:val="right"/>
              <w:rPr>
                <w:rFonts w:ascii="Calibri" w:eastAsiaTheme="minorEastAsia" w:hAnsi="Calibri" w:cs="Calibri"/>
                <w:i/>
                <w:iCs/>
                <w:color w:val="FFFFFF"/>
                <w:sz w:val="18"/>
                <w:szCs w:val="18"/>
                <w:lang w:eastAsia="en-AU"/>
              </w:rPr>
            </w:pPr>
            <w:r w:rsidRPr="00A120C4">
              <w:rPr>
                <w:rFonts w:ascii="Calibri" w:eastAsiaTheme="minorEastAsia" w:hAnsi="Calibri" w:cs="Calibri"/>
                <w:i/>
                <w:iCs/>
                <w:color w:val="FFFFFF"/>
                <w:sz w:val="18"/>
                <w:szCs w:val="18"/>
                <w:lang w:eastAsia="en-AU"/>
              </w:rPr>
              <w:t xml:space="preserve"> </w:t>
            </w:r>
          </w:p>
        </w:tc>
        <w:tc>
          <w:tcPr>
            <w:tcW w:w="708" w:type="dxa"/>
            <w:gridSpan w:val="2"/>
            <w:tcBorders>
              <w:top w:val="nil"/>
              <w:left w:val="nil"/>
              <w:right w:val="nil"/>
            </w:tcBorders>
            <w:shd w:val="solid" w:color="000000" w:fill="auto"/>
            <w:vAlign w:val="bottom"/>
          </w:tcPr>
          <w:p w:rsidR="00BB67AF" w:rsidRPr="00A120C4" w:rsidRDefault="00BB67AF" w:rsidP="003E6750">
            <w:pPr>
              <w:autoSpaceDE w:val="0"/>
              <w:autoSpaceDN w:val="0"/>
              <w:adjustRightInd w:val="0"/>
              <w:spacing w:after="0"/>
              <w:jc w:val="center"/>
              <w:rPr>
                <w:rFonts w:ascii="Calibri" w:eastAsiaTheme="minorEastAsia" w:hAnsi="Calibri" w:cs="Calibri"/>
                <w:i/>
                <w:iCs/>
                <w:color w:val="FFFFFF"/>
                <w:sz w:val="18"/>
                <w:szCs w:val="18"/>
                <w:lang w:eastAsia="en-AU"/>
              </w:rPr>
            </w:pPr>
            <w:r w:rsidRPr="00A120C4">
              <w:rPr>
                <w:rFonts w:ascii="Calibri" w:eastAsiaTheme="minorEastAsia" w:hAnsi="Calibri" w:cs="Calibri"/>
                <w:i/>
                <w:iCs/>
                <w:color w:val="FFFFFF"/>
                <w:sz w:val="18"/>
                <w:szCs w:val="18"/>
                <w:lang w:eastAsia="en-AU"/>
              </w:rPr>
              <w:t>Notes</w:t>
            </w:r>
          </w:p>
        </w:tc>
        <w:tc>
          <w:tcPr>
            <w:tcW w:w="1025" w:type="dxa"/>
            <w:tcBorders>
              <w:top w:val="nil"/>
              <w:left w:val="nil"/>
              <w:right w:val="nil"/>
            </w:tcBorders>
            <w:shd w:val="solid" w:color="000000" w:fill="auto"/>
            <w:vAlign w:val="bottom"/>
          </w:tcPr>
          <w:p w:rsidR="00BB67AF" w:rsidRPr="00A120C4" w:rsidRDefault="00BB67AF" w:rsidP="003E6750">
            <w:pPr>
              <w:autoSpaceDE w:val="0"/>
              <w:autoSpaceDN w:val="0"/>
              <w:adjustRightInd w:val="0"/>
              <w:spacing w:after="0"/>
              <w:jc w:val="right"/>
              <w:rPr>
                <w:rFonts w:ascii="Calibri" w:eastAsiaTheme="minorEastAsia" w:hAnsi="Calibri" w:cs="Calibri"/>
                <w:i/>
                <w:iCs/>
                <w:color w:val="FFFFFF"/>
                <w:sz w:val="18"/>
                <w:szCs w:val="18"/>
                <w:lang w:eastAsia="en-AU"/>
              </w:rPr>
            </w:pPr>
            <w:r w:rsidRPr="00A120C4">
              <w:rPr>
                <w:rFonts w:ascii="Calibri" w:eastAsiaTheme="minorEastAsia" w:hAnsi="Calibri" w:cs="Calibri"/>
                <w:i/>
                <w:iCs/>
                <w:color w:val="FFFFFF"/>
                <w:sz w:val="18"/>
                <w:szCs w:val="18"/>
                <w:lang w:eastAsia="en-AU"/>
              </w:rPr>
              <w:t>2015</w:t>
            </w:r>
          </w:p>
        </w:tc>
        <w:tc>
          <w:tcPr>
            <w:tcW w:w="1034" w:type="dxa"/>
            <w:tcBorders>
              <w:top w:val="nil"/>
              <w:left w:val="nil"/>
              <w:right w:val="nil"/>
            </w:tcBorders>
            <w:shd w:val="solid" w:color="000000" w:fill="auto"/>
            <w:vAlign w:val="bottom"/>
          </w:tcPr>
          <w:p w:rsidR="00BB67AF" w:rsidRPr="00A120C4" w:rsidRDefault="00BB67AF" w:rsidP="003E6750">
            <w:pPr>
              <w:autoSpaceDE w:val="0"/>
              <w:autoSpaceDN w:val="0"/>
              <w:adjustRightInd w:val="0"/>
              <w:spacing w:after="0"/>
              <w:jc w:val="right"/>
              <w:rPr>
                <w:rFonts w:ascii="Calibri" w:eastAsiaTheme="minorEastAsia" w:hAnsi="Calibri" w:cs="Calibri"/>
                <w:i/>
                <w:iCs/>
                <w:color w:val="FFFFFF"/>
                <w:sz w:val="18"/>
                <w:szCs w:val="18"/>
                <w:vertAlign w:val="superscript"/>
                <w:lang w:eastAsia="en-AU"/>
              </w:rPr>
            </w:pPr>
            <w:r w:rsidRPr="00A120C4">
              <w:rPr>
                <w:rFonts w:ascii="Calibri" w:eastAsiaTheme="minorEastAsia" w:hAnsi="Calibri" w:cs="Calibri"/>
                <w:i/>
                <w:iCs/>
                <w:color w:val="FFFFFF"/>
                <w:sz w:val="18"/>
                <w:szCs w:val="18"/>
                <w:lang w:eastAsia="en-AU"/>
              </w:rPr>
              <w:t xml:space="preserve">2014 </w:t>
            </w:r>
            <w:r w:rsidRPr="00A120C4">
              <w:rPr>
                <w:rFonts w:ascii="Calibri" w:eastAsiaTheme="minorEastAsia" w:hAnsi="Calibri" w:cs="Calibri"/>
                <w:i/>
                <w:iCs/>
                <w:color w:val="FFFFFF"/>
                <w:sz w:val="18"/>
                <w:szCs w:val="18"/>
                <w:vertAlign w:val="superscript"/>
                <w:lang w:eastAsia="en-AU"/>
              </w:rPr>
              <w:t>(a)</w:t>
            </w:r>
          </w:p>
        </w:tc>
        <w:tc>
          <w:tcPr>
            <w:tcW w:w="1031" w:type="dxa"/>
            <w:gridSpan w:val="2"/>
            <w:tcBorders>
              <w:top w:val="nil"/>
              <w:left w:val="nil"/>
              <w:right w:val="nil"/>
            </w:tcBorders>
            <w:shd w:val="solid" w:color="000000" w:fill="auto"/>
            <w:vAlign w:val="bottom"/>
          </w:tcPr>
          <w:p w:rsidR="00BB67AF" w:rsidRPr="00A120C4" w:rsidRDefault="00BB67AF" w:rsidP="003E6750">
            <w:pPr>
              <w:autoSpaceDE w:val="0"/>
              <w:autoSpaceDN w:val="0"/>
              <w:adjustRightInd w:val="0"/>
              <w:spacing w:after="0"/>
              <w:jc w:val="right"/>
              <w:rPr>
                <w:rFonts w:ascii="Calibri" w:eastAsiaTheme="minorEastAsia" w:hAnsi="Calibri" w:cs="Calibri"/>
                <w:i/>
                <w:iCs/>
                <w:color w:val="FFFFFF"/>
                <w:sz w:val="18"/>
                <w:szCs w:val="18"/>
                <w:lang w:eastAsia="en-AU"/>
              </w:rPr>
            </w:pPr>
            <w:r w:rsidRPr="00A120C4">
              <w:rPr>
                <w:rFonts w:ascii="Calibri" w:eastAsiaTheme="minorEastAsia" w:hAnsi="Calibri" w:cs="Calibri"/>
                <w:i/>
                <w:iCs/>
                <w:color w:val="FFFFFF"/>
                <w:sz w:val="18"/>
                <w:szCs w:val="18"/>
                <w:lang w:eastAsia="en-AU"/>
              </w:rPr>
              <w:t>2015</w:t>
            </w:r>
          </w:p>
        </w:tc>
        <w:tc>
          <w:tcPr>
            <w:tcW w:w="1036" w:type="dxa"/>
            <w:tcBorders>
              <w:top w:val="nil"/>
              <w:left w:val="nil"/>
              <w:right w:val="nil"/>
            </w:tcBorders>
            <w:shd w:val="solid" w:color="000000" w:fill="auto"/>
            <w:vAlign w:val="bottom"/>
          </w:tcPr>
          <w:p w:rsidR="00BB67AF" w:rsidRPr="00A120C4" w:rsidRDefault="00BB67AF" w:rsidP="003E6750">
            <w:pPr>
              <w:autoSpaceDE w:val="0"/>
              <w:autoSpaceDN w:val="0"/>
              <w:adjustRightInd w:val="0"/>
              <w:spacing w:after="0"/>
              <w:jc w:val="right"/>
              <w:rPr>
                <w:rFonts w:ascii="Calibri" w:eastAsiaTheme="minorEastAsia" w:hAnsi="Calibri" w:cs="Calibri"/>
                <w:i/>
                <w:iCs/>
                <w:color w:val="FFFFFF"/>
                <w:sz w:val="18"/>
                <w:szCs w:val="18"/>
                <w:vertAlign w:val="superscript"/>
                <w:lang w:eastAsia="en-AU"/>
              </w:rPr>
            </w:pPr>
            <w:r w:rsidRPr="00A120C4">
              <w:rPr>
                <w:rFonts w:ascii="Calibri" w:eastAsiaTheme="minorEastAsia" w:hAnsi="Calibri" w:cs="Calibri"/>
                <w:i/>
                <w:iCs/>
                <w:color w:val="FFFFFF"/>
                <w:sz w:val="18"/>
                <w:szCs w:val="18"/>
                <w:lang w:eastAsia="en-AU"/>
              </w:rPr>
              <w:t xml:space="preserve">2014 </w:t>
            </w:r>
            <w:r w:rsidRPr="00A120C4">
              <w:rPr>
                <w:rFonts w:ascii="Calibri" w:eastAsiaTheme="minorEastAsia" w:hAnsi="Calibri" w:cs="Calibri"/>
                <w:i/>
                <w:iCs/>
                <w:color w:val="FFFFFF"/>
                <w:sz w:val="18"/>
                <w:szCs w:val="18"/>
                <w:vertAlign w:val="superscript"/>
                <w:lang w:eastAsia="en-AU"/>
              </w:rPr>
              <w:t>(a)</w:t>
            </w:r>
          </w:p>
        </w:tc>
      </w:tr>
      <w:tr w:rsidR="00BB67AF" w:rsidRPr="00A120C4" w:rsidTr="00AC25A6">
        <w:tc>
          <w:tcPr>
            <w:tcW w:w="4805"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sz w:val="18"/>
                <w:szCs w:val="18"/>
                <w:lang w:eastAsia="en-AU"/>
              </w:rPr>
            </w:pPr>
            <w:r w:rsidRPr="00A120C4">
              <w:rPr>
                <w:rFonts w:ascii="Calibri" w:eastAsiaTheme="minorEastAsia" w:hAnsi="Calibri" w:cs="Calibri"/>
                <w:b/>
                <w:bCs/>
                <w:sz w:val="18"/>
                <w:szCs w:val="18"/>
                <w:lang w:eastAsia="en-AU"/>
              </w:rPr>
              <w:t>Cash flows from operating activities</w:t>
            </w:r>
          </w:p>
        </w:tc>
        <w:tc>
          <w:tcPr>
            <w:tcW w:w="708"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sz w:val="18"/>
                <w:szCs w:val="18"/>
                <w:lang w:eastAsia="en-AU"/>
              </w:rPr>
            </w:pPr>
            <w:r w:rsidRPr="00A120C4">
              <w:rPr>
                <w:rFonts w:ascii="Calibri" w:eastAsiaTheme="minorEastAsia" w:hAnsi="Calibri" w:cs="Calibri"/>
                <w:sz w:val="18"/>
                <w:szCs w:val="18"/>
                <w:lang w:eastAsia="en-AU"/>
              </w:rPr>
              <w:t xml:space="preserve"> </w:t>
            </w:r>
          </w:p>
        </w:tc>
        <w:tc>
          <w:tcPr>
            <w:tcW w:w="102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i/>
                <w:iCs/>
                <w:sz w:val="18"/>
                <w:szCs w:val="18"/>
                <w:lang w:eastAsia="en-AU"/>
              </w:rPr>
            </w:pPr>
            <w:r w:rsidRPr="00A120C4">
              <w:rPr>
                <w:rFonts w:ascii="Calibri" w:eastAsiaTheme="minorEastAsia" w:hAnsi="Calibri" w:cs="Calibri"/>
                <w:i/>
                <w:iCs/>
                <w:sz w:val="18"/>
                <w:szCs w:val="18"/>
                <w:lang w:eastAsia="en-AU"/>
              </w:rPr>
              <w:t xml:space="preserve"> </w:t>
            </w:r>
          </w:p>
        </w:tc>
        <w:tc>
          <w:tcPr>
            <w:tcW w:w="103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i/>
                <w:iCs/>
                <w:sz w:val="18"/>
                <w:szCs w:val="18"/>
                <w:lang w:eastAsia="en-AU"/>
              </w:rPr>
            </w:pPr>
            <w:r w:rsidRPr="00A120C4">
              <w:rPr>
                <w:rFonts w:ascii="Calibri" w:eastAsiaTheme="minorEastAsia" w:hAnsi="Calibri" w:cs="Calibri"/>
                <w:i/>
                <w:iCs/>
                <w:sz w:val="18"/>
                <w:szCs w:val="18"/>
                <w:lang w:eastAsia="en-AU"/>
              </w:rPr>
              <w:t xml:space="preserve"> </w:t>
            </w:r>
          </w:p>
        </w:tc>
        <w:tc>
          <w:tcPr>
            <w:tcW w:w="1031"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i/>
                <w:iCs/>
                <w:sz w:val="18"/>
                <w:szCs w:val="18"/>
                <w:lang w:eastAsia="en-AU"/>
              </w:rPr>
            </w:pPr>
            <w:r w:rsidRPr="00A120C4">
              <w:rPr>
                <w:rFonts w:ascii="Calibri" w:eastAsiaTheme="minorEastAsia" w:hAnsi="Calibri" w:cs="Calibri"/>
                <w:i/>
                <w:iCs/>
                <w:sz w:val="18"/>
                <w:szCs w:val="18"/>
                <w:lang w:eastAsia="en-AU"/>
              </w:rPr>
              <w:t xml:space="preserve"> </w:t>
            </w:r>
          </w:p>
        </w:tc>
        <w:tc>
          <w:tcPr>
            <w:tcW w:w="103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i/>
                <w:iCs/>
                <w:sz w:val="18"/>
                <w:szCs w:val="18"/>
                <w:lang w:eastAsia="en-AU"/>
              </w:rPr>
            </w:pPr>
            <w:r w:rsidRPr="00A120C4">
              <w:rPr>
                <w:rFonts w:ascii="Calibri" w:eastAsiaTheme="minorEastAsia" w:hAnsi="Calibri" w:cs="Calibri"/>
                <w:i/>
                <w:iCs/>
                <w:sz w:val="18"/>
                <w:szCs w:val="18"/>
                <w:lang w:eastAsia="en-AU"/>
              </w:rPr>
              <w:t xml:space="preserve"> </w:t>
            </w:r>
          </w:p>
        </w:tc>
      </w:tr>
      <w:tr w:rsidR="00BB67AF" w:rsidRPr="00A120C4" w:rsidTr="00AC25A6">
        <w:tc>
          <w:tcPr>
            <w:tcW w:w="4805"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Receipts</w:t>
            </w:r>
          </w:p>
        </w:tc>
        <w:tc>
          <w:tcPr>
            <w:tcW w:w="708"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i/>
                <w:iCs/>
                <w:color w:val="000000"/>
                <w:sz w:val="18"/>
                <w:szCs w:val="18"/>
                <w:lang w:eastAsia="en-AU"/>
              </w:rPr>
            </w:pPr>
            <w:r w:rsidRPr="00A120C4">
              <w:rPr>
                <w:rFonts w:ascii="Calibri" w:eastAsiaTheme="minorEastAsia" w:hAnsi="Calibri" w:cs="Calibri"/>
                <w:i/>
                <w:iCs/>
                <w:color w:val="000000"/>
                <w:sz w:val="18"/>
                <w:szCs w:val="18"/>
                <w:lang w:eastAsia="en-AU"/>
              </w:rPr>
              <w:t xml:space="preserve"> </w:t>
            </w:r>
          </w:p>
        </w:tc>
        <w:tc>
          <w:tcPr>
            <w:tcW w:w="103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i/>
                <w:iCs/>
                <w:color w:val="000000"/>
                <w:sz w:val="18"/>
                <w:szCs w:val="18"/>
                <w:lang w:eastAsia="en-AU"/>
              </w:rPr>
            </w:pPr>
            <w:r w:rsidRPr="00A120C4">
              <w:rPr>
                <w:rFonts w:ascii="Calibri" w:eastAsiaTheme="minorEastAsia" w:hAnsi="Calibri" w:cs="Calibri"/>
                <w:i/>
                <w:iCs/>
                <w:color w:val="000000"/>
                <w:sz w:val="18"/>
                <w:szCs w:val="18"/>
                <w:lang w:eastAsia="en-AU"/>
              </w:rPr>
              <w:t xml:space="preserve"> </w:t>
            </w:r>
          </w:p>
        </w:tc>
        <w:tc>
          <w:tcPr>
            <w:tcW w:w="1031"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i/>
                <w:iCs/>
                <w:color w:val="000000"/>
                <w:sz w:val="18"/>
                <w:szCs w:val="18"/>
                <w:lang w:eastAsia="en-AU"/>
              </w:rPr>
            </w:pPr>
            <w:r w:rsidRPr="00A120C4">
              <w:rPr>
                <w:rFonts w:ascii="Calibri" w:eastAsiaTheme="minorEastAsia" w:hAnsi="Calibri" w:cs="Calibri"/>
                <w:i/>
                <w:iCs/>
                <w:color w:val="000000"/>
                <w:sz w:val="18"/>
                <w:szCs w:val="18"/>
                <w:lang w:eastAsia="en-AU"/>
              </w:rPr>
              <w:t xml:space="preserve"> </w:t>
            </w:r>
          </w:p>
        </w:tc>
        <w:tc>
          <w:tcPr>
            <w:tcW w:w="103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i/>
                <w:iCs/>
                <w:color w:val="000000"/>
                <w:sz w:val="18"/>
                <w:szCs w:val="18"/>
                <w:lang w:eastAsia="en-AU"/>
              </w:rPr>
            </w:pPr>
            <w:r w:rsidRPr="00A120C4">
              <w:rPr>
                <w:rFonts w:ascii="Calibri" w:eastAsiaTheme="minorEastAsia" w:hAnsi="Calibri" w:cs="Calibri"/>
                <w:i/>
                <w:iCs/>
                <w:color w:val="000000"/>
                <w:sz w:val="18"/>
                <w:szCs w:val="18"/>
                <w:lang w:eastAsia="en-AU"/>
              </w:rPr>
              <w:t xml:space="preserve"> </w:t>
            </w:r>
          </w:p>
        </w:tc>
      </w:tr>
      <w:tr w:rsidR="00BB67AF" w:rsidRPr="00A120C4" w:rsidTr="00AC25A6">
        <w:tc>
          <w:tcPr>
            <w:tcW w:w="4805"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Taxes received</w:t>
            </w:r>
          </w:p>
        </w:tc>
        <w:tc>
          <w:tcPr>
            <w:tcW w:w="708"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9 702</w:t>
            </w:r>
          </w:p>
        </w:tc>
        <w:tc>
          <w:tcPr>
            <w:tcW w:w="103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9 157</w:t>
            </w:r>
          </w:p>
        </w:tc>
        <w:tc>
          <w:tcPr>
            <w:tcW w:w="1031"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9 935</w:t>
            </w:r>
          </w:p>
        </w:tc>
        <w:tc>
          <w:tcPr>
            <w:tcW w:w="103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9 366</w:t>
            </w:r>
          </w:p>
        </w:tc>
      </w:tr>
      <w:tr w:rsidR="00BB67AF" w:rsidRPr="00A120C4" w:rsidTr="00AC25A6">
        <w:tc>
          <w:tcPr>
            <w:tcW w:w="4805"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Grants</w:t>
            </w:r>
          </w:p>
        </w:tc>
        <w:tc>
          <w:tcPr>
            <w:tcW w:w="708"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12 251</w:t>
            </w:r>
          </w:p>
        </w:tc>
        <w:tc>
          <w:tcPr>
            <w:tcW w:w="103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11 660</w:t>
            </w:r>
          </w:p>
        </w:tc>
        <w:tc>
          <w:tcPr>
            <w:tcW w:w="1031"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12 300</w:t>
            </w:r>
          </w:p>
        </w:tc>
        <w:tc>
          <w:tcPr>
            <w:tcW w:w="103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11 720</w:t>
            </w:r>
          </w:p>
        </w:tc>
      </w:tr>
      <w:tr w:rsidR="00BB67AF" w:rsidRPr="00A120C4" w:rsidTr="00AC25A6">
        <w:tc>
          <w:tcPr>
            <w:tcW w:w="4805"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8"/>
                <w:szCs w:val="18"/>
                <w:vertAlign w:val="superscript"/>
                <w:lang w:eastAsia="en-AU"/>
              </w:rPr>
            </w:pPr>
            <w:r w:rsidRPr="00A120C4">
              <w:rPr>
                <w:rFonts w:ascii="Calibri" w:eastAsiaTheme="minorEastAsia" w:hAnsi="Calibri" w:cs="Calibri"/>
                <w:color w:val="000000"/>
                <w:sz w:val="18"/>
                <w:szCs w:val="18"/>
                <w:lang w:eastAsia="en-AU"/>
              </w:rPr>
              <w:t xml:space="preserve">Sales of goods and services </w:t>
            </w:r>
            <w:r w:rsidRPr="00A120C4">
              <w:rPr>
                <w:rFonts w:ascii="Calibri" w:eastAsiaTheme="minorEastAsia" w:hAnsi="Calibri" w:cs="Calibri"/>
                <w:color w:val="000000"/>
                <w:sz w:val="18"/>
                <w:szCs w:val="18"/>
                <w:vertAlign w:val="superscript"/>
                <w:lang w:eastAsia="en-AU"/>
              </w:rPr>
              <w:t>(b)</w:t>
            </w:r>
          </w:p>
        </w:tc>
        <w:tc>
          <w:tcPr>
            <w:tcW w:w="708"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8 557</w:t>
            </w:r>
          </w:p>
        </w:tc>
        <w:tc>
          <w:tcPr>
            <w:tcW w:w="103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8 260</w:t>
            </w:r>
          </w:p>
        </w:tc>
        <w:tc>
          <w:tcPr>
            <w:tcW w:w="1031"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3 527</w:t>
            </w:r>
          </w:p>
        </w:tc>
        <w:tc>
          <w:tcPr>
            <w:tcW w:w="103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3 489</w:t>
            </w:r>
          </w:p>
        </w:tc>
      </w:tr>
      <w:tr w:rsidR="00BB67AF" w:rsidRPr="00A120C4" w:rsidTr="00AC25A6">
        <w:tc>
          <w:tcPr>
            <w:tcW w:w="4805"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Interest received</w:t>
            </w:r>
          </w:p>
        </w:tc>
        <w:tc>
          <w:tcPr>
            <w:tcW w:w="708"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265</w:t>
            </w:r>
          </w:p>
        </w:tc>
        <w:tc>
          <w:tcPr>
            <w:tcW w:w="103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406</w:t>
            </w:r>
          </w:p>
        </w:tc>
        <w:tc>
          <w:tcPr>
            <w:tcW w:w="1031"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372</w:t>
            </w:r>
          </w:p>
        </w:tc>
        <w:tc>
          <w:tcPr>
            <w:tcW w:w="103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385</w:t>
            </w:r>
          </w:p>
        </w:tc>
      </w:tr>
      <w:tr w:rsidR="00BB67AF" w:rsidRPr="00A120C4" w:rsidTr="00AC25A6">
        <w:tc>
          <w:tcPr>
            <w:tcW w:w="5103" w:type="dxa"/>
            <w:gridSpan w:val="3"/>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Dividends and income tax equivalent and rate equivalent receipts</w:t>
            </w:r>
          </w:p>
        </w:tc>
        <w:tc>
          <w:tcPr>
            <w:tcW w:w="410"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766</w:t>
            </w:r>
          </w:p>
        </w:tc>
        <w:tc>
          <w:tcPr>
            <w:tcW w:w="103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503</w:t>
            </w:r>
          </w:p>
        </w:tc>
        <w:tc>
          <w:tcPr>
            <w:tcW w:w="1031"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605</w:t>
            </w:r>
          </w:p>
        </w:tc>
        <w:tc>
          <w:tcPr>
            <w:tcW w:w="103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676</w:t>
            </w:r>
          </w:p>
        </w:tc>
      </w:tr>
      <w:tr w:rsidR="00BB67AF" w:rsidRPr="00A120C4" w:rsidTr="00AC25A6">
        <w:tc>
          <w:tcPr>
            <w:tcW w:w="4805" w:type="dxa"/>
            <w:gridSpan w:val="2"/>
            <w:tcBorders>
              <w:top w:val="nil"/>
              <w:left w:val="nil"/>
              <w:bottom w:val="single" w:sz="6" w:space="0" w:color="auto"/>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8"/>
                <w:szCs w:val="18"/>
                <w:vertAlign w:val="superscript"/>
                <w:lang w:eastAsia="en-AU"/>
              </w:rPr>
            </w:pPr>
            <w:r w:rsidRPr="00A120C4">
              <w:rPr>
                <w:rFonts w:ascii="Calibri" w:eastAsiaTheme="minorEastAsia" w:hAnsi="Calibri" w:cs="Calibri"/>
                <w:color w:val="000000"/>
                <w:sz w:val="18"/>
                <w:szCs w:val="18"/>
                <w:lang w:eastAsia="en-AU"/>
              </w:rPr>
              <w:t>Other receipts</w:t>
            </w:r>
            <w:r w:rsidRPr="00A120C4">
              <w:rPr>
                <w:rFonts w:ascii="Calibri" w:eastAsiaTheme="minorEastAsia" w:hAnsi="Calibri" w:cs="Calibri"/>
                <w:color w:val="000000"/>
                <w:sz w:val="18"/>
                <w:szCs w:val="18"/>
                <w:vertAlign w:val="superscript"/>
                <w:lang w:eastAsia="en-AU"/>
              </w:rPr>
              <w:t xml:space="preserve"> </w:t>
            </w:r>
          </w:p>
        </w:tc>
        <w:tc>
          <w:tcPr>
            <w:tcW w:w="708" w:type="dxa"/>
            <w:gridSpan w:val="2"/>
            <w:tcBorders>
              <w:top w:val="nil"/>
              <w:left w:val="nil"/>
              <w:bottom w:val="single" w:sz="6"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bottom w:val="single" w:sz="6"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1 172</w:t>
            </w:r>
          </w:p>
        </w:tc>
        <w:tc>
          <w:tcPr>
            <w:tcW w:w="1034" w:type="dxa"/>
            <w:tcBorders>
              <w:top w:val="nil"/>
              <w:left w:val="nil"/>
              <w:bottom w:val="single" w:sz="6"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1 204</w:t>
            </w:r>
          </w:p>
        </w:tc>
        <w:tc>
          <w:tcPr>
            <w:tcW w:w="1031" w:type="dxa"/>
            <w:gridSpan w:val="2"/>
            <w:tcBorders>
              <w:top w:val="nil"/>
              <w:left w:val="nil"/>
              <w:bottom w:val="single" w:sz="6"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939</w:t>
            </w:r>
          </w:p>
        </w:tc>
        <w:tc>
          <w:tcPr>
            <w:tcW w:w="1036" w:type="dxa"/>
            <w:tcBorders>
              <w:top w:val="nil"/>
              <w:left w:val="nil"/>
              <w:bottom w:val="single" w:sz="6"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1 004</w:t>
            </w:r>
          </w:p>
        </w:tc>
      </w:tr>
      <w:tr w:rsidR="00BB67AF" w:rsidRPr="00A120C4" w:rsidTr="00AC25A6">
        <w:tc>
          <w:tcPr>
            <w:tcW w:w="4805" w:type="dxa"/>
            <w:gridSpan w:val="2"/>
            <w:tcBorders>
              <w:top w:val="single" w:sz="6" w:space="0" w:color="auto"/>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Total receipts</w:t>
            </w:r>
          </w:p>
        </w:tc>
        <w:tc>
          <w:tcPr>
            <w:tcW w:w="708" w:type="dxa"/>
            <w:gridSpan w:val="2"/>
            <w:tcBorders>
              <w:top w:val="single" w:sz="6" w:space="0" w:color="auto"/>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single" w:sz="6" w:space="0" w:color="auto"/>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32 712</w:t>
            </w:r>
          </w:p>
        </w:tc>
        <w:tc>
          <w:tcPr>
            <w:tcW w:w="1034" w:type="dxa"/>
            <w:tcBorders>
              <w:top w:val="single" w:sz="6" w:space="0" w:color="auto"/>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31 191</w:t>
            </w:r>
          </w:p>
        </w:tc>
        <w:tc>
          <w:tcPr>
            <w:tcW w:w="1031" w:type="dxa"/>
            <w:gridSpan w:val="2"/>
            <w:tcBorders>
              <w:top w:val="single" w:sz="6" w:space="0" w:color="auto"/>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27 677</w:t>
            </w:r>
          </w:p>
        </w:tc>
        <w:tc>
          <w:tcPr>
            <w:tcW w:w="1036" w:type="dxa"/>
            <w:tcBorders>
              <w:top w:val="single" w:sz="6" w:space="0" w:color="auto"/>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26 640</w:t>
            </w:r>
          </w:p>
        </w:tc>
      </w:tr>
      <w:tr w:rsidR="00BB67AF" w:rsidRPr="00A120C4" w:rsidTr="00AC25A6">
        <w:tc>
          <w:tcPr>
            <w:tcW w:w="4805"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Payments</w:t>
            </w:r>
          </w:p>
        </w:tc>
        <w:tc>
          <w:tcPr>
            <w:tcW w:w="708"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3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31"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3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r>
      <w:tr w:rsidR="00BB67AF" w:rsidRPr="00A120C4" w:rsidTr="00AC25A6">
        <w:tc>
          <w:tcPr>
            <w:tcW w:w="4805"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Payments for employees</w:t>
            </w:r>
          </w:p>
        </w:tc>
        <w:tc>
          <w:tcPr>
            <w:tcW w:w="708"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(10 135)</w:t>
            </w:r>
          </w:p>
        </w:tc>
        <w:tc>
          <w:tcPr>
            <w:tcW w:w="103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(9 739)</w:t>
            </w:r>
          </w:p>
        </w:tc>
        <w:tc>
          <w:tcPr>
            <w:tcW w:w="1031"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(9 622)</w:t>
            </w:r>
          </w:p>
        </w:tc>
        <w:tc>
          <w:tcPr>
            <w:tcW w:w="103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(9 230)</w:t>
            </w:r>
          </w:p>
        </w:tc>
      </w:tr>
      <w:tr w:rsidR="00BB67AF" w:rsidRPr="00A120C4" w:rsidTr="00AC25A6">
        <w:tc>
          <w:tcPr>
            <w:tcW w:w="4805"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Superannuation</w:t>
            </w:r>
          </w:p>
        </w:tc>
        <w:tc>
          <w:tcPr>
            <w:tcW w:w="708"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(1 595)</w:t>
            </w:r>
          </w:p>
        </w:tc>
        <w:tc>
          <w:tcPr>
            <w:tcW w:w="103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(1 481)</w:t>
            </w:r>
          </w:p>
        </w:tc>
        <w:tc>
          <w:tcPr>
            <w:tcW w:w="1031"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(1 530)</w:t>
            </w:r>
          </w:p>
        </w:tc>
        <w:tc>
          <w:tcPr>
            <w:tcW w:w="103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(1 420)</w:t>
            </w:r>
          </w:p>
        </w:tc>
      </w:tr>
      <w:tr w:rsidR="00BB67AF" w:rsidRPr="00A120C4" w:rsidTr="00AC25A6">
        <w:tc>
          <w:tcPr>
            <w:tcW w:w="4805"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Interest paid</w:t>
            </w:r>
          </w:p>
        </w:tc>
        <w:tc>
          <w:tcPr>
            <w:tcW w:w="708"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(1 365)</w:t>
            </w:r>
          </w:p>
        </w:tc>
        <w:tc>
          <w:tcPr>
            <w:tcW w:w="103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(1 428)</w:t>
            </w:r>
          </w:p>
        </w:tc>
        <w:tc>
          <w:tcPr>
            <w:tcW w:w="1031"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(1 031)</w:t>
            </w:r>
          </w:p>
        </w:tc>
        <w:tc>
          <w:tcPr>
            <w:tcW w:w="103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(1 020)</w:t>
            </w:r>
          </w:p>
        </w:tc>
      </w:tr>
      <w:tr w:rsidR="00BB67AF" w:rsidRPr="00A120C4" w:rsidTr="00AC25A6">
        <w:tc>
          <w:tcPr>
            <w:tcW w:w="4805"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Grants and subsidies </w:t>
            </w:r>
          </w:p>
        </w:tc>
        <w:tc>
          <w:tcPr>
            <w:tcW w:w="708"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(2 875)</w:t>
            </w:r>
          </w:p>
        </w:tc>
        <w:tc>
          <w:tcPr>
            <w:tcW w:w="103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(2 904)</w:t>
            </w:r>
          </w:p>
        </w:tc>
        <w:tc>
          <w:tcPr>
            <w:tcW w:w="1031"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(4 336)</w:t>
            </w:r>
          </w:p>
        </w:tc>
        <w:tc>
          <w:tcPr>
            <w:tcW w:w="1036"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(4 333)</w:t>
            </w:r>
          </w:p>
        </w:tc>
      </w:tr>
      <w:tr w:rsidR="00BB67AF" w:rsidRPr="00A120C4" w:rsidTr="00AC25A6">
        <w:tc>
          <w:tcPr>
            <w:tcW w:w="4805" w:type="dxa"/>
            <w:gridSpan w:val="2"/>
            <w:tcBorders>
              <w:top w:val="nil"/>
              <w:left w:val="nil"/>
              <w:right w:val="nil"/>
            </w:tcBorders>
            <w:shd w:val="clear" w:color="000000"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8"/>
                <w:szCs w:val="18"/>
                <w:vertAlign w:val="superscript"/>
                <w:lang w:eastAsia="en-AU"/>
              </w:rPr>
            </w:pPr>
            <w:r w:rsidRPr="00A120C4">
              <w:rPr>
                <w:rFonts w:ascii="Calibri" w:eastAsiaTheme="minorEastAsia" w:hAnsi="Calibri" w:cs="Calibri"/>
                <w:color w:val="000000"/>
                <w:sz w:val="18"/>
                <w:szCs w:val="18"/>
                <w:lang w:eastAsia="en-AU"/>
              </w:rPr>
              <w:t>Goods and services</w:t>
            </w:r>
            <w:r w:rsidRPr="00A120C4">
              <w:rPr>
                <w:rFonts w:ascii="Calibri" w:eastAsiaTheme="minorEastAsia" w:hAnsi="Calibri" w:cs="Calibri"/>
                <w:color w:val="000000"/>
                <w:sz w:val="18"/>
                <w:szCs w:val="18"/>
                <w:vertAlign w:val="superscript"/>
                <w:lang w:eastAsia="en-AU"/>
              </w:rPr>
              <w:t xml:space="preserve"> (b)</w:t>
            </w:r>
          </w:p>
        </w:tc>
        <w:tc>
          <w:tcPr>
            <w:tcW w:w="708" w:type="dxa"/>
            <w:gridSpan w:val="2"/>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(12 648)</w:t>
            </w:r>
          </w:p>
        </w:tc>
        <w:tc>
          <w:tcPr>
            <w:tcW w:w="1034" w:type="dxa"/>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(12 552)</w:t>
            </w:r>
          </w:p>
        </w:tc>
        <w:tc>
          <w:tcPr>
            <w:tcW w:w="1031" w:type="dxa"/>
            <w:gridSpan w:val="2"/>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(8 966)</w:t>
            </w:r>
          </w:p>
        </w:tc>
        <w:tc>
          <w:tcPr>
            <w:tcW w:w="1036" w:type="dxa"/>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(8 966)</w:t>
            </w:r>
          </w:p>
        </w:tc>
      </w:tr>
      <w:tr w:rsidR="00BB67AF" w:rsidRPr="00A120C4" w:rsidTr="00AC25A6">
        <w:tc>
          <w:tcPr>
            <w:tcW w:w="4805" w:type="dxa"/>
            <w:gridSpan w:val="2"/>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Other payments</w:t>
            </w:r>
          </w:p>
        </w:tc>
        <w:tc>
          <w:tcPr>
            <w:tcW w:w="708" w:type="dxa"/>
            <w:gridSpan w:val="2"/>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(371)</w:t>
            </w:r>
          </w:p>
        </w:tc>
        <w:tc>
          <w:tcPr>
            <w:tcW w:w="1034" w:type="dxa"/>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(341)</w:t>
            </w:r>
          </w:p>
        </w:tc>
        <w:tc>
          <w:tcPr>
            <w:tcW w:w="1031" w:type="dxa"/>
            <w:gridSpan w:val="2"/>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(371)</w:t>
            </w:r>
          </w:p>
        </w:tc>
        <w:tc>
          <w:tcPr>
            <w:tcW w:w="1036" w:type="dxa"/>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(339)</w:t>
            </w:r>
          </w:p>
        </w:tc>
      </w:tr>
      <w:tr w:rsidR="00BB67AF" w:rsidRPr="00A120C4" w:rsidTr="00AC25A6">
        <w:tc>
          <w:tcPr>
            <w:tcW w:w="4805" w:type="dxa"/>
            <w:gridSpan w:val="2"/>
            <w:tcBorders>
              <w:top w:val="single" w:sz="6" w:space="0" w:color="auto"/>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Total payments</w:t>
            </w:r>
          </w:p>
        </w:tc>
        <w:tc>
          <w:tcPr>
            <w:tcW w:w="708" w:type="dxa"/>
            <w:gridSpan w:val="2"/>
            <w:tcBorders>
              <w:top w:val="single" w:sz="6" w:space="0" w:color="auto"/>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single" w:sz="6" w:space="0" w:color="auto"/>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(28 988)</w:t>
            </w:r>
          </w:p>
        </w:tc>
        <w:tc>
          <w:tcPr>
            <w:tcW w:w="1034" w:type="dxa"/>
            <w:tcBorders>
              <w:top w:val="single" w:sz="6" w:space="0" w:color="auto"/>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(28 445)</w:t>
            </w:r>
          </w:p>
        </w:tc>
        <w:tc>
          <w:tcPr>
            <w:tcW w:w="1031" w:type="dxa"/>
            <w:gridSpan w:val="2"/>
            <w:tcBorders>
              <w:top w:val="single" w:sz="6" w:space="0" w:color="auto"/>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(25 856)</w:t>
            </w:r>
          </w:p>
        </w:tc>
        <w:tc>
          <w:tcPr>
            <w:tcW w:w="1036" w:type="dxa"/>
            <w:tcBorders>
              <w:top w:val="single" w:sz="6" w:space="0" w:color="auto"/>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(25 308)</w:t>
            </w:r>
          </w:p>
        </w:tc>
      </w:tr>
      <w:tr w:rsidR="00BB67AF" w:rsidRPr="00A120C4" w:rsidTr="00AC25A6">
        <w:tc>
          <w:tcPr>
            <w:tcW w:w="4805" w:type="dxa"/>
            <w:gridSpan w:val="2"/>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Net cash flows from operating activities</w:t>
            </w:r>
          </w:p>
        </w:tc>
        <w:tc>
          <w:tcPr>
            <w:tcW w:w="708" w:type="dxa"/>
            <w:gridSpan w:val="2"/>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27b</w:t>
            </w:r>
          </w:p>
        </w:tc>
        <w:tc>
          <w:tcPr>
            <w:tcW w:w="1025" w:type="dxa"/>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3 724</w:t>
            </w:r>
          </w:p>
        </w:tc>
        <w:tc>
          <w:tcPr>
            <w:tcW w:w="1034" w:type="dxa"/>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2 746</w:t>
            </w:r>
          </w:p>
        </w:tc>
        <w:tc>
          <w:tcPr>
            <w:tcW w:w="1031" w:type="dxa"/>
            <w:gridSpan w:val="2"/>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1 821</w:t>
            </w:r>
          </w:p>
        </w:tc>
        <w:tc>
          <w:tcPr>
            <w:tcW w:w="1036" w:type="dxa"/>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1 332</w:t>
            </w:r>
          </w:p>
        </w:tc>
      </w:tr>
      <w:tr w:rsidR="00BB67AF" w:rsidRPr="00A120C4" w:rsidTr="00AC25A6">
        <w:tc>
          <w:tcPr>
            <w:tcW w:w="4805" w:type="dxa"/>
            <w:gridSpan w:val="2"/>
            <w:tcBorders>
              <w:top w:val="nil"/>
              <w:left w:val="nil"/>
              <w:right w:val="nil"/>
            </w:tcBorders>
            <w:shd w:val="clear" w:color="000000"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Cash flows from investing activities</w:t>
            </w:r>
          </w:p>
        </w:tc>
        <w:tc>
          <w:tcPr>
            <w:tcW w:w="708" w:type="dxa"/>
            <w:gridSpan w:val="2"/>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34" w:type="dxa"/>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31" w:type="dxa"/>
            <w:gridSpan w:val="2"/>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36" w:type="dxa"/>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r>
      <w:tr w:rsidR="00BB67AF" w:rsidRPr="00A120C4" w:rsidTr="00AC25A6">
        <w:tc>
          <w:tcPr>
            <w:tcW w:w="4805" w:type="dxa"/>
            <w:gridSpan w:val="2"/>
            <w:tcBorders>
              <w:top w:val="nil"/>
              <w:left w:val="nil"/>
              <w:right w:val="nil"/>
            </w:tcBorders>
            <w:shd w:val="clear" w:color="000000"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Purchases of non</w:t>
            </w:r>
            <w:r w:rsidRPr="00A120C4">
              <w:rPr>
                <w:rFonts w:ascii="Calibri" w:eastAsiaTheme="minorEastAsia" w:hAnsi="Calibri" w:cs="Calibri"/>
                <w:color w:val="000000"/>
                <w:sz w:val="18"/>
                <w:szCs w:val="18"/>
                <w:lang w:eastAsia="en-AU"/>
              </w:rPr>
              <w:noBreakHyphen/>
              <w:t>financial assets</w:t>
            </w:r>
          </w:p>
        </w:tc>
        <w:tc>
          <w:tcPr>
            <w:tcW w:w="708" w:type="dxa"/>
            <w:gridSpan w:val="2"/>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(3 266)</w:t>
            </w:r>
          </w:p>
        </w:tc>
        <w:tc>
          <w:tcPr>
            <w:tcW w:w="1034" w:type="dxa"/>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(3 226)</w:t>
            </w:r>
          </w:p>
        </w:tc>
        <w:tc>
          <w:tcPr>
            <w:tcW w:w="1031" w:type="dxa"/>
            <w:gridSpan w:val="2"/>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(2 037)</w:t>
            </w:r>
          </w:p>
        </w:tc>
        <w:tc>
          <w:tcPr>
            <w:tcW w:w="1036" w:type="dxa"/>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(2 118)</w:t>
            </w:r>
          </w:p>
        </w:tc>
      </w:tr>
      <w:tr w:rsidR="00BB67AF" w:rsidRPr="00A120C4" w:rsidTr="00AC25A6">
        <w:tc>
          <w:tcPr>
            <w:tcW w:w="4805" w:type="dxa"/>
            <w:gridSpan w:val="2"/>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Sales of non</w:t>
            </w:r>
            <w:r w:rsidRPr="00A120C4">
              <w:rPr>
                <w:rFonts w:ascii="Calibri" w:eastAsiaTheme="minorEastAsia" w:hAnsi="Calibri" w:cs="Calibri"/>
                <w:color w:val="000000"/>
                <w:sz w:val="18"/>
                <w:szCs w:val="18"/>
                <w:lang w:eastAsia="en-AU"/>
              </w:rPr>
              <w:noBreakHyphen/>
              <w:t>financial assets</w:t>
            </w:r>
          </w:p>
        </w:tc>
        <w:tc>
          <w:tcPr>
            <w:tcW w:w="708" w:type="dxa"/>
            <w:gridSpan w:val="2"/>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220</w:t>
            </w:r>
          </w:p>
        </w:tc>
        <w:tc>
          <w:tcPr>
            <w:tcW w:w="1034" w:type="dxa"/>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238</w:t>
            </w:r>
          </w:p>
        </w:tc>
        <w:tc>
          <w:tcPr>
            <w:tcW w:w="1031" w:type="dxa"/>
            <w:gridSpan w:val="2"/>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73</w:t>
            </w:r>
          </w:p>
        </w:tc>
        <w:tc>
          <w:tcPr>
            <w:tcW w:w="1036" w:type="dxa"/>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122</w:t>
            </w:r>
          </w:p>
        </w:tc>
      </w:tr>
      <w:tr w:rsidR="00BB67AF" w:rsidRPr="00A120C4" w:rsidTr="00AC25A6">
        <w:tc>
          <w:tcPr>
            <w:tcW w:w="4805" w:type="dxa"/>
            <w:gridSpan w:val="2"/>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color w:val="000000"/>
                <w:sz w:val="18"/>
                <w:szCs w:val="18"/>
                <w:lang w:eastAsia="en-AU"/>
              </w:rPr>
            </w:pPr>
            <w:r w:rsidRPr="00A120C4">
              <w:rPr>
                <w:rFonts w:ascii="Calibri" w:eastAsiaTheme="minorEastAsia" w:hAnsi="Calibri" w:cs="Calibri"/>
                <w:b/>
                <w:color w:val="000000"/>
                <w:sz w:val="18"/>
                <w:szCs w:val="18"/>
                <w:lang w:eastAsia="en-AU"/>
              </w:rPr>
              <w:t>Cash flows from investments in non</w:t>
            </w:r>
            <w:r w:rsidRPr="00A120C4">
              <w:rPr>
                <w:rFonts w:ascii="Calibri" w:eastAsiaTheme="minorEastAsia" w:hAnsi="Calibri" w:cs="Calibri"/>
                <w:b/>
                <w:color w:val="000000"/>
                <w:sz w:val="18"/>
                <w:szCs w:val="18"/>
                <w:lang w:eastAsia="en-AU"/>
              </w:rPr>
              <w:noBreakHyphen/>
              <w:t>financial assets</w:t>
            </w:r>
          </w:p>
        </w:tc>
        <w:tc>
          <w:tcPr>
            <w:tcW w:w="708" w:type="dxa"/>
            <w:gridSpan w:val="2"/>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color w:val="000000"/>
                <w:sz w:val="18"/>
                <w:szCs w:val="18"/>
                <w:lang w:eastAsia="en-AU"/>
              </w:rPr>
            </w:pPr>
            <w:r w:rsidRPr="00A120C4">
              <w:rPr>
                <w:rFonts w:ascii="Calibri" w:eastAsiaTheme="minorEastAsia" w:hAnsi="Calibri" w:cs="Calibri"/>
                <w:b/>
                <w:color w:val="000000"/>
                <w:sz w:val="18"/>
                <w:szCs w:val="18"/>
                <w:lang w:eastAsia="en-AU"/>
              </w:rPr>
              <w:t xml:space="preserve"> </w:t>
            </w:r>
          </w:p>
        </w:tc>
        <w:tc>
          <w:tcPr>
            <w:tcW w:w="1025" w:type="dxa"/>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color w:val="000000"/>
                <w:sz w:val="18"/>
                <w:szCs w:val="18"/>
                <w:lang w:eastAsia="en-AU"/>
              </w:rPr>
            </w:pPr>
            <w:r w:rsidRPr="00A120C4">
              <w:rPr>
                <w:rFonts w:ascii="Calibri" w:eastAsiaTheme="minorEastAsia" w:hAnsi="Calibri" w:cs="Calibri"/>
                <w:b/>
                <w:color w:val="000000"/>
                <w:sz w:val="18"/>
                <w:szCs w:val="18"/>
                <w:lang w:eastAsia="en-AU"/>
              </w:rPr>
              <w:t>(3 046)</w:t>
            </w:r>
          </w:p>
        </w:tc>
        <w:tc>
          <w:tcPr>
            <w:tcW w:w="1034" w:type="dxa"/>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color w:val="000000"/>
                <w:sz w:val="18"/>
                <w:szCs w:val="18"/>
                <w:lang w:eastAsia="en-AU"/>
              </w:rPr>
            </w:pPr>
            <w:r w:rsidRPr="00A120C4">
              <w:rPr>
                <w:rFonts w:ascii="Calibri" w:eastAsiaTheme="minorEastAsia" w:hAnsi="Calibri" w:cs="Calibri"/>
                <w:b/>
                <w:color w:val="000000"/>
                <w:sz w:val="18"/>
                <w:szCs w:val="18"/>
                <w:lang w:eastAsia="en-AU"/>
              </w:rPr>
              <w:t>(2 989)</w:t>
            </w:r>
          </w:p>
        </w:tc>
        <w:tc>
          <w:tcPr>
            <w:tcW w:w="1031" w:type="dxa"/>
            <w:gridSpan w:val="2"/>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color w:val="000000"/>
                <w:sz w:val="18"/>
                <w:szCs w:val="18"/>
                <w:lang w:eastAsia="en-AU"/>
              </w:rPr>
            </w:pPr>
            <w:r w:rsidRPr="00A120C4">
              <w:rPr>
                <w:rFonts w:ascii="Calibri" w:eastAsiaTheme="minorEastAsia" w:hAnsi="Calibri" w:cs="Calibri"/>
                <w:b/>
                <w:color w:val="000000"/>
                <w:sz w:val="18"/>
                <w:szCs w:val="18"/>
                <w:lang w:eastAsia="en-AU"/>
              </w:rPr>
              <w:t>(1 964)</w:t>
            </w:r>
          </w:p>
        </w:tc>
        <w:tc>
          <w:tcPr>
            <w:tcW w:w="1036" w:type="dxa"/>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color w:val="000000"/>
                <w:sz w:val="18"/>
                <w:szCs w:val="18"/>
                <w:lang w:eastAsia="en-AU"/>
              </w:rPr>
            </w:pPr>
            <w:r w:rsidRPr="00A120C4">
              <w:rPr>
                <w:rFonts w:ascii="Calibri" w:eastAsiaTheme="minorEastAsia" w:hAnsi="Calibri" w:cs="Calibri"/>
                <w:b/>
                <w:color w:val="000000"/>
                <w:sz w:val="18"/>
                <w:szCs w:val="18"/>
                <w:lang w:eastAsia="en-AU"/>
              </w:rPr>
              <w:t>(1 996)</w:t>
            </w:r>
          </w:p>
        </w:tc>
      </w:tr>
      <w:tr w:rsidR="00BB67AF" w:rsidRPr="00A120C4" w:rsidTr="00AC25A6">
        <w:tc>
          <w:tcPr>
            <w:tcW w:w="5103" w:type="dxa"/>
            <w:gridSpan w:val="3"/>
            <w:tcBorders>
              <w:top w:val="nil"/>
              <w:left w:val="nil"/>
              <w:right w:val="nil"/>
            </w:tcBorders>
            <w:shd w:val="clear" w:color="000000"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Cash flows from investments in financial assets for policy purposes</w:t>
            </w:r>
          </w:p>
        </w:tc>
        <w:tc>
          <w:tcPr>
            <w:tcW w:w="410" w:type="dxa"/>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34" w:type="dxa"/>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31" w:type="dxa"/>
            <w:gridSpan w:val="2"/>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36" w:type="dxa"/>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r>
      <w:tr w:rsidR="00BB67AF" w:rsidRPr="00A120C4" w:rsidTr="00AC25A6">
        <w:tc>
          <w:tcPr>
            <w:tcW w:w="4805" w:type="dxa"/>
            <w:gridSpan w:val="2"/>
            <w:tcBorders>
              <w:top w:val="nil"/>
              <w:left w:val="nil"/>
              <w:right w:val="nil"/>
            </w:tcBorders>
            <w:shd w:val="clear" w:color="000000"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Cash inflows</w:t>
            </w:r>
          </w:p>
        </w:tc>
        <w:tc>
          <w:tcPr>
            <w:tcW w:w="708" w:type="dxa"/>
            <w:gridSpan w:val="2"/>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97</w:t>
            </w:r>
          </w:p>
        </w:tc>
        <w:tc>
          <w:tcPr>
            <w:tcW w:w="1034" w:type="dxa"/>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1 736</w:t>
            </w:r>
          </w:p>
        </w:tc>
        <w:tc>
          <w:tcPr>
            <w:tcW w:w="1031" w:type="dxa"/>
            <w:gridSpan w:val="2"/>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52</w:t>
            </w:r>
          </w:p>
        </w:tc>
        <w:tc>
          <w:tcPr>
            <w:tcW w:w="1036" w:type="dxa"/>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333</w:t>
            </w:r>
          </w:p>
        </w:tc>
      </w:tr>
      <w:tr w:rsidR="00BB67AF" w:rsidRPr="00A120C4" w:rsidTr="00AC25A6">
        <w:tc>
          <w:tcPr>
            <w:tcW w:w="4805" w:type="dxa"/>
            <w:gridSpan w:val="2"/>
            <w:tcBorders>
              <w:top w:val="nil"/>
              <w:left w:val="nil"/>
              <w:bottom w:val="single" w:sz="4" w:space="0" w:color="auto"/>
              <w:right w:val="nil"/>
            </w:tcBorders>
            <w:shd w:val="clear" w:color="000000"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Cash outflows</w:t>
            </w:r>
          </w:p>
        </w:tc>
        <w:tc>
          <w:tcPr>
            <w:tcW w:w="708" w:type="dxa"/>
            <w:gridSpan w:val="2"/>
            <w:tcBorders>
              <w:top w:val="nil"/>
              <w:left w:val="nil"/>
              <w:bottom w:val="single" w:sz="4"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bottom w:val="single" w:sz="4"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(9)</w:t>
            </w:r>
          </w:p>
        </w:tc>
        <w:tc>
          <w:tcPr>
            <w:tcW w:w="1034" w:type="dxa"/>
            <w:tcBorders>
              <w:top w:val="nil"/>
              <w:left w:val="nil"/>
              <w:bottom w:val="single" w:sz="4"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(6)</w:t>
            </w:r>
          </w:p>
        </w:tc>
        <w:tc>
          <w:tcPr>
            <w:tcW w:w="1031" w:type="dxa"/>
            <w:gridSpan w:val="2"/>
            <w:tcBorders>
              <w:top w:val="nil"/>
              <w:left w:val="nil"/>
              <w:bottom w:val="single" w:sz="4"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(241)</w:t>
            </w:r>
          </w:p>
        </w:tc>
        <w:tc>
          <w:tcPr>
            <w:tcW w:w="1036" w:type="dxa"/>
            <w:tcBorders>
              <w:top w:val="nil"/>
              <w:left w:val="nil"/>
              <w:bottom w:val="single" w:sz="4"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(289)</w:t>
            </w:r>
          </w:p>
        </w:tc>
      </w:tr>
      <w:tr w:rsidR="00BB67AF" w:rsidRPr="00A120C4" w:rsidTr="00AC25A6">
        <w:tc>
          <w:tcPr>
            <w:tcW w:w="4805" w:type="dxa"/>
            <w:gridSpan w:val="2"/>
            <w:tcBorders>
              <w:top w:val="single" w:sz="4" w:space="0" w:color="auto"/>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8"/>
                <w:szCs w:val="18"/>
                <w:vertAlign w:val="superscript"/>
                <w:lang w:eastAsia="en-AU"/>
              </w:rPr>
            </w:pPr>
            <w:r w:rsidRPr="00A120C4">
              <w:rPr>
                <w:rFonts w:ascii="Calibri" w:eastAsiaTheme="minorEastAsia" w:hAnsi="Calibri" w:cs="Calibri"/>
                <w:color w:val="000000"/>
                <w:sz w:val="18"/>
                <w:szCs w:val="18"/>
                <w:lang w:eastAsia="en-AU"/>
              </w:rPr>
              <w:t xml:space="preserve">Net cash flows from investments in financial assets for policy purposes </w:t>
            </w:r>
            <w:r w:rsidRPr="00A120C4">
              <w:rPr>
                <w:rFonts w:ascii="Calibri" w:eastAsiaTheme="minorEastAsia" w:hAnsi="Calibri" w:cs="Calibri"/>
                <w:color w:val="000000"/>
                <w:sz w:val="18"/>
                <w:szCs w:val="18"/>
                <w:vertAlign w:val="superscript"/>
                <w:lang w:eastAsia="en-AU"/>
              </w:rPr>
              <w:t>(c)</w:t>
            </w:r>
          </w:p>
        </w:tc>
        <w:tc>
          <w:tcPr>
            <w:tcW w:w="708" w:type="dxa"/>
            <w:gridSpan w:val="2"/>
            <w:tcBorders>
              <w:top w:val="single" w:sz="4" w:space="0" w:color="auto"/>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single" w:sz="4" w:space="0" w:color="auto"/>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88</w:t>
            </w:r>
          </w:p>
        </w:tc>
        <w:tc>
          <w:tcPr>
            <w:tcW w:w="1034" w:type="dxa"/>
            <w:tcBorders>
              <w:top w:val="single" w:sz="4" w:space="0" w:color="auto"/>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1 729</w:t>
            </w:r>
          </w:p>
        </w:tc>
        <w:tc>
          <w:tcPr>
            <w:tcW w:w="1031" w:type="dxa"/>
            <w:gridSpan w:val="2"/>
            <w:tcBorders>
              <w:top w:val="single" w:sz="4" w:space="0" w:color="auto"/>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(190)</w:t>
            </w:r>
          </w:p>
        </w:tc>
        <w:tc>
          <w:tcPr>
            <w:tcW w:w="1036" w:type="dxa"/>
            <w:tcBorders>
              <w:top w:val="single" w:sz="4" w:space="0" w:color="auto"/>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44</w:t>
            </w:r>
          </w:p>
        </w:tc>
      </w:tr>
      <w:tr w:rsidR="00BB67AF" w:rsidRPr="00A120C4" w:rsidTr="00AC25A6">
        <w:tc>
          <w:tcPr>
            <w:tcW w:w="4805" w:type="dxa"/>
            <w:gridSpan w:val="2"/>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Sub</w:t>
            </w:r>
            <w:r w:rsidRPr="00A120C4">
              <w:rPr>
                <w:rFonts w:ascii="Calibri" w:eastAsiaTheme="minorEastAsia" w:hAnsi="Calibri" w:cs="Calibri"/>
                <w:b/>
                <w:bCs/>
                <w:color w:val="000000"/>
                <w:sz w:val="18"/>
                <w:szCs w:val="18"/>
                <w:lang w:eastAsia="en-AU"/>
              </w:rPr>
              <w:noBreakHyphen/>
              <w:t>total</w:t>
            </w:r>
          </w:p>
        </w:tc>
        <w:tc>
          <w:tcPr>
            <w:tcW w:w="708" w:type="dxa"/>
            <w:gridSpan w:val="2"/>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(2 958)</w:t>
            </w:r>
          </w:p>
        </w:tc>
        <w:tc>
          <w:tcPr>
            <w:tcW w:w="1034" w:type="dxa"/>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(1 259)</w:t>
            </w:r>
          </w:p>
        </w:tc>
        <w:tc>
          <w:tcPr>
            <w:tcW w:w="1031" w:type="dxa"/>
            <w:gridSpan w:val="2"/>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(2 153)</w:t>
            </w:r>
          </w:p>
        </w:tc>
        <w:tc>
          <w:tcPr>
            <w:tcW w:w="1036" w:type="dxa"/>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(1 952)</w:t>
            </w:r>
          </w:p>
        </w:tc>
      </w:tr>
      <w:tr w:rsidR="00BB67AF" w:rsidRPr="00A120C4" w:rsidTr="00AC25A6">
        <w:tc>
          <w:tcPr>
            <w:tcW w:w="4805" w:type="dxa"/>
            <w:gridSpan w:val="2"/>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8"/>
                <w:szCs w:val="18"/>
                <w:vertAlign w:val="superscript"/>
                <w:lang w:eastAsia="en-AU"/>
              </w:rPr>
            </w:pPr>
            <w:r w:rsidRPr="00A120C4">
              <w:rPr>
                <w:rFonts w:ascii="Calibri" w:eastAsiaTheme="minorEastAsia" w:hAnsi="Calibri" w:cs="Calibri"/>
                <w:color w:val="000000"/>
                <w:sz w:val="18"/>
                <w:szCs w:val="18"/>
                <w:lang w:eastAsia="en-AU"/>
              </w:rPr>
              <w:t>Net cash flows from investments in financial assets for liquidity management purposes</w:t>
            </w:r>
            <w:r w:rsidRPr="00A120C4">
              <w:rPr>
                <w:rFonts w:ascii="Calibri" w:eastAsiaTheme="minorEastAsia" w:hAnsi="Calibri" w:cs="Calibri"/>
                <w:color w:val="000000"/>
                <w:sz w:val="18"/>
                <w:szCs w:val="18"/>
                <w:vertAlign w:val="superscript"/>
                <w:lang w:eastAsia="en-AU"/>
              </w:rPr>
              <w:t xml:space="preserve"> </w:t>
            </w:r>
          </w:p>
        </w:tc>
        <w:tc>
          <w:tcPr>
            <w:tcW w:w="708" w:type="dxa"/>
            <w:gridSpan w:val="2"/>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(1 447)</w:t>
            </w:r>
          </w:p>
        </w:tc>
        <w:tc>
          <w:tcPr>
            <w:tcW w:w="1034" w:type="dxa"/>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(1 312)</w:t>
            </w:r>
          </w:p>
        </w:tc>
        <w:tc>
          <w:tcPr>
            <w:tcW w:w="1031" w:type="dxa"/>
            <w:gridSpan w:val="2"/>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(33)</w:t>
            </w:r>
          </w:p>
        </w:tc>
        <w:tc>
          <w:tcPr>
            <w:tcW w:w="1036" w:type="dxa"/>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(316)</w:t>
            </w:r>
          </w:p>
        </w:tc>
      </w:tr>
      <w:tr w:rsidR="00BB67AF" w:rsidRPr="00A120C4" w:rsidTr="00AC25A6">
        <w:tc>
          <w:tcPr>
            <w:tcW w:w="4805" w:type="dxa"/>
            <w:gridSpan w:val="2"/>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Net cash flows from investing activities</w:t>
            </w:r>
          </w:p>
        </w:tc>
        <w:tc>
          <w:tcPr>
            <w:tcW w:w="708" w:type="dxa"/>
            <w:gridSpan w:val="2"/>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(4 405)</w:t>
            </w:r>
          </w:p>
        </w:tc>
        <w:tc>
          <w:tcPr>
            <w:tcW w:w="1034" w:type="dxa"/>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(2 571)</w:t>
            </w:r>
          </w:p>
        </w:tc>
        <w:tc>
          <w:tcPr>
            <w:tcW w:w="1031" w:type="dxa"/>
            <w:gridSpan w:val="2"/>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(2 187)</w:t>
            </w:r>
          </w:p>
        </w:tc>
        <w:tc>
          <w:tcPr>
            <w:tcW w:w="1036" w:type="dxa"/>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(2 268)</w:t>
            </w:r>
          </w:p>
        </w:tc>
      </w:tr>
      <w:tr w:rsidR="00BB67AF" w:rsidRPr="00A120C4" w:rsidTr="00AC25A6">
        <w:tc>
          <w:tcPr>
            <w:tcW w:w="4805" w:type="dxa"/>
            <w:gridSpan w:val="2"/>
            <w:tcBorders>
              <w:top w:val="nil"/>
              <w:left w:val="nil"/>
              <w:right w:val="nil"/>
            </w:tcBorders>
            <w:shd w:val="clear" w:color="000000"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Cash flows from financing activities</w:t>
            </w:r>
          </w:p>
        </w:tc>
        <w:tc>
          <w:tcPr>
            <w:tcW w:w="708" w:type="dxa"/>
            <w:gridSpan w:val="2"/>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34" w:type="dxa"/>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31" w:type="dxa"/>
            <w:gridSpan w:val="2"/>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36" w:type="dxa"/>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r>
      <w:tr w:rsidR="00BB67AF" w:rsidRPr="00A120C4" w:rsidTr="00AC25A6">
        <w:tc>
          <w:tcPr>
            <w:tcW w:w="4805" w:type="dxa"/>
            <w:gridSpan w:val="2"/>
            <w:tcBorders>
              <w:top w:val="nil"/>
              <w:left w:val="nil"/>
              <w:right w:val="nil"/>
            </w:tcBorders>
            <w:shd w:val="clear" w:color="000000"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Advances received</w:t>
            </w:r>
          </w:p>
        </w:tc>
        <w:tc>
          <w:tcPr>
            <w:tcW w:w="708" w:type="dxa"/>
            <w:gridSpan w:val="2"/>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39</w:t>
            </w:r>
          </w:p>
        </w:tc>
        <w:tc>
          <w:tcPr>
            <w:tcW w:w="1034" w:type="dxa"/>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21</w:t>
            </w:r>
          </w:p>
        </w:tc>
        <w:tc>
          <w:tcPr>
            <w:tcW w:w="1031" w:type="dxa"/>
            <w:gridSpan w:val="2"/>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w:t>
            </w:r>
          </w:p>
        </w:tc>
        <w:tc>
          <w:tcPr>
            <w:tcW w:w="1036" w:type="dxa"/>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w:t>
            </w:r>
          </w:p>
        </w:tc>
      </w:tr>
      <w:tr w:rsidR="00BB67AF" w:rsidRPr="00A120C4" w:rsidTr="00AC25A6">
        <w:tc>
          <w:tcPr>
            <w:tcW w:w="4805" w:type="dxa"/>
            <w:gridSpan w:val="2"/>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Advances repaid</w:t>
            </w:r>
          </w:p>
        </w:tc>
        <w:tc>
          <w:tcPr>
            <w:tcW w:w="708" w:type="dxa"/>
            <w:gridSpan w:val="2"/>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(2)</w:t>
            </w:r>
          </w:p>
        </w:tc>
        <w:tc>
          <w:tcPr>
            <w:tcW w:w="1034" w:type="dxa"/>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(5)</w:t>
            </w:r>
          </w:p>
        </w:tc>
        <w:tc>
          <w:tcPr>
            <w:tcW w:w="1031" w:type="dxa"/>
            <w:gridSpan w:val="2"/>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w:t>
            </w:r>
          </w:p>
        </w:tc>
        <w:tc>
          <w:tcPr>
            <w:tcW w:w="1036" w:type="dxa"/>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w:t>
            </w:r>
          </w:p>
        </w:tc>
      </w:tr>
      <w:tr w:rsidR="00BB67AF" w:rsidRPr="00A120C4" w:rsidTr="00AC25A6">
        <w:tc>
          <w:tcPr>
            <w:tcW w:w="4805" w:type="dxa"/>
            <w:gridSpan w:val="2"/>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8"/>
                <w:szCs w:val="18"/>
                <w:vertAlign w:val="superscript"/>
                <w:lang w:eastAsia="en-AU"/>
              </w:rPr>
            </w:pPr>
            <w:r w:rsidRPr="00A120C4">
              <w:rPr>
                <w:rFonts w:ascii="Calibri" w:eastAsiaTheme="minorEastAsia" w:hAnsi="Calibri" w:cs="Calibri"/>
                <w:color w:val="000000"/>
                <w:sz w:val="18"/>
                <w:szCs w:val="18"/>
                <w:lang w:eastAsia="en-AU"/>
              </w:rPr>
              <w:t xml:space="preserve">Advances received (net) </w:t>
            </w:r>
            <w:r w:rsidRPr="00A120C4">
              <w:rPr>
                <w:rFonts w:ascii="Calibri" w:eastAsiaTheme="minorEastAsia" w:hAnsi="Calibri" w:cs="Calibri"/>
                <w:color w:val="000000"/>
                <w:sz w:val="18"/>
                <w:szCs w:val="18"/>
                <w:vertAlign w:val="superscript"/>
                <w:lang w:eastAsia="en-AU"/>
              </w:rPr>
              <w:t>(c)</w:t>
            </w:r>
          </w:p>
        </w:tc>
        <w:tc>
          <w:tcPr>
            <w:tcW w:w="708" w:type="dxa"/>
            <w:gridSpan w:val="2"/>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38</w:t>
            </w:r>
          </w:p>
        </w:tc>
        <w:tc>
          <w:tcPr>
            <w:tcW w:w="1034" w:type="dxa"/>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16</w:t>
            </w:r>
          </w:p>
        </w:tc>
        <w:tc>
          <w:tcPr>
            <w:tcW w:w="1031" w:type="dxa"/>
            <w:gridSpan w:val="2"/>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w:t>
            </w:r>
          </w:p>
        </w:tc>
        <w:tc>
          <w:tcPr>
            <w:tcW w:w="1036" w:type="dxa"/>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w:t>
            </w:r>
          </w:p>
        </w:tc>
      </w:tr>
      <w:tr w:rsidR="00BB67AF" w:rsidRPr="00A120C4" w:rsidTr="00AC25A6">
        <w:tc>
          <w:tcPr>
            <w:tcW w:w="4805" w:type="dxa"/>
            <w:gridSpan w:val="2"/>
            <w:tcBorders>
              <w:top w:val="nil"/>
              <w:left w:val="nil"/>
              <w:right w:val="nil"/>
            </w:tcBorders>
            <w:shd w:val="clear" w:color="000000"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Borrowings received</w:t>
            </w:r>
          </w:p>
        </w:tc>
        <w:tc>
          <w:tcPr>
            <w:tcW w:w="708" w:type="dxa"/>
            <w:gridSpan w:val="2"/>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281</w:t>
            </w:r>
          </w:p>
        </w:tc>
        <w:tc>
          <w:tcPr>
            <w:tcW w:w="1034" w:type="dxa"/>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165</w:t>
            </w:r>
          </w:p>
        </w:tc>
        <w:tc>
          <w:tcPr>
            <w:tcW w:w="1031" w:type="dxa"/>
            <w:gridSpan w:val="2"/>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359</w:t>
            </w:r>
          </w:p>
        </w:tc>
        <w:tc>
          <w:tcPr>
            <w:tcW w:w="1036" w:type="dxa"/>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236</w:t>
            </w:r>
          </w:p>
        </w:tc>
      </w:tr>
      <w:tr w:rsidR="00BB67AF" w:rsidRPr="00A120C4" w:rsidTr="00AC25A6">
        <w:tc>
          <w:tcPr>
            <w:tcW w:w="4805" w:type="dxa"/>
            <w:gridSpan w:val="2"/>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Borrowings repaid</w:t>
            </w:r>
          </w:p>
        </w:tc>
        <w:tc>
          <w:tcPr>
            <w:tcW w:w="708" w:type="dxa"/>
            <w:gridSpan w:val="2"/>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(308)</w:t>
            </w:r>
          </w:p>
        </w:tc>
        <w:tc>
          <w:tcPr>
            <w:tcW w:w="1034" w:type="dxa"/>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(889)</w:t>
            </w:r>
          </w:p>
        </w:tc>
        <w:tc>
          <w:tcPr>
            <w:tcW w:w="1031" w:type="dxa"/>
            <w:gridSpan w:val="2"/>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(131)</w:t>
            </w:r>
          </w:p>
        </w:tc>
        <w:tc>
          <w:tcPr>
            <w:tcW w:w="1036" w:type="dxa"/>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(173)</w:t>
            </w:r>
          </w:p>
        </w:tc>
      </w:tr>
      <w:tr w:rsidR="00BB67AF" w:rsidRPr="00A120C4" w:rsidTr="00AC25A6">
        <w:tc>
          <w:tcPr>
            <w:tcW w:w="4799" w:type="dxa"/>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8"/>
                <w:szCs w:val="18"/>
                <w:vertAlign w:val="superscript"/>
                <w:lang w:eastAsia="en-AU"/>
              </w:rPr>
            </w:pPr>
            <w:r w:rsidRPr="00A120C4">
              <w:rPr>
                <w:rFonts w:ascii="Calibri" w:eastAsiaTheme="minorEastAsia" w:hAnsi="Calibri" w:cs="Calibri"/>
                <w:color w:val="000000"/>
                <w:sz w:val="18"/>
                <w:szCs w:val="18"/>
                <w:lang w:eastAsia="en-AU"/>
              </w:rPr>
              <w:t xml:space="preserve">Net borrowings </w:t>
            </w:r>
            <w:r w:rsidRPr="00A120C4">
              <w:rPr>
                <w:rFonts w:ascii="Calibri" w:eastAsiaTheme="minorEastAsia" w:hAnsi="Calibri" w:cs="Calibri"/>
                <w:color w:val="000000"/>
                <w:sz w:val="18"/>
                <w:szCs w:val="18"/>
                <w:vertAlign w:val="superscript"/>
                <w:lang w:eastAsia="en-AU"/>
              </w:rPr>
              <w:t>(c)</w:t>
            </w:r>
          </w:p>
        </w:tc>
        <w:tc>
          <w:tcPr>
            <w:tcW w:w="714" w:type="dxa"/>
            <w:gridSpan w:val="3"/>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(27)</w:t>
            </w:r>
          </w:p>
        </w:tc>
        <w:tc>
          <w:tcPr>
            <w:tcW w:w="1034" w:type="dxa"/>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(724)</w:t>
            </w:r>
          </w:p>
        </w:tc>
        <w:tc>
          <w:tcPr>
            <w:tcW w:w="1025" w:type="dxa"/>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229</w:t>
            </w:r>
          </w:p>
        </w:tc>
        <w:tc>
          <w:tcPr>
            <w:tcW w:w="1042" w:type="dxa"/>
            <w:gridSpan w:val="2"/>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62</w:t>
            </w:r>
          </w:p>
        </w:tc>
      </w:tr>
      <w:tr w:rsidR="00BB67AF" w:rsidRPr="00A120C4" w:rsidTr="00AC25A6">
        <w:tc>
          <w:tcPr>
            <w:tcW w:w="4799" w:type="dxa"/>
            <w:tcBorders>
              <w:top w:val="nil"/>
              <w:left w:val="nil"/>
              <w:right w:val="nil"/>
            </w:tcBorders>
            <w:shd w:val="clear" w:color="000000"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8"/>
                <w:szCs w:val="18"/>
                <w:vertAlign w:val="superscript"/>
                <w:lang w:eastAsia="en-AU"/>
              </w:rPr>
            </w:pPr>
            <w:r w:rsidRPr="00A120C4">
              <w:rPr>
                <w:rFonts w:ascii="Calibri" w:eastAsiaTheme="minorEastAsia" w:hAnsi="Calibri" w:cs="Calibri"/>
                <w:color w:val="000000"/>
                <w:sz w:val="18"/>
                <w:szCs w:val="18"/>
                <w:lang w:eastAsia="en-AU"/>
              </w:rPr>
              <w:t xml:space="preserve">Deposits received </w:t>
            </w:r>
          </w:p>
        </w:tc>
        <w:tc>
          <w:tcPr>
            <w:tcW w:w="714" w:type="dxa"/>
            <w:gridSpan w:val="3"/>
            <w:tcBorders>
              <w:top w:val="nil"/>
              <w:left w:val="nil"/>
              <w:right w:val="nil"/>
            </w:tcBorders>
            <w:shd w:val="clear" w:color="000000"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429</w:t>
            </w:r>
          </w:p>
        </w:tc>
        <w:tc>
          <w:tcPr>
            <w:tcW w:w="1034" w:type="dxa"/>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229</w:t>
            </w:r>
          </w:p>
        </w:tc>
        <w:tc>
          <w:tcPr>
            <w:tcW w:w="1025" w:type="dxa"/>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162</w:t>
            </w:r>
          </w:p>
        </w:tc>
        <w:tc>
          <w:tcPr>
            <w:tcW w:w="1042" w:type="dxa"/>
            <w:gridSpan w:val="2"/>
            <w:tcBorders>
              <w:top w:val="nil"/>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153</w:t>
            </w:r>
          </w:p>
        </w:tc>
      </w:tr>
      <w:tr w:rsidR="00BB67AF" w:rsidRPr="00A120C4" w:rsidTr="00AC25A6">
        <w:tc>
          <w:tcPr>
            <w:tcW w:w="4799" w:type="dxa"/>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8"/>
                <w:szCs w:val="18"/>
                <w:vertAlign w:val="superscript"/>
                <w:lang w:eastAsia="en-AU"/>
              </w:rPr>
            </w:pPr>
            <w:r w:rsidRPr="00A120C4">
              <w:rPr>
                <w:rFonts w:ascii="Calibri" w:eastAsiaTheme="minorEastAsia" w:hAnsi="Calibri" w:cs="Calibri"/>
                <w:color w:val="000000"/>
                <w:sz w:val="18"/>
                <w:szCs w:val="18"/>
                <w:lang w:eastAsia="en-AU"/>
              </w:rPr>
              <w:t xml:space="preserve">Deposits paid </w:t>
            </w:r>
          </w:p>
        </w:tc>
        <w:tc>
          <w:tcPr>
            <w:tcW w:w="714" w:type="dxa"/>
            <w:gridSpan w:val="3"/>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(323)</w:t>
            </w:r>
          </w:p>
        </w:tc>
        <w:tc>
          <w:tcPr>
            <w:tcW w:w="1034" w:type="dxa"/>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(260)</w:t>
            </w:r>
          </w:p>
        </w:tc>
        <w:tc>
          <w:tcPr>
            <w:tcW w:w="1025" w:type="dxa"/>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(194)</w:t>
            </w:r>
          </w:p>
        </w:tc>
        <w:tc>
          <w:tcPr>
            <w:tcW w:w="1042" w:type="dxa"/>
            <w:gridSpan w:val="2"/>
            <w:tcBorders>
              <w:top w:val="nil"/>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(157)</w:t>
            </w:r>
          </w:p>
        </w:tc>
      </w:tr>
      <w:tr w:rsidR="00BB67AF" w:rsidRPr="00A120C4" w:rsidTr="00AC25A6">
        <w:tc>
          <w:tcPr>
            <w:tcW w:w="4799" w:type="dxa"/>
            <w:tcBorders>
              <w:top w:val="single" w:sz="6" w:space="0" w:color="auto"/>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8"/>
                <w:szCs w:val="18"/>
                <w:vertAlign w:val="superscript"/>
                <w:lang w:eastAsia="en-AU"/>
              </w:rPr>
            </w:pPr>
            <w:r w:rsidRPr="00A120C4">
              <w:rPr>
                <w:rFonts w:ascii="Calibri" w:eastAsiaTheme="minorEastAsia" w:hAnsi="Calibri" w:cs="Calibri"/>
                <w:color w:val="000000"/>
                <w:sz w:val="18"/>
                <w:szCs w:val="18"/>
                <w:lang w:eastAsia="en-AU"/>
              </w:rPr>
              <w:t xml:space="preserve">Deposits received (net) </w:t>
            </w:r>
            <w:r w:rsidRPr="00A120C4">
              <w:rPr>
                <w:rFonts w:ascii="Calibri" w:eastAsiaTheme="minorEastAsia" w:hAnsi="Calibri" w:cs="Calibri"/>
                <w:color w:val="000000"/>
                <w:sz w:val="18"/>
                <w:szCs w:val="18"/>
                <w:vertAlign w:val="superscript"/>
                <w:lang w:eastAsia="en-AU"/>
              </w:rPr>
              <w:t>(c)</w:t>
            </w:r>
          </w:p>
        </w:tc>
        <w:tc>
          <w:tcPr>
            <w:tcW w:w="714" w:type="dxa"/>
            <w:gridSpan w:val="3"/>
            <w:tcBorders>
              <w:top w:val="single" w:sz="6" w:space="0" w:color="auto"/>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single" w:sz="6" w:space="0" w:color="auto"/>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107</w:t>
            </w:r>
          </w:p>
        </w:tc>
        <w:tc>
          <w:tcPr>
            <w:tcW w:w="1034" w:type="dxa"/>
            <w:tcBorders>
              <w:top w:val="single" w:sz="6" w:space="0" w:color="auto"/>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(32)</w:t>
            </w:r>
          </w:p>
        </w:tc>
        <w:tc>
          <w:tcPr>
            <w:tcW w:w="1025" w:type="dxa"/>
            <w:tcBorders>
              <w:top w:val="single" w:sz="6" w:space="0" w:color="auto"/>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(32)</w:t>
            </w:r>
          </w:p>
        </w:tc>
        <w:tc>
          <w:tcPr>
            <w:tcW w:w="1042" w:type="dxa"/>
            <w:gridSpan w:val="2"/>
            <w:tcBorders>
              <w:top w:val="single" w:sz="6" w:space="0" w:color="auto"/>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(3)</w:t>
            </w:r>
          </w:p>
        </w:tc>
      </w:tr>
      <w:tr w:rsidR="00BB67AF" w:rsidRPr="00A120C4" w:rsidTr="00AC25A6">
        <w:tc>
          <w:tcPr>
            <w:tcW w:w="4799" w:type="dxa"/>
            <w:tcBorders>
              <w:top w:val="single" w:sz="6" w:space="0" w:color="auto"/>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Net cash flows from financing activities</w:t>
            </w:r>
          </w:p>
        </w:tc>
        <w:tc>
          <w:tcPr>
            <w:tcW w:w="714" w:type="dxa"/>
            <w:gridSpan w:val="3"/>
            <w:tcBorders>
              <w:top w:val="single" w:sz="6" w:space="0" w:color="auto"/>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single" w:sz="6" w:space="0" w:color="auto"/>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117</w:t>
            </w:r>
          </w:p>
        </w:tc>
        <w:tc>
          <w:tcPr>
            <w:tcW w:w="1034" w:type="dxa"/>
            <w:tcBorders>
              <w:top w:val="single" w:sz="6" w:space="0" w:color="auto"/>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(739)</w:t>
            </w:r>
          </w:p>
        </w:tc>
        <w:tc>
          <w:tcPr>
            <w:tcW w:w="1025" w:type="dxa"/>
            <w:tcBorders>
              <w:top w:val="single" w:sz="6" w:space="0" w:color="auto"/>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196</w:t>
            </w:r>
          </w:p>
        </w:tc>
        <w:tc>
          <w:tcPr>
            <w:tcW w:w="1042" w:type="dxa"/>
            <w:gridSpan w:val="2"/>
            <w:tcBorders>
              <w:top w:val="single" w:sz="6" w:space="0" w:color="auto"/>
              <w:left w:val="nil"/>
              <w:bottom w:val="single" w:sz="6"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60</w:t>
            </w:r>
          </w:p>
        </w:tc>
      </w:tr>
      <w:tr w:rsidR="00BB67AF" w:rsidRPr="00A120C4" w:rsidTr="00AC25A6">
        <w:tc>
          <w:tcPr>
            <w:tcW w:w="4799" w:type="dxa"/>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Net increase/(decrease) in cash and cash equivalents</w:t>
            </w:r>
          </w:p>
        </w:tc>
        <w:tc>
          <w:tcPr>
            <w:tcW w:w="714" w:type="dxa"/>
            <w:gridSpan w:val="3"/>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(564)</w:t>
            </w:r>
          </w:p>
        </w:tc>
        <w:tc>
          <w:tcPr>
            <w:tcW w:w="1034" w:type="dxa"/>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(564)</w:t>
            </w:r>
          </w:p>
        </w:tc>
        <w:tc>
          <w:tcPr>
            <w:tcW w:w="1025" w:type="dxa"/>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(169)</w:t>
            </w:r>
          </w:p>
        </w:tc>
        <w:tc>
          <w:tcPr>
            <w:tcW w:w="1042" w:type="dxa"/>
            <w:gridSpan w:val="2"/>
            <w:tcBorders>
              <w:top w:val="single" w:sz="6"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(876)</w:t>
            </w:r>
          </w:p>
        </w:tc>
      </w:tr>
      <w:tr w:rsidR="00BB67AF" w:rsidRPr="00A120C4" w:rsidTr="00AC25A6">
        <w:tc>
          <w:tcPr>
            <w:tcW w:w="4799" w:type="dxa"/>
            <w:tcBorders>
              <w:top w:val="nil"/>
              <w:left w:val="nil"/>
              <w:bottom w:val="single" w:sz="6" w:space="0" w:color="auto"/>
              <w:right w:val="nil"/>
            </w:tcBorders>
            <w:shd w:val="solid" w:color="FFFFFF"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Cash and cash equivalents at beginning of reporting period </w:t>
            </w:r>
          </w:p>
        </w:tc>
        <w:tc>
          <w:tcPr>
            <w:tcW w:w="714" w:type="dxa"/>
            <w:gridSpan w:val="3"/>
            <w:tcBorders>
              <w:top w:val="nil"/>
              <w:left w:val="nil"/>
              <w:bottom w:val="single" w:sz="6" w:space="0" w:color="auto"/>
              <w:right w:val="nil"/>
            </w:tcBorders>
            <w:shd w:val="solid" w:color="FFFFFF"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bottom w:val="single" w:sz="6" w:space="0" w:color="auto"/>
              <w:right w:val="nil"/>
            </w:tcBorders>
            <w:shd w:val="solid" w:color="FFFFFF"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6 510</w:t>
            </w:r>
          </w:p>
        </w:tc>
        <w:tc>
          <w:tcPr>
            <w:tcW w:w="1034" w:type="dxa"/>
            <w:tcBorders>
              <w:top w:val="nil"/>
              <w:left w:val="nil"/>
              <w:bottom w:val="single" w:sz="6" w:space="0" w:color="auto"/>
              <w:right w:val="nil"/>
            </w:tcBorders>
            <w:shd w:val="solid" w:color="FFFFFF"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8 281</w:t>
            </w:r>
          </w:p>
        </w:tc>
        <w:tc>
          <w:tcPr>
            <w:tcW w:w="1025" w:type="dxa"/>
            <w:tcBorders>
              <w:top w:val="nil"/>
              <w:left w:val="nil"/>
              <w:bottom w:val="single" w:sz="6" w:space="0" w:color="auto"/>
              <w:right w:val="nil"/>
            </w:tcBorders>
            <w:shd w:val="solid" w:color="FFFFFF"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4 282</w:t>
            </w:r>
          </w:p>
        </w:tc>
        <w:tc>
          <w:tcPr>
            <w:tcW w:w="1042" w:type="dxa"/>
            <w:gridSpan w:val="2"/>
            <w:tcBorders>
              <w:top w:val="nil"/>
              <w:left w:val="nil"/>
              <w:bottom w:val="single" w:sz="6" w:space="0" w:color="auto"/>
              <w:right w:val="nil"/>
            </w:tcBorders>
            <w:shd w:val="solid" w:color="FFFFFF"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4 582</w:t>
            </w:r>
          </w:p>
        </w:tc>
      </w:tr>
      <w:tr w:rsidR="00BB67AF" w:rsidRPr="00A120C4" w:rsidTr="00AC25A6">
        <w:tc>
          <w:tcPr>
            <w:tcW w:w="4799" w:type="dxa"/>
            <w:tcBorders>
              <w:top w:val="single" w:sz="6" w:space="0" w:color="auto"/>
              <w:left w:val="nil"/>
              <w:bottom w:val="single" w:sz="12" w:space="0" w:color="auto"/>
              <w:right w:val="nil"/>
            </w:tcBorders>
            <w:shd w:val="clear" w:color="000000"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 xml:space="preserve">Cash and cash equivalents at end of reporting period </w:t>
            </w:r>
          </w:p>
        </w:tc>
        <w:tc>
          <w:tcPr>
            <w:tcW w:w="714" w:type="dxa"/>
            <w:gridSpan w:val="3"/>
            <w:tcBorders>
              <w:top w:val="single" w:sz="6" w:space="0" w:color="auto"/>
              <w:left w:val="nil"/>
              <w:bottom w:val="single" w:sz="12" w:space="0" w:color="auto"/>
              <w:right w:val="nil"/>
            </w:tcBorders>
            <w:shd w:val="clear" w:color="000000"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27a</w:t>
            </w:r>
          </w:p>
        </w:tc>
        <w:tc>
          <w:tcPr>
            <w:tcW w:w="1025" w:type="dxa"/>
            <w:tcBorders>
              <w:top w:val="single" w:sz="6" w:space="0" w:color="auto"/>
              <w:left w:val="nil"/>
              <w:bottom w:val="single" w:sz="12"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5 946</w:t>
            </w:r>
          </w:p>
        </w:tc>
        <w:tc>
          <w:tcPr>
            <w:tcW w:w="1034" w:type="dxa"/>
            <w:tcBorders>
              <w:top w:val="single" w:sz="6" w:space="0" w:color="auto"/>
              <w:left w:val="nil"/>
              <w:bottom w:val="single" w:sz="12"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7 717</w:t>
            </w:r>
          </w:p>
        </w:tc>
        <w:tc>
          <w:tcPr>
            <w:tcW w:w="1025" w:type="dxa"/>
            <w:tcBorders>
              <w:top w:val="single" w:sz="6" w:space="0" w:color="auto"/>
              <w:left w:val="nil"/>
              <w:bottom w:val="single" w:sz="12"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4 112</w:t>
            </w:r>
          </w:p>
        </w:tc>
        <w:tc>
          <w:tcPr>
            <w:tcW w:w="1042" w:type="dxa"/>
            <w:gridSpan w:val="2"/>
            <w:tcBorders>
              <w:top w:val="single" w:sz="6" w:space="0" w:color="auto"/>
              <w:left w:val="nil"/>
              <w:bottom w:val="single" w:sz="12" w:space="0" w:color="auto"/>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3 707</w:t>
            </w:r>
          </w:p>
        </w:tc>
      </w:tr>
      <w:tr w:rsidR="00BB67AF" w:rsidRPr="00A120C4" w:rsidTr="00AC25A6">
        <w:trPr>
          <w:trHeight w:hRule="exact" w:val="120"/>
        </w:trPr>
        <w:tc>
          <w:tcPr>
            <w:tcW w:w="4799" w:type="dxa"/>
            <w:tcBorders>
              <w:top w:val="single" w:sz="12" w:space="0" w:color="auto"/>
              <w:left w:val="nil"/>
              <w:right w:val="nil"/>
            </w:tcBorders>
            <w:shd w:val="clear" w:color="000000"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i/>
                <w:iCs/>
                <w:color w:val="000000"/>
                <w:sz w:val="18"/>
                <w:szCs w:val="18"/>
                <w:lang w:eastAsia="en-AU"/>
              </w:rPr>
            </w:pPr>
            <w:r w:rsidRPr="00A120C4">
              <w:rPr>
                <w:rFonts w:ascii="Calibri" w:eastAsiaTheme="minorEastAsia" w:hAnsi="Calibri" w:cs="Calibri"/>
                <w:i/>
                <w:iCs/>
                <w:color w:val="000000"/>
                <w:sz w:val="18"/>
                <w:szCs w:val="18"/>
                <w:lang w:eastAsia="en-AU"/>
              </w:rPr>
              <w:t xml:space="preserve"> </w:t>
            </w:r>
          </w:p>
        </w:tc>
        <w:tc>
          <w:tcPr>
            <w:tcW w:w="714" w:type="dxa"/>
            <w:gridSpan w:val="3"/>
            <w:tcBorders>
              <w:top w:val="single" w:sz="12" w:space="0" w:color="auto"/>
              <w:left w:val="nil"/>
              <w:right w:val="nil"/>
            </w:tcBorders>
            <w:shd w:val="clear" w:color="000000"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single" w:sz="12"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34" w:type="dxa"/>
            <w:tcBorders>
              <w:top w:val="single" w:sz="12"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single" w:sz="12"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42" w:type="dxa"/>
            <w:gridSpan w:val="2"/>
            <w:tcBorders>
              <w:top w:val="single" w:sz="12" w:space="0" w:color="auto"/>
              <w:left w:val="nil"/>
              <w:right w:val="nil"/>
            </w:tcBorders>
            <w:shd w:val="clear" w:color="000000"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r>
      <w:tr w:rsidR="00BB67AF" w:rsidRPr="00A120C4" w:rsidTr="00AC25A6">
        <w:tc>
          <w:tcPr>
            <w:tcW w:w="4799"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FISCAL AGGREGATES</w:t>
            </w:r>
          </w:p>
        </w:tc>
        <w:tc>
          <w:tcPr>
            <w:tcW w:w="714" w:type="dxa"/>
            <w:gridSpan w:val="3"/>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3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4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r>
      <w:tr w:rsidR="00BB67AF" w:rsidRPr="00A120C4" w:rsidTr="00AC25A6">
        <w:tc>
          <w:tcPr>
            <w:tcW w:w="4799"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Net cash flows from operating activities </w:t>
            </w:r>
          </w:p>
        </w:tc>
        <w:tc>
          <w:tcPr>
            <w:tcW w:w="714" w:type="dxa"/>
            <w:gridSpan w:val="3"/>
            <w:tcBorders>
              <w:top w:val="nil"/>
              <w:left w:val="nil"/>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3 724</w:t>
            </w:r>
          </w:p>
        </w:tc>
        <w:tc>
          <w:tcPr>
            <w:tcW w:w="1034"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2 746</w:t>
            </w:r>
          </w:p>
        </w:tc>
        <w:tc>
          <w:tcPr>
            <w:tcW w:w="1025"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1 821</w:t>
            </w:r>
          </w:p>
        </w:tc>
        <w:tc>
          <w:tcPr>
            <w:tcW w:w="104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1 332</w:t>
            </w:r>
          </w:p>
        </w:tc>
      </w:tr>
      <w:tr w:rsidR="00BB67AF" w:rsidRPr="00A120C4" w:rsidTr="00AC25A6">
        <w:tc>
          <w:tcPr>
            <w:tcW w:w="4799" w:type="dxa"/>
            <w:tcBorders>
              <w:top w:val="nil"/>
              <w:left w:val="nil"/>
              <w:bottom w:val="single" w:sz="6" w:space="0" w:color="auto"/>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Net cash flows from investments in non</w:t>
            </w:r>
            <w:r w:rsidRPr="00A120C4">
              <w:rPr>
                <w:rFonts w:ascii="Calibri" w:eastAsiaTheme="minorEastAsia" w:hAnsi="Calibri" w:cs="Calibri"/>
                <w:color w:val="000000"/>
                <w:sz w:val="18"/>
                <w:szCs w:val="18"/>
                <w:lang w:eastAsia="en-AU"/>
              </w:rPr>
              <w:noBreakHyphen/>
              <w:t>financial assets</w:t>
            </w:r>
          </w:p>
        </w:tc>
        <w:tc>
          <w:tcPr>
            <w:tcW w:w="714" w:type="dxa"/>
            <w:gridSpan w:val="3"/>
            <w:tcBorders>
              <w:top w:val="nil"/>
              <w:left w:val="nil"/>
              <w:bottom w:val="single" w:sz="6" w:space="0" w:color="auto"/>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nil"/>
              <w:left w:val="nil"/>
              <w:bottom w:val="single" w:sz="6"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(3 046)</w:t>
            </w:r>
          </w:p>
        </w:tc>
        <w:tc>
          <w:tcPr>
            <w:tcW w:w="1034" w:type="dxa"/>
            <w:tcBorders>
              <w:top w:val="nil"/>
              <w:left w:val="nil"/>
              <w:bottom w:val="single" w:sz="6"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(2 989)</w:t>
            </w:r>
          </w:p>
        </w:tc>
        <w:tc>
          <w:tcPr>
            <w:tcW w:w="1025" w:type="dxa"/>
            <w:tcBorders>
              <w:top w:val="nil"/>
              <w:left w:val="nil"/>
              <w:bottom w:val="single" w:sz="6"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(1 964)</w:t>
            </w:r>
          </w:p>
        </w:tc>
        <w:tc>
          <w:tcPr>
            <w:tcW w:w="1042" w:type="dxa"/>
            <w:gridSpan w:val="2"/>
            <w:tcBorders>
              <w:top w:val="nil"/>
              <w:left w:val="nil"/>
              <w:bottom w:val="single" w:sz="6"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(1 996)</w:t>
            </w:r>
          </w:p>
        </w:tc>
      </w:tr>
      <w:tr w:rsidR="00BB67AF" w:rsidRPr="00A120C4" w:rsidTr="00AC25A6">
        <w:tc>
          <w:tcPr>
            <w:tcW w:w="4799" w:type="dxa"/>
            <w:tcBorders>
              <w:top w:val="single" w:sz="6" w:space="0" w:color="auto"/>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 xml:space="preserve">Cash surplus/(deficit) </w:t>
            </w:r>
          </w:p>
        </w:tc>
        <w:tc>
          <w:tcPr>
            <w:tcW w:w="714" w:type="dxa"/>
            <w:gridSpan w:val="3"/>
            <w:tcBorders>
              <w:top w:val="single" w:sz="6" w:space="0" w:color="auto"/>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center"/>
              <w:rPr>
                <w:rFonts w:ascii="Calibri" w:eastAsiaTheme="minorEastAsia" w:hAnsi="Calibri" w:cs="Calibri"/>
                <w:color w:val="000000"/>
                <w:sz w:val="18"/>
                <w:szCs w:val="18"/>
                <w:lang w:eastAsia="en-AU"/>
              </w:rPr>
            </w:pPr>
            <w:r w:rsidRPr="00A120C4">
              <w:rPr>
                <w:rFonts w:ascii="Calibri" w:eastAsiaTheme="minorEastAsia" w:hAnsi="Calibri" w:cs="Calibri"/>
                <w:color w:val="000000"/>
                <w:sz w:val="18"/>
                <w:szCs w:val="18"/>
                <w:lang w:eastAsia="en-AU"/>
              </w:rPr>
              <w:t xml:space="preserve"> </w:t>
            </w:r>
          </w:p>
        </w:tc>
        <w:tc>
          <w:tcPr>
            <w:tcW w:w="1025" w:type="dxa"/>
            <w:tcBorders>
              <w:top w:val="single" w:sz="6" w:space="0" w:color="auto"/>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678</w:t>
            </w:r>
          </w:p>
        </w:tc>
        <w:tc>
          <w:tcPr>
            <w:tcW w:w="1034" w:type="dxa"/>
            <w:tcBorders>
              <w:top w:val="single" w:sz="6" w:space="0" w:color="auto"/>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(242)</w:t>
            </w:r>
          </w:p>
        </w:tc>
        <w:tc>
          <w:tcPr>
            <w:tcW w:w="1025" w:type="dxa"/>
            <w:tcBorders>
              <w:top w:val="single" w:sz="6" w:space="0" w:color="auto"/>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(142)</w:t>
            </w:r>
          </w:p>
        </w:tc>
        <w:tc>
          <w:tcPr>
            <w:tcW w:w="1042" w:type="dxa"/>
            <w:gridSpan w:val="2"/>
            <w:tcBorders>
              <w:top w:val="single" w:sz="6" w:space="0" w:color="auto"/>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18"/>
                <w:szCs w:val="18"/>
                <w:lang w:eastAsia="en-AU"/>
              </w:rPr>
            </w:pPr>
            <w:r w:rsidRPr="00A120C4">
              <w:rPr>
                <w:rFonts w:ascii="Calibri" w:eastAsiaTheme="minorEastAsia" w:hAnsi="Calibri" w:cs="Calibri"/>
                <w:b/>
                <w:bCs/>
                <w:color w:val="000000"/>
                <w:sz w:val="18"/>
                <w:szCs w:val="18"/>
                <w:lang w:eastAsia="en-AU"/>
              </w:rPr>
              <w:t>(663)</w:t>
            </w:r>
          </w:p>
        </w:tc>
      </w:tr>
    </w:tbl>
    <w:p w:rsidR="00BB67AF" w:rsidRDefault="00BB67AF" w:rsidP="003E6750">
      <w:pPr>
        <w:pStyle w:val="Source"/>
      </w:pPr>
      <w:r>
        <w:t>The accompanying notes form part of these financial statements.</w:t>
      </w:r>
    </w:p>
    <w:p w:rsidR="00BB67AF" w:rsidRDefault="00BB67AF" w:rsidP="003E6750">
      <w:pPr>
        <w:pStyle w:val="Notes"/>
      </w:pPr>
      <w:r>
        <w:t>Notes:</w:t>
      </w:r>
    </w:p>
    <w:p w:rsidR="00BB67AF" w:rsidRDefault="00BB67AF" w:rsidP="003E6750">
      <w:pPr>
        <w:pStyle w:val="Notes"/>
      </w:pPr>
      <w:r>
        <w:t>(a)</w:t>
      </w:r>
      <w:r>
        <w:tab/>
        <w:t xml:space="preserve">Certain December 2014 comparative figures have been restated to reflect more current information, mainly including adjustments outlined in Note 37 of the </w:t>
      </w:r>
      <w:r>
        <w:rPr>
          <w:i w:val="0"/>
        </w:rPr>
        <w:t>2014</w:t>
      </w:r>
      <w:r>
        <w:rPr>
          <w:i w:val="0"/>
        </w:rPr>
        <w:noBreakHyphen/>
        <w:t>15 Financial Report</w:t>
      </w:r>
      <w:r>
        <w:t>.</w:t>
      </w:r>
    </w:p>
    <w:p w:rsidR="00BB67AF" w:rsidRDefault="00BB67AF" w:rsidP="003E6750">
      <w:pPr>
        <w:pStyle w:val="Notes"/>
      </w:pPr>
      <w:r>
        <w:t>(b)</w:t>
      </w:r>
      <w:r>
        <w:tab/>
        <w:t>These items are inclusive of goods and services tax.</w:t>
      </w:r>
    </w:p>
    <w:p w:rsidR="00BB67AF" w:rsidRDefault="00BB67AF" w:rsidP="003E6750">
      <w:pPr>
        <w:pStyle w:val="Notes"/>
      </w:pPr>
      <w:r>
        <w:t>(c)</w:t>
      </w:r>
      <w:r>
        <w:tab/>
        <w:t>In accordance with AASB 107, Treasury Corporation of Victoria is not required to gross up their cash flow information for whole of government consolidation purposes. The net cash movements for Treasury Corporation of Victoria have been added to cash inflows or outflows for both six months ended 31 December 2015 and 31 December 2014.</w:t>
      </w:r>
    </w:p>
    <w:p w:rsidR="00BB67AF" w:rsidRDefault="00BB67AF" w:rsidP="003E6750">
      <w:pPr>
        <w:pStyle w:val="Notes"/>
      </w:pPr>
    </w:p>
    <w:p w:rsidR="00BB67AF" w:rsidRDefault="00BB67AF" w:rsidP="003E6750">
      <w:pPr>
        <w:sectPr w:rsidR="00BB67AF" w:rsidSect="00FA2033">
          <w:headerReference w:type="even" r:id="rId22"/>
          <w:headerReference w:type="default" r:id="rId23"/>
          <w:footerReference w:type="even" r:id="rId24"/>
          <w:footerReference w:type="default" r:id="rId25"/>
          <w:headerReference w:type="first" r:id="rId26"/>
          <w:footerReference w:type="first" r:id="rId27"/>
          <w:type w:val="oddPage"/>
          <w:pgSz w:w="11906" w:h="16838" w:code="9"/>
          <w:pgMar w:top="1152" w:right="1152" w:bottom="1152" w:left="1152" w:header="720" w:footer="720" w:gutter="0"/>
          <w:cols w:space="708"/>
          <w:docGrid w:linePitch="360"/>
        </w:sectPr>
      </w:pPr>
    </w:p>
    <w:p w:rsidR="00BB67AF" w:rsidRDefault="00BB67AF" w:rsidP="003E6750">
      <w:pPr>
        <w:pStyle w:val="Tableheading"/>
      </w:pPr>
      <w:r w:rsidRPr="006B7532">
        <w:lastRenderedPageBreak/>
        <w:t>Statement of changes in equity for the six months ended 31 December</w:t>
      </w:r>
    </w:p>
    <w:p w:rsidR="00BB67AF" w:rsidRPr="006E014F" w:rsidRDefault="00BB67AF" w:rsidP="003E6750">
      <w:pPr>
        <w:pStyle w:val="million"/>
        <w:rPr>
          <w:b/>
          <w:bCs/>
          <w:lang w:val="en-US"/>
        </w:rPr>
      </w:pPr>
      <w:r>
        <w:t>($ million)</w:t>
      </w:r>
    </w:p>
    <w:tbl>
      <w:tblPr>
        <w:tblW w:w="14628" w:type="dxa"/>
        <w:tblInd w:w="45" w:type="dxa"/>
        <w:tblLayout w:type="fixed"/>
        <w:tblCellMar>
          <w:left w:w="45" w:type="dxa"/>
          <w:right w:w="45" w:type="dxa"/>
        </w:tblCellMar>
        <w:tblLook w:val="0000" w:firstRow="0" w:lastRow="0" w:firstColumn="0" w:lastColumn="0" w:noHBand="0" w:noVBand="0"/>
      </w:tblPr>
      <w:tblGrid>
        <w:gridCol w:w="6379"/>
        <w:gridCol w:w="2268"/>
        <w:gridCol w:w="1701"/>
        <w:gridCol w:w="2268"/>
        <w:gridCol w:w="1071"/>
        <w:gridCol w:w="941"/>
      </w:tblGrid>
      <w:tr w:rsidR="00B742C7" w:rsidRPr="00A120C4" w:rsidTr="00B742C7">
        <w:trPr>
          <w:trHeight w:val="74"/>
          <w:tblHeader/>
        </w:trPr>
        <w:tc>
          <w:tcPr>
            <w:tcW w:w="6379" w:type="dxa"/>
            <w:tcBorders>
              <w:top w:val="nil"/>
              <w:left w:val="nil"/>
              <w:right w:val="nil"/>
            </w:tcBorders>
            <w:shd w:val="solid" w:color="000000" w:fill="auto"/>
            <w:vAlign w:val="bottom"/>
          </w:tcPr>
          <w:p w:rsidR="00B742C7" w:rsidRPr="00A120C4" w:rsidRDefault="00B742C7" w:rsidP="00B742C7">
            <w:pPr>
              <w:autoSpaceDE w:val="0"/>
              <w:autoSpaceDN w:val="0"/>
              <w:adjustRightInd w:val="0"/>
              <w:spacing w:after="0"/>
              <w:rPr>
                <w:rFonts w:ascii="Calibri" w:eastAsiaTheme="minorEastAsia" w:hAnsi="Calibri" w:cs="Calibri"/>
                <w:i/>
                <w:iCs/>
                <w:color w:val="FFFFFF"/>
                <w:sz w:val="22"/>
                <w:szCs w:val="22"/>
                <w:lang w:eastAsia="en-AU"/>
              </w:rPr>
            </w:pPr>
            <w:r w:rsidRPr="00A120C4">
              <w:rPr>
                <w:rFonts w:ascii="Calibri" w:eastAsiaTheme="minorEastAsia" w:hAnsi="Calibri" w:cs="Calibri"/>
                <w:i/>
                <w:iCs/>
                <w:color w:val="FFFFFF"/>
                <w:sz w:val="22"/>
                <w:szCs w:val="22"/>
                <w:lang w:eastAsia="en-AU"/>
              </w:rPr>
              <w:t>State of Victoria</w:t>
            </w:r>
          </w:p>
        </w:tc>
        <w:tc>
          <w:tcPr>
            <w:tcW w:w="2268" w:type="dxa"/>
            <w:tcBorders>
              <w:top w:val="nil"/>
              <w:left w:val="nil"/>
              <w:right w:val="nil"/>
            </w:tcBorders>
            <w:shd w:val="solid" w:color="000000" w:fill="auto"/>
            <w:vAlign w:val="bottom"/>
          </w:tcPr>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22"/>
                <w:szCs w:val="22"/>
                <w:vertAlign w:val="superscript"/>
                <w:lang w:eastAsia="en-AU"/>
              </w:rPr>
            </w:pPr>
            <w:r w:rsidRPr="00A120C4">
              <w:rPr>
                <w:rFonts w:ascii="Calibri" w:eastAsiaTheme="minorEastAsia" w:hAnsi="Calibri" w:cs="Calibri"/>
                <w:i/>
                <w:iCs/>
                <w:color w:val="FFFFFF"/>
                <w:sz w:val="22"/>
                <w:szCs w:val="22"/>
                <w:lang w:eastAsia="en-AU"/>
              </w:rPr>
              <w:t xml:space="preserve">Accumulated surplus/(deficit) </w:t>
            </w:r>
            <w:r w:rsidRPr="00A120C4">
              <w:rPr>
                <w:rFonts w:ascii="Calibri" w:eastAsiaTheme="minorEastAsia" w:hAnsi="Calibri" w:cs="Calibri"/>
                <w:i/>
                <w:iCs/>
                <w:color w:val="FFFFFF"/>
                <w:sz w:val="22"/>
                <w:szCs w:val="22"/>
                <w:vertAlign w:val="superscript"/>
                <w:lang w:eastAsia="en-AU"/>
              </w:rPr>
              <w:t>(a)</w:t>
            </w:r>
          </w:p>
        </w:tc>
        <w:tc>
          <w:tcPr>
            <w:tcW w:w="1701" w:type="dxa"/>
            <w:tcBorders>
              <w:top w:val="nil"/>
              <w:left w:val="nil"/>
              <w:right w:val="nil"/>
            </w:tcBorders>
            <w:shd w:val="solid" w:color="000000" w:fill="auto"/>
            <w:vAlign w:val="bottom"/>
          </w:tcPr>
          <w:p w:rsidR="00B742C7" w:rsidRPr="00A120C4" w:rsidRDefault="00B742C7" w:rsidP="00F7426B">
            <w:pPr>
              <w:autoSpaceDE w:val="0"/>
              <w:autoSpaceDN w:val="0"/>
              <w:adjustRightInd w:val="0"/>
              <w:spacing w:after="0"/>
              <w:jc w:val="right"/>
              <w:rPr>
                <w:rFonts w:ascii="Calibri" w:eastAsiaTheme="minorEastAsia" w:hAnsi="Calibri" w:cs="Calibri"/>
                <w:i/>
                <w:iCs/>
                <w:color w:val="FFFFFF"/>
                <w:sz w:val="22"/>
                <w:szCs w:val="22"/>
                <w:lang w:eastAsia="en-AU"/>
              </w:rPr>
            </w:pPr>
            <w:r w:rsidRPr="00A120C4">
              <w:rPr>
                <w:rFonts w:ascii="Calibri" w:eastAsiaTheme="minorEastAsia" w:hAnsi="Calibri" w:cs="Calibri"/>
                <w:i/>
                <w:iCs/>
                <w:color w:val="FFFFFF"/>
                <w:sz w:val="22"/>
                <w:szCs w:val="22"/>
                <w:lang w:eastAsia="en-AU"/>
              </w:rPr>
              <w:t xml:space="preserve">Non-controlling </w:t>
            </w:r>
            <w:r w:rsidRPr="00A120C4">
              <w:rPr>
                <w:rFonts w:ascii="Calibri" w:eastAsiaTheme="minorEastAsia" w:hAnsi="Calibri" w:cs="Calibri"/>
                <w:i/>
                <w:iCs/>
                <w:color w:val="FFFFFF"/>
                <w:sz w:val="22"/>
                <w:szCs w:val="22"/>
                <w:lang w:eastAsia="en-AU"/>
              </w:rPr>
              <w:br/>
            </w:r>
            <w:r w:rsidR="00F7426B" w:rsidRPr="00A120C4">
              <w:rPr>
                <w:rFonts w:ascii="Calibri" w:eastAsiaTheme="minorEastAsia" w:hAnsi="Calibri" w:cs="Calibri"/>
                <w:i/>
                <w:iCs/>
                <w:color w:val="FFFFFF"/>
                <w:sz w:val="22"/>
                <w:szCs w:val="22"/>
                <w:lang w:eastAsia="en-AU"/>
              </w:rPr>
              <w:t>i</w:t>
            </w:r>
            <w:r w:rsidRPr="00A120C4">
              <w:rPr>
                <w:rFonts w:ascii="Calibri" w:eastAsiaTheme="minorEastAsia" w:hAnsi="Calibri" w:cs="Calibri"/>
                <w:i/>
                <w:iCs/>
                <w:color w:val="FFFFFF"/>
                <w:sz w:val="22"/>
                <w:szCs w:val="22"/>
                <w:lang w:eastAsia="en-AU"/>
              </w:rPr>
              <w:t>nterest</w:t>
            </w:r>
          </w:p>
        </w:tc>
        <w:tc>
          <w:tcPr>
            <w:tcW w:w="2268" w:type="dxa"/>
            <w:tcBorders>
              <w:top w:val="nil"/>
              <w:left w:val="nil"/>
              <w:right w:val="nil"/>
            </w:tcBorders>
            <w:shd w:val="solid" w:color="000000" w:fill="auto"/>
            <w:vAlign w:val="bottom"/>
          </w:tcPr>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22"/>
                <w:szCs w:val="22"/>
                <w:vertAlign w:val="superscript"/>
                <w:lang w:eastAsia="en-AU"/>
              </w:rPr>
            </w:pPr>
            <w:r w:rsidRPr="00A120C4">
              <w:rPr>
                <w:rFonts w:ascii="Calibri" w:eastAsiaTheme="minorEastAsia" w:hAnsi="Calibri" w:cs="Calibri"/>
                <w:i/>
                <w:iCs/>
                <w:color w:val="FFFFFF"/>
                <w:sz w:val="22"/>
                <w:szCs w:val="22"/>
                <w:lang w:eastAsia="en-AU"/>
              </w:rPr>
              <w:t xml:space="preserve">Non-financial assets revaluation surplus </w:t>
            </w:r>
            <w:r w:rsidRPr="00A120C4">
              <w:rPr>
                <w:rFonts w:ascii="Calibri" w:eastAsiaTheme="minorEastAsia" w:hAnsi="Calibri" w:cs="Calibri"/>
                <w:i/>
                <w:iCs/>
                <w:color w:val="FFFFFF"/>
                <w:sz w:val="22"/>
                <w:szCs w:val="22"/>
                <w:vertAlign w:val="superscript"/>
                <w:lang w:eastAsia="en-AU"/>
              </w:rPr>
              <w:t>(a)</w:t>
            </w:r>
          </w:p>
        </w:tc>
        <w:tc>
          <w:tcPr>
            <w:tcW w:w="1071" w:type="dxa"/>
            <w:tcBorders>
              <w:top w:val="nil"/>
              <w:left w:val="nil"/>
              <w:right w:val="nil"/>
            </w:tcBorders>
            <w:shd w:val="solid" w:color="000000" w:fill="auto"/>
            <w:vAlign w:val="bottom"/>
          </w:tcPr>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A120C4">
              <w:rPr>
                <w:rFonts w:ascii="Calibri" w:eastAsiaTheme="minorEastAsia" w:hAnsi="Calibri" w:cs="Calibri"/>
                <w:i/>
                <w:iCs/>
                <w:color w:val="FFFFFF"/>
                <w:sz w:val="22"/>
                <w:szCs w:val="22"/>
                <w:lang w:eastAsia="en-AU"/>
              </w:rPr>
              <w:t xml:space="preserve">Other </w:t>
            </w:r>
            <w:r w:rsidRPr="00A120C4">
              <w:rPr>
                <w:rFonts w:ascii="Calibri" w:eastAsiaTheme="minorEastAsia" w:hAnsi="Calibri" w:cs="Calibri"/>
                <w:i/>
                <w:iCs/>
                <w:color w:val="FFFFFF"/>
                <w:sz w:val="22"/>
                <w:szCs w:val="22"/>
                <w:lang w:eastAsia="en-AU"/>
              </w:rPr>
              <w:br/>
              <w:t>reserves</w:t>
            </w:r>
          </w:p>
        </w:tc>
        <w:tc>
          <w:tcPr>
            <w:tcW w:w="941" w:type="dxa"/>
            <w:tcBorders>
              <w:top w:val="nil"/>
              <w:left w:val="nil"/>
              <w:right w:val="nil"/>
            </w:tcBorders>
            <w:shd w:val="solid" w:color="000000" w:fill="auto"/>
            <w:vAlign w:val="bottom"/>
          </w:tcPr>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A120C4">
              <w:rPr>
                <w:rFonts w:ascii="Calibri" w:eastAsiaTheme="minorEastAsia" w:hAnsi="Calibri" w:cs="Calibri"/>
                <w:i/>
                <w:iCs/>
                <w:color w:val="FFFFFF"/>
                <w:sz w:val="22"/>
                <w:szCs w:val="22"/>
                <w:lang w:eastAsia="en-AU"/>
              </w:rPr>
              <w:t xml:space="preserve">Total </w:t>
            </w:r>
            <w:r w:rsidRPr="00A120C4">
              <w:rPr>
                <w:rFonts w:ascii="Calibri" w:eastAsiaTheme="minorEastAsia" w:hAnsi="Calibri" w:cs="Calibri"/>
                <w:i/>
                <w:iCs/>
                <w:color w:val="FFFFFF"/>
                <w:sz w:val="22"/>
                <w:szCs w:val="22"/>
                <w:vertAlign w:val="superscript"/>
                <w:lang w:eastAsia="en-AU"/>
              </w:rPr>
              <w:t>(a)</w:t>
            </w:r>
          </w:p>
        </w:tc>
      </w:tr>
      <w:tr w:rsidR="00B742C7" w:rsidRPr="00A120C4" w:rsidTr="00897890">
        <w:tc>
          <w:tcPr>
            <w:tcW w:w="6379" w:type="dxa"/>
            <w:tcBorders>
              <w:top w:val="nil"/>
              <w:left w:val="nil"/>
              <w:right w:val="nil"/>
            </w:tcBorders>
            <w:shd w:val="clear" w:color="auto" w:fill="FFFFFF"/>
          </w:tcPr>
          <w:p w:rsidR="00B742C7" w:rsidRPr="00A120C4" w:rsidRDefault="00B742C7" w:rsidP="00B742C7">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2015</w:t>
            </w:r>
          </w:p>
        </w:tc>
        <w:tc>
          <w:tcPr>
            <w:tcW w:w="2268"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 xml:space="preserve"> </w:t>
            </w:r>
          </w:p>
        </w:tc>
        <w:tc>
          <w:tcPr>
            <w:tcW w:w="170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 xml:space="preserve"> </w:t>
            </w:r>
          </w:p>
        </w:tc>
        <w:tc>
          <w:tcPr>
            <w:tcW w:w="2268"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center"/>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 xml:space="preserve"> </w:t>
            </w:r>
          </w:p>
        </w:tc>
        <w:tc>
          <w:tcPr>
            <w:tcW w:w="107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 xml:space="preserve"> </w:t>
            </w:r>
          </w:p>
        </w:tc>
        <w:tc>
          <w:tcPr>
            <w:tcW w:w="94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 xml:space="preserve"> </w:t>
            </w:r>
          </w:p>
        </w:tc>
      </w:tr>
      <w:tr w:rsidR="00B742C7" w:rsidRPr="00A120C4" w:rsidTr="00897890">
        <w:tc>
          <w:tcPr>
            <w:tcW w:w="6379" w:type="dxa"/>
            <w:tcBorders>
              <w:top w:val="nil"/>
              <w:left w:val="nil"/>
              <w:right w:val="nil"/>
            </w:tcBorders>
            <w:shd w:val="clear" w:color="auto" w:fill="FFFFFF"/>
          </w:tcPr>
          <w:p w:rsidR="00B742C7" w:rsidRPr="00A120C4" w:rsidRDefault="00B742C7" w:rsidP="00B742C7">
            <w:pPr>
              <w:autoSpaceDE w:val="0"/>
              <w:autoSpaceDN w:val="0"/>
              <w:adjustRightInd w:val="0"/>
              <w:spacing w:after="0"/>
              <w:ind w:left="227" w:hanging="227"/>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Balance at 1 July 2015</w:t>
            </w:r>
          </w:p>
        </w:tc>
        <w:tc>
          <w:tcPr>
            <w:tcW w:w="2268"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61 204</w:t>
            </w:r>
          </w:p>
        </w:tc>
        <w:tc>
          <w:tcPr>
            <w:tcW w:w="170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50</w:t>
            </w:r>
          </w:p>
        </w:tc>
        <w:tc>
          <w:tcPr>
            <w:tcW w:w="2268"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77 429</w:t>
            </w:r>
          </w:p>
        </w:tc>
        <w:tc>
          <w:tcPr>
            <w:tcW w:w="107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1 201</w:t>
            </w:r>
          </w:p>
        </w:tc>
        <w:tc>
          <w:tcPr>
            <w:tcW w:w="94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139 885</w:t>
            </w:r>
          </w:p>
        </w:tc>
      </w:tr>
      <w:tr w:rsidR="00B742C7" w:rsidRPr="00A120C4" w:rsidTr="00897890">
        <w:tc>
          <w:tcPr>
            <w:tcW w:w="6379" w:type="dxa"/>
            <w:tcBorders>
              <w:top w:val="nil"/>
              <w:left w:val="nil"/>
              <w:right w:val="nil"/>
            </w:tcBorders>
            <w:shd w:val="clear" w:color="auto" w:fill="FFFFFF"/>
          </w:tcPr>
          <w:p w:rsidR="00B742C7" w:rsidRPr="00A120C4" w:rsidRDefault="00B742C7" w:rsidP="00B742C7">
            <w:pPr>
              <w:autoSpaceDE w:val="0"/>
              <w:autoSpaceDN w:val="0"/>
              <w:adjustRightInd w:val="0"/>
              <w:spacing w:after="0"/>
              <w:ind w:left="227" w:hanging="227"/>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Net result for the six months</w:t>
            </w:r>
          </w:p>
        </w:tc>
        <w:tc>
          <w:tcPr>
            <w:tcW w:w="2268"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542</w:t>
            </w:r>
          </w:p>
        </w:tc>
        <w:tc>
          <w:tcPr>
            <w:tcW w:w="170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w:t>
            </w:r>
          </w:p>
        </w:tc>
        <w:tc>
          <w:tcPr>
            <w:tcW w:w="2268"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w:t>
            </w:r>
          </w:p>
        </w:tc>
        <w:tc>
          <w:tcPr>
            <w:tcW w:w="107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w:t>
            </w:r>
          </w:p>
        </w:tc>
        <w:tc>
          <w:tcPr>
            <w:tcW w:w="94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542</w:t>
            </w:r>
          </w:p>
        </w:tc>
      </w:tr>
      <w:tr w:rsidR="00B742C7" w:rsidRPr="00A120C4" w:rsidTr="00897890">
        <w:tc>
          <w:tcPr>
            <w:tcW w:w="6379" w:type="dxa"/>
            <w:tcBorders>
              <w:top w:val="nil"/>
              <w:left w:val="nil"/>
              <w:right w:val="nil"/>
            </w:tcBorders>
            <w:shd w:val="clear" w:color="auto" w:fill="FFFFFF"/>
          </w:tcPr>
          <w:p w:rsidR="00B742C7" w:rsidRPr="00A120C4" w:rsidRDefault="00B742C7" w:rsidP="00B742C7">
            <w:pPr>
              <w:autoSpaceDE w:val="0"/>
              <w:autoSpaceDN w:val="0"/>
              <w:adjustRightInd w:val="0"/>
              <w:spacing w:after="0"/>
              <w:ind w:left="227" w:hanging="227"/>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Other comprehensive income for the year</w:t>
            </w:r>
          </w:p>
        </w:tc>
        <w:tc>
          <w:tcPr>
            <w:tcW w:w="2268"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(616)</w:t>
            </w:r>
          </w:p>
        </w:tc>
        <w:tc>
          <w:tcPr>
            <w:tcW w:w="170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w:t>
            </w:r>
          </w:p>
        </w:tc>
        <w:tc>
          <w:tcPr>
            <w:tcW w:w="2268"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(82)</w:t>
            </w:r>
          </w:p>
        </w:tc>
        <w:tc>
          <w:tcPr>
            <w:tcW w:w="107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(65)</w:t>
            </w:r>
          </w:p>
        </w:tc>
        <w:tc>
          <w:tcPr>
            <w:tcW w:w="94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(763)</w:t>
            </w:r>
          </w:p>
        </w:tc>
      </w:tr>
      <w:tr w:rsidR="00B742C7" w:rsidRPr="00A120C4" w:rsidTr="00897890">
        <w:tc>
          <w:tcPr>
            <w:tcW w:w="6379" w:type="dxa"/>
            <w:tcBorders>
              <w:top w:val="nil"/>
              <w:left w:val="nil"/>
              <w:right w:val="nil"/>
            </w:tcBorders>
            <w:shd w:val="clear" w:color="auto" w:fill="FFFFFF"/>
          </w:tcPr>
          <w:p w:rsidR="00B742C7" w:rsidRPr="00A120C4" w:rsidRDefault="00B742C7" w:rsidP="00B742C7">
            <w:pPr>
              <w:autoSpaceDE w:val="0"/>
              <w:autoSpaceDN w:val="0"/>
              <w:adjustRightInd w:val="0"/>
              <w:spacing w:after="0"/>
              <w:ind w:left="227" w:hanging="227"/>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Transfer to accumulated surplus</w:t>
            </w:r>
          </w:p>
        </w:tc>
        <w:tc>
          <w:tcPr>
            <w:tcW w:w="2268"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(22)</w:t>
            </w:r>
          </w:p>
        </w:tc>
        <w:tc>
          <w:tcPr>
            <w:tcW w:w="170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w:t>
            </w:r>
          </w:p>
        </w:tc>
        <w:tc>
          <w:tcPr>
            <w:tcW w:w="2268"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22</w:t>
            </w:r>
          </w:p>
        </w:tc>
        <w:tc>
          <w:tcPr>
            <w:tcW w:w="107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w:t>
            </w:r>
          </w:p>
        </w:tc>
        <w:tc>
          <w:tcPr>
            <w:tcW w:w="94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w:t>
            </w:r>
          </w:p>
        </w:tc>
      </w:tr>
      <w:tr w:rsidR="00B742C7" w:rsidRPr="00A120C4" w:rsidTr="00897890">
        <w:tc>
          <w:tcPr>
            <w:tcW w:w="6379" w:type="dxa"/>
            <w:tcBorders>
              <w:top w:val="nil"/>
              <w:left w:val="nil"/>
              <w:bottom w:val="single" w:sz="6" w:space="0" w:color="000000"/>
              <w:right w:val="nil"/>
            </w:tcBorders>
            <w:shd w:val="clear" w:color="auto" w:fill="FFFFFF"/>
          </w:tcPr>
          <w:p w:rsidR="00B742C7" w:rsidRPr="00A120C4" w:rsidRDefault="00B742C7" w:rsidP="00B742C7">
            <w:pPr>
              <w:autoSpaceDE w:val="0"/>
              <w:autoSpaceDN w:val="0"/>
              <w:adjustRightInd w:val="0"/>
              <w:spacing w:after="0"/>
              <w:ind w:left="227" w:hanging="227"/>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Transactions with owners in their capacity as owners</w:t>
            </w:r>
          </w:p>
        </w:tc>
        <w:tc>
          <w:tcPr>
            <w:tcW w:w="2268" w:type="dxa"/>
            <w:tcBorders>
              <w:top w:val="nil"/>
              <w:left w:val="nil"/>
              <w:bottom w:val="single" w:sz="6"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 xml:space="preserve">.. </w:t>
            </w:r>
          </w:p>
        </w:tc>
        <w:tc>
          <w:tcPr>
            <w:tcW w:w="1701" w:type="dxa"/>
            <w:tcBorders>
              <w:top w:val="nil"/>
              <w:left w:val="nil"/>
              <w:bottom w:val="single" w:sz="6"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 xml:space="preserve">.. </w:t>
            </w:r>
          </w:p>
        </w:tc>
        <w:tc>
          <w:tcPr>
            <w:tcW w:w="2268" w:type="dxa"/>
            <w:tcBorders>
              <w:top w:val="nil"/>
              <w:left w:val="nil"/>
              <w:bottom w:val="single" w:sz="6"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 xml:space="preserve">.. </w:t>
            </w:r>
          </w:p>
        </w:tc>
        <w:tc>
          <w:tcPr>
            <w:tcW w:w="1071" w:type="dxa"/>
            <w:tcBorders>
              <w:top w:val="nil"/>
              <w:left w:val="nil"/>
              <w:bottom w:val="single" w:sz="6"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 xml:space="preserve">.. </w:t>
            </w:r>
          </w:p>
        </w:tc>
        <w:tc>
          <w:tcPr>
            <w:tcW w:w="941" w:type="dxa"/>
            <w:tcBorders>
              <w:top w:val="nil"/>
              <w:left w:val="nil"/>
              <w:bottom w:val="single" w:sz="6"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 xml:space="preserve">.. </w:t>
            </w:r>
          </w:p>
        </w:tc>
      </w:tr>
      <w:tr w:rsidR="00B742C7" w:rsidRPr="00A120C4" w:rsidTr="00897890">
        <w:tc>
          <w:tcPr>
            <w:tcW w:w="6379" w:type="dxa"/>
            <w:tcBorders>
              <w:top w:val="single" w:sz="6" w:space="0" w:color="000000"/>
              <w:left w:val="nil"/>
              <w:bottom w:val="single" w:sz="12" w:space="0" w:color="000000"/>
              <w:right w:val="nil"/>
            </w:tcBorders>
            <w:shd w:val="clear" w:color="auto" w:fill="FFFFFF"/>
          </w:tcPr>
          <w:p w:rsidR="00B742C7" w:rsidRPr="00A120C4" w:rsidRDefault="00B742C7" w:rsidP="00B742C7">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Total equity as at 31 December 2015</w:t>
            </w:r>
          </w:p>
        </w:tc>
        <w:tc>
          <w:tcPr>
            <w:tcW w:w="2268" w:type="dxa"/>
            <w:tcBorders>
              <w:top w:val="single" w:sz="6" w:space="0" w:color="000000"/>
              <w:left w:val="nil"/>
              <w:bottom w:val="single" w:sz="12"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61 108</w:t>
            </w:r>
          </w:p>
        </w:tc>
        <w:tc>
          <w:tcPr>
            <w:tcW w:w="1701" w:type="dxa"/>
            <w:tcBorders>
              <w:top w:val="single" w:sz="6" w:space="0" w:color="000000"/>
              <w:left w:val="nil"/>
              <w:bottom w:val="single" w:sz="12"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50</w:t>
            </w:r>
          </w:p>
        </w:tc>
        <w:tc>
          <w:tcPr>
            <w:tcW w:w="2268" w:type="dxa"/>
            <w:tcBorders>
              <w:top w:val="single" w:sz="6" w:space="0" w:color="000000"/>
              <w:left w:val="nil"/>
              <w:bottom w:val="single" w:sz="12"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77 370</w:t>
            </w:r>
          </w:p>
        </w:tc>
        <w:tc>
          <w:tcPr>
            <w:tcW w:w="1071" w:type="dxa"/>
            <w:tcBorders>
              <w:top w:val="single" w:sz="6" w:space="0" w:color="000000"/>
              <w:left w:val="nil"/>
              <w:bottom w:val="single" w:sz="12"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1 135</w:t>
            </w:r>
          </w:p>
        </w:tc>
        <w:tc>
          <w:tcPr>
            <w:tcW w:w="941" w:type="dxa"/>
            <w:tcBorders>
              <w:top w:val="single" w:sz="6" w:space="0" w:color="000000"/>
              <w:left w:val="nil"/>
              <w:bottom w:val="single" w:sz="12"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139 664</w:t>
            </w:r>
          </w:p>
        </w:tc>
      </w:tr>
      <w:tr w:rsidR="00B742C7" w:rsidRPr="00A120C4" w:rsidTr="00897890">
        <w:tc>
          <w:tcPr>
            <w:tcW w:w="6379" w:type="dxa"/>
            <w:tcBorders>
              <w:top w:val="single" w:sz="12" w:space="0" w:color="000000"/>
              <w:left w:val="nil"/>
              <w:right w:val="nil"/>
            </w:tcBorders>
            <w:shd w:val="clear" w:color="auto" w:fill="FFFFFF"/>
          </w:tcPr>
          <w:p w:rsidR="00B742C7" w:rsidRPr="00A120C4" w:rsidRDefault="00B742C7" w:rsidP="00B742C7">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2014</w:t>
            </w:r>
          </w:p>
        </w:tc>
        <w:tc>
          <w:tcPr>
            <w:tcW w:w="2268" w:type="dxa"/>
            <w:tcBorders>
              <w:top w:val="single" w:sz="12" w:space="0" w:color="000000"/>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 xml:space="preserve"> </w:t>
            </w:r>
          </w:p>
        </w:tc>
        <w:tc>
          <w:tcPr>
            <w:tcW w:w="1701" w:type="dxa"/>
            <w:tcBorders>
              <w:top w:val="single" w:sz="12" w:space="0" w:color="000000"/>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 xml:space="preserve"> </w:t>
            </w:r>
          </w:p>
        </w:tc>
        <w:tc>
          <w:tcPr>
            <w:tcW w:w="2268" w:type="dxa"/>
            <w:tcBorders>
              <w:top w:val="single" w:sz="12" w:space="0" w:color="000000"/>
              <w:left w:val="nil"/>
              <w:right w:val="nil"/>
            </w:tcBorders>
            <w:shd w:val="clear" w:color="auto" w:fill="FFFFFF"/>
          </w:tcPr>
          <w:p w:rsidR="00B742C7" w:rsidRPr="00A120C4" w:rsidRDefault="00B742C7" w:rsidP="003E6750">
            <w:pPr>
              <w:autoSpaceDE w:val="0"/>
              <w:autoSpaceDN w:val="0"/>
              <w:adjustRightInd w:val="0"/>
              <w:spacing w:after="0"/>
              <w:jc w:val="center"/>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 xml:space="preserve"> </w:t>
            </w:r>
          </w:p>
        </w:tc>
        <w:tc>
          <w:tcPr>
            <w:tcW w:w="1071" w:type="dxa"/>
            <w:tcBorders>
              <w:top w:val="single" w:sz="12" w:space="0" w:color="000000"/>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 xml:space="preserve"> </w:t>
            </w:r>
          </w:p>
        </w:tc>
        <w:tc>
          <w:tcPr>
            <w:tcW w:w="941" w:type="dxa"/>
            <w:tcBorders>
              <w:top w:val="single" w:sz="12" w:space="0" w:color="000000"/>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 xml:space="preserve"> </w:t>
            </w:r>
          </w:p>
        </w:tc>
      </w:tr>
      <w:tr w:rsidR="00B742C7" w:rsidRPr="00A120C4" w:rsidTr="00897890">
        <w:tc>
          <w:tcPr>
            <w:tcW w:w="6379" w:type="dxa"/>
            <w:tcBorders>
              <w:top w:val="nil"/>
              <w:left w:val="nil"/>
              <w:right w:val="nil"/>
            </w:tcBorders>
            <w:shd w:val="clear" w:color="auto" w:fill="FFFFFF"/>
          </w:tcPr>
          <w:p w:rsidR="00B742C7" w:rsidRPr="00A120C4" w:rsidRDefault="00B742C7" w:rsidP="00B742C7">
            <w:pPr>
              <w:autoSpaceDE w:val="0"/>
              <w:autoSpaceDN w:val="0"/>
              <w:adjustRightInd w:val="0"/>
              <w:spacing w:after="0"/>
              <w:ind w:left="227" w:hanging="227"/>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Balance at 1 July 2014</w:t>
            </w:r>
          </w:p>
        </w:tc>
        <w:tc>
          <w:tcPr>
            <w:tcW w:w="2268"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45 436</w:t>
            </w:r>
          </w:p>
        </w:tc>
        <w:tc>
          <w:tcPr>
            <w:tcW w:w="170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50</w:t>
            </w:r>
          </w:p>
        </w:tc>
        <w:tc>
          <w:tcPr>
            <w:tcW w:w="2268"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85 437</w:t>
            </w:r>
          </w:p>
        </w:tc>
        <w:tc>
          <w:tcPr>
            <w:tcW w:w="107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1 161</w:t>
            </w:r>
          </w:p>
        </w:tc>
        <w:tc>
          <w:tcPr>
            <w:tcW w:w="94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132 083</w:t>
            </w:r>
          </w:p>
        </w:tc>
      </w:tr>
      <w:tr w:rsidR="00B742C7" w:rsidRPr="00A120C4" w:rsidTr="00897890">
        <w:tc>
          <w:tcPr>
            <w:tcW w:w="6379" w:type="dxa"/>
            <w:tcBorders>
              <w:top w:val="nil"/>
              <w:left w:val="nil"/>
              <w:right w:val="nil"/>
            </w:tcBorders>
            <w:shd w:val="clear" w:color="auto" w:fill="FFFFFF"/>
          </w:tcPr>
          <w:p w:rsidR="00B742C7" w:rsidRPr="00A120C4" w:rsidRDefault="00B742C7" w:rsidP="00B742C7">
            <w:pPr>
              <w:autoSpaceDE w:val="0"/>
              <w:autoSpaceDN w:val="0"/>
              <w:adjustRightInd w:val="0"/>
              <w:spacing w:after="0"/>
              <w:ind w:left="227" w:hanging="227"/>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Net result for the six months</w:t>
            </w:r>
          </w:p>
        </w:tc>
        <w:tc>
          <w:tcPr>
            <w:tcW w:w="2268"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(1 779)</w:t>
            </w:r>
          </w:p>
        </w:tc>
        <w:tc>
          <w:tcPr>
            <w:tcW w:w="170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w:t>
            </w:r>
          </w:p>
        </w:tc>
        <w:tc>
          <w:tcPr>
            <w:tcW w:w="2268"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w:t>
            </w:r>
          </w:p>
        </w:tc>
        <w:tc>
          <w:tcPr>
            <w:tcW w:w="107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w:t>
            </w:r>
          </w:p>
        </w:tc>
        <w:tc>
          <w:tcPr>
            <w:tcW w:w="94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(1 779)</w:t>
            </w:r>
          </w:p>
        </w:tc>
      </w:tr>
      <w:tr w:rsidR="00B742C7" w:rsidRPr="00A120C4" w:rsidTr="00897890">
        <w:tc>
          <w:tcPr>
            <w:tcW w:w="6379" w:type="dxa"/>
            <w:tcBorders>
              <w:top w:val="nil"/>
              <w:left w:val="nil"/>
              <w:right w:val="nil"/>
            </w:tcBorders>
            <w:shd w:val="clear" w:color="auto" w:fill="FFFFFF"/>
          </w:tcPr>
          <w:p w:rsidR="00B742C7" w:rsidRPr="00A120C4" w:rsidRDefault="00B742C7" w:rsidP="00B742C7">
            <w:pPr>
              <w:autoSpaceDE w:val="0"/>
              <w:autoSpaceDN w:val="0"/>
              <w:adjustRightInd w:val="0"/>
              <w:spacing w:after="0"/>
              <w:ind w:left="227" w:hanging="227"/>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Other comprehensive income for the year</w:t>
            </w:r>
          </w:p>
        </w:tc>
        <w:tc>
          <w:tcPr>
            <w:tcW w:w="2268"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(2 380)</w:t>
            </w:r>
          </w:p>
        </w:tc>
        <w:tc>
          <w:tcPr>
            <w:tcW w:w="170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w:t>
            </w:r>
          </w:p>
        </w:tc>
        <w:tc>
          <w:tcPr>
            <w:tcW w:w="2268"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74</w:t>
            </w:r>
          </w:p>
        </w:tc>
        <w:tc>
          <w:tcPr>
            <w:tcW w:w="107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(168)</w:t>
            </w:r>
          </w:p>
        </w:tc>
        <w:tc>
          <w:tcPr>
            <w:tcW w:w="94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(2 473)</w:t>
            </w:r>
          </w:p>
        </w:tc>
      </w:tr>
      <w:tr w:rsidR="00B742C7" w:rsidRPr="00A120C4" w:rsidTr="00897890">
        <w:tc>
          <w:tcPr>
            <w:tcW w:w="6379" w:type="dxa"/>
            <w:tcBorders>
              <w:top w:val="nil"/>
              <w:left w:val="nil"/>
              <w:right w:val="nil"/>
            </w:tcBorders>
            <w:shd w:val="clear" w:color="auto" w:fill="FFFFFF"/>
          </w:tcPr>
          <w:p w:rsidR="00B742C7" w:rsidRPr="00A120C4" w:rsidRDefault="00B742C7" w:rsidP="00B742C7">
            <w:pPr>
              <w:autoSpaceDE w:val="0"/>
              <w:autoSpaceDN w:val="0"/>
              <w:adjustRightInd w:val="0"/>
              <w:spacing w:after="0"/>
              <w:ind w:left="227" w:hanging="227"/>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Transfer to accumulated surplus</w:t>
            </w:r>
          </w:p>
        </w:tc>
        <w:tc>
          <w:tcPr>
            <w:tcW w:w="2268"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392</w:t>
            </w:r>
          </w:p>
        </w:tc>
        <w:tc>
          <w:tcPr>
            <w:tcW w:w="170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w:t>
            </w:r>
          </w:p>
        </w:tc>
        <w:tc>
          <w:tcPr>
            <w:tcW w:w="2268"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(392)</w:t>
            </w:r>
          </w:p>
        </w:tc>
        <w:tc>
          <w:tcPr>
            <w:tcW w:w="107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w:t>
            </w:r>
          </w:p>
        </w:tc>
        <w:tc>
          <w:tcPr>
            <w:tcW w:w="94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w:t>
            </w:r>
          </w:p>
        </w:tc>
      </w:tr>
      <w:tr w:rsidR="00B742C7" w:rsidRPr="00A120C4" w:rsidTr="00897890">
        <w:tc>
          <w:tcPr>
            <w:tcW w:w="6379" w:type="dxa"/>
            <w:tcBorders>
              <w:top w:val="nil"/>
              <w:left w:val="nil"/>
              <w:bottom w:val="single" w:sz="6" w:space="0" w:color="000000"/>
              <w:right w:val="nil"/>
            </w:tcBorders>
            <w:shd w:val="clear" w:color="auto" w:fill="FFFFFF"/>
          </w:tcPr>
          <w:p w:rsidR="00B742C7" w:rsidRPr="00A120C4" w:rsidRDefault="00B742C7" w:rsidP="00B742C7">
            <w:pPr>
              <w:autoSpaceDE w:val="0"/>
              <w:autoSpaceDN w:val="0"/>
              <w:adjustRightInd w:val="0"/>
              <w:spacing w:after="0"/>
              <w:ind w:left="227" w:hanging="227"/>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Transactions with owners in their capacity as owners</w:t>
            </w:r>
          </w:p>
        </w:tc>
        <w:tc>
          <w:tcPr>
            <w:tcW w:w="2268" w:type="dxa"/>
            <w:tcBorders>
              <w:top w:val="nil"/>
              <w:left w:val="nil"/>
              <w:bottom w:val="single" w:sz="6"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 xml:space="preserve">.. </w:t>
            </w:r>
          </w:p>
        </w:tc>
        <w:tc>
          <w:tcPr>
            <w:tcW w:w="1701" w:type="dxa"/>
            <w:tcBorders>
              <w:top w:val="nil"/>
              <w:left w:val="nil"/>
              <w:bottom w:val="single" w:sz="6"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 xml:space="preserve">.. </w:t>
            </w:r>
          </w:p>
        </w:tc>
        <w:tc>
          <w:tcPr>
            <w:tcW w:w="2268" w:type="dxa"/>
            <w:tcBorders>
              <w:top w:val="nil"/>
              <w:left w:val="nil"/>
              <w:bottom w:val="single" w:sz="6"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 xml:space="preserve">.. </w:t>
            </w:r>
          </w:p>
        </w:tc>
        <w:tc>
          <w:tcPr>
            <w:tcW w:w="1071" w:type="dxa"/>
            <w:tcBorders>
              <w:top w:val="nil"/>
              <w:left w:val="nil"/>
              <w:bottom w:val="single" w:sz="6"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 xml:space="preserve">.. </w:t>
            </w:r>
          </w:p>
        </w:tc>
        <w:tc>
          <w:tcPr>
            <w:tcW w:w="941" w:type="dxa"/>
            <w:tcBorders>
              <w:top w:val="nil"/>
              <w:left w:val="nil"/>
              <w:bottom w:val="single" w:sz="6"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 xml:space="preserve">.. </w:t>
            </w:r>
          </w:p>
        </w:tc>
      </w:tr>
      <w:tr w:rsidR="00B742C7" w:rsidRPr="00A120C4" w:rsidTr="00897890">
        <w:tc>
          <w:tcPr>
            <w:tcW w:w="6379" w:type="dxa"/>
            <w:tcBorders>
              <w:top w:val="single" w:sz="6" w:space="0" w:color="000000"/>
              <w:left w:val="nil"/>
              <w:bottom w:val="single" w:sz="12" w:space="0" w:color="auto"/>
              <w:right w:val="nil"/>
            </w:tcBorders>
            <w:shd w:val="clear" w:color="auto" w:fill="FFFFFF"/>
          </w:tcPr>
          <w:p w:rsidR="00B742C7" w:rsidRPr="00A120C4" w:rsidRDefault="00B742C7" w:rsidP="00B742C7">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Total equity as at 31 December 2014</w:t>
            </w:r>
          </w:p>
        </w:tc>
        <w:tc>
          <w:tcPr>
            <w:tcW w:w="2268" w:type="dxa"/>
            <w:tcBorders>
              <w:top w:val="single" w:sz="6" w:space="0" w:color="000000"/>
              <w:left w:val="nil"/>
              <w:bottom w:val="single" w:sz="12" w:space="0" w:color="auto"/>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41 668</w:t>
            </w:r>
          </w:p>
        </w:tc>
        <w:tc>
          <w:tcPr>
            <w:tcW w:w="1701" w:type="dxa"/>
            <w:tcBorders>
              <w:top w:val="single" w:sz="6" w:space="0" w:color="000000"/>
              <w:left w:val="nil"/>
              <w:bottom w:val="single" w:sz="12" w:space="0" w:color="auto"/>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50</w:t>
            </w:r>
          </w:p>
        </w:tc>
        <w:tc>
          <w:tcPr>
            <w:tcW w:w="2268" w:type="dxa"/>
            <w:tcBorders>
              <w:top w:val="single" w:sz="6" w:space="0" w:color="000000"/>
              <w:left w:val="nil"/>
              <w:bottom w:val="single" w:sz="12" w:space="0" w:color="auto"/>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85 119</w:t>
            </w:r>
          </w:p>
        </w:tc>
        <w:tc>
          <w:tcPr>
            <w:tcW w:w="1071" w:type="dxa"/>
            <w:tcBorders>
              <w:top w:val="single" w:sz="6" w:space="0" w:color="000000"/>
              <w:left w:val="nil"/>
              <w:bottom w:val="single" w:sz="12" w:space="0" w:color="auto"/>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993</w:t>
            </w:r>
          </w:p>
        </w:tc>
        <w:tc>
          <w:tcPr>
            <w:tcW w:w="941" w:type="dxa"/>
            <w:tcBorders>
              <w:top w:val="single" w:sz="6" w:space="0" w:color="000000"/>
              <w:left w:val="nil"/>
              <w:bottom w:val="single" w:sz="12" w:space="0" w:color="auto"/>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127 831</w:t>
            </w:r>
          </w:p>
        </w:tc>
      </w:tr>
    </w:tbl>
    <w:p w:rsidR="00BB67AF" w:rsidRDefault="00BB67AF" w:rsidP="003E6750">
      <w:pPr>
        <w:pStyle w:val="Source"/>
      </w:pPr>
      <w:r>
        <w:t>The accompanying notes form part of these financial statements.</w:t>
      </w:r>
    </w:p>
    <w:p w:rsidR="00BB67AF" w:rsidRDefault="00BB67AF" w:rsidP="003E6750">
      <w:pPr>
        <w:pStyle w:val="Notes"/>
      </w:pPr>
      <w:r>
        <w:t>Note:</w:t>
      </w:r>
    </w:p>
    <w:p w:rsidR="00BB67AF" w:rsidRPr="00717E8D" w:rsidRDefault="00BB67AF" w:rsidP="003E6750">
      <w:pPr>
        <w:pStyle w:val="Notes"/>
      </w:pPr>
      <w:r>
        <w:t>(a)</w:t>
      </w:r>
      <w:r>
        <w:tab/>
        <w:t xml:space="preserve">The 1 July 2014 and December 2014 comparatives and the 1 July 2015 opening balances have been restated to reflect more current information, mainly including adjustments outlined in Note 37 of the </w:t>
      </w:r>
      <w:r w:rsidR="00F7426B">
        <w:br/>
      </w:r>
      <w:r>
        <w:rPr>
          <w:i w:val="0"/>
        </w:rPr>
        <w:t>2014</w:t>
      </w:r>
      <w:r>
        <w:rPr>
          <w:i w:val="0"/>
        </w:rPr>
        <w:noBreakHyphen/>
        <w:t>15 Financial Report</w:t>
      </w:r>
      <w:r>
        <w:t>.</w:t>
      </w:r>
    </w:p>
    <w:p w:rsidR="00BB67AF" w:rsidRDefault="00BB67AF" w:rsidP="003E6750">
      <w:pPr>
        <w:pStyle w:val="Notes"/>
      </w:pPr>
    </w:p>
    <w:p w:rsidR="00BB67AF" w:rsidRDefault="00BB67AF" w:rsidP="003E6750"/>
    <w:p w:rsidR="00BB67AF" w:rsidRDefault="00BB67AF">
      <w:pPr>
        <w:spacing w:after="0"/>
        <w:rPr>
          <w:rFonts w:ascii="Calibri" w:hAnsi="Calibri"/>
          <w:b/>
          <w:sz w:val="25"/>
        </w:rPr>
      </w:pPr>
      <w:r>
        <w:br w:type="page"/>
      </w:r>
    </w:p>
    <w:p w:rsidR="00BB67AF" w:rsidRDefault="00BB67AF" w:rsidP="003E6750">
      <w:pPr>
        <w:pStyle w:val="Tableheading"/>
      </w:pPr>
      <w:r w:rsidRPr="00830D90">
        <w:lastRenderedPageBreak/>
        <w:t>Statement of changes in equity for the six months ended 31 December</w:t>
      </w:r>
      <w:r w:rsidRPr="00830D90">
        <w:rPr>
          <w:i/>
        </w:rPr>
        <w:t xml:space="preserve"> (continued)</w:t>
      </w:r>
    </w:p>
    <w:p w:rsidR="00BB67AF" w:rsidRPr="006E014F" w:rsidRDefault="00BB67AF" w:rsidP="003E6750">
      <w:pPr>
        <w:pStyle w:val="million"/>
        <w:rPr>
          <w:b/>
          <w:bCs/>
          <w:lang w:val="en-US"/>
        </w:rPr>
      </w:pPr>
      <w:r>
        <w:t>($ million)</w:t>
      </w:r>
    </w:p>
    <w:tbl>
      <w:tblPr>
        <w:tblW w:w="14626" w:type="dxa"/>
        <w:tblInd w:w="45" w:type="dxa"/>
        <w:tblLayout w:type="fixed"/>
        <w:tblCellMar>
          <w:left w:w="45" w:type="dxa"/>
          <w:right w:w="45" w:type="dxa"/>
        </w:tblCellMar>
        <w:tblLook w:val="0000" w:firstRow="0" w:lastRow="0" w:firstColumn="0" w:lastColumn="0" w:noHBand="0" w:noVBand="0"/>
      </w:tblPr>
      <w:tblGrid>
        <w:gridCol w:w="4962"/>
        <w:gridCol w:w="1842"/>
        <w:gridCol w:w="1560"/>
        <w:gridCol w:w="2126"/>
        <w:gridCol w:w="2124"/>
        <w:gridCol w:w="1071"/>
        <w:gridCol w:w="941"/>
      </w:tblGrid>
      <w:tr w:rsidR="00B742C7" w:rsidRPr="00A120C4" w:rsidTr="00B742C7">
        <w:trPr>
          <w:tblHeader/>
        </w:trPr>
        <w:tc>
          <w:tcPr>
            <w:tcW w:w="4962" w:type="dxa"/>
            <w:tcBorders>
              <w:top w:val="nil"/>
              <w:left w:val="nil"/>
              <w:right w:val="nil"/>
            </w:tcBorders>
            <w:shd w:val="solid" w:color="000000" w:fill="auto"/>
            <w:vAlign w:val="bottom"/>
          </w:tcPr>
          <w:p w:rsidR="00B742C7" w:rsidRPr="00A120C4" w:rsidRDefault="00B742C7" w:rsidP="00B742C7">
            <w:pPr>
              <w:autoSpaceDE w:val="0"/>
              <w:autoSpaceDN w:val="0"/>
              <w:adjustRightInd w:val="0"/>
              <w:spacing w:after="0"/>
              <w:rPr>
                <w:rFonts w:ascii="Calibri" w:eastAsiaTheme="minorEastAsia" w:hAnsi="Calibri" w:cs="Calibri"/>
                <w:i/>
                <w:iCs/>
                <w:color w:val="FFFFFF"/>
                <w:sz w:val="22"/>
                <w:szCs w:val="22"/>
                <w:lang w:eastAsia="en-AU"/>
              </w:rPr>
            </w:pPr>
            <w:r w:rsidRPr="00A120C4">
              <w:rPr>
                <w:rFonts w:ascii="Calibri" w:eastAsiaTheme="minorEastAsia" w:hAnsi="Calibri" w:cs="Calibri"/>
                <w:i/>
                <w:iCs/>
                <w:color w:val="FFFFFF"/>
                <w:sz w:val="22"/>
                <w:szCs w:val="22"/>
                <w:lang w:eastAsia="en-AU"/>
              </w:rPr>
              <w:t>General government sector</w:t>
            </w:r>
          </w:p>
        </w:tc>
        <w:tc>
          <w:tcPr>
            <w:tcW w:w="1842" w:type="dxa"/>
            <w:tcBorders>
              <w:top w:val="nil"/>
              <w:left w:val="nil"/>
              <w:right w:val="nil"/>
            </w:tcBorders>
            <w:shd w:val="solid" w:color="000000" w:fill="auto"/>
            <w:vAlign w:val="bottom"/>
          </w:tcPr>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22"/>
                <w:szCs w:val="22"/>
                <w:vertAlign w:val="superscript"/>
                <w:lang w:eastAsia="en-AU"/>
              </w:rPr>
            </w:pPr>
            <w:r w:rsidRPr="00A120C4">
              <w:rPr>
                <w:rFonts w:ascii="Calibri" w:eastAsiaTheme="minorEastAsia" w:hAnsi="Calibri" w:cs="Calibri"/>
                <w:i/>
                <w:iCs/>
                <w:color w:val="FFFFFF"/>
                <w:sz w:val="22"/>
                <w:szCs w:val="22"/>
                <w:lang w:eastAsia="en-AU"/>
              </w:rPr>
              <w:t xml:space="preserve">Accumulated surplus/(deficit) </w:t>
            </w:r>
            <w:r w:rsidRPr="00A120C4">
              <w:rPr>
                <w:rFonts w:ascii="Calibri" w:eastAsiaTheme="minorEastAsia" w:hAnsi="Calibri" w:cs="Calibri"/>
                <w:i/>
                <w:iCs/>
                <w:color w:val="FFFFFF"/>
                <w:sz w:val="22"/>
                <w:szCs w:val="22"/>
                <w:vertAlign w:val="superscript"/>
                <w:lang w:eastAsia="en-AU"/>
              </w:rPr>
              <w:t>(a)</w:t>
            </w:r>
          </w:p>
        </w:tc>
        <w:tc>
          <w:tcPr>
            <w:tcW w:w="1560" w:type="dxa"/>
            <w:tcBorders>
              <w:top w:val="nil"/>
              <w:left w:val="nil"/>
              <w:right w:val="nil"/>
            </w:tcBorders>
            <w:shd w:val="solid" w:color="000000" w:fill="auto"/>
            <w:vAlign w:val="bottom"/>
          </w:tcPr>
          <w:p w:rsidR="00B742C7" w:rsidRPr="00A120C4" w:rsidRDefault="00B742C7" w:rsidP="00F7426B">
            <w:pPr>
              <w:autoSpaceDE w:val="0"/>
              <w:autoSpaceDN w:val="0"/>
              <w:adjustRightInd w:val="0"/>
              <w:spacing w:after="0"/>
              <w:jc w:val="right"/>
              <w:rPr>
                <w:rFonts w:ascii="Calibri" w:eastAsiaTheme="minorEastAsia" w:hAnsi="Calibri" w:cs="Calibri"/>
                <w:i/>
                <w:iCs/>
                <w:color w:val="FFFFFF"/>
                <w:sz w:val="22"/>
                <w:szCs w:val="22"/>
                <w:lang w:eastAsia="en-AU"/>
              </w:rPr>
            </w:pPr>
            <w:r w:rsidRPr="00A120C4">
              <w:rPr>
                <w:rFonts w:ascii="Calibri" w:eastAsiaTheme="minorEastAsia" w:hAnsi="Calibri" w:cs="Calibri"/>
                <w:i/>
                <w:iCs/>
                <w:color w:val="FFFFFF"/>
                <w:sz w:val="22"/>
                <w:szCs w:val="22"/>
                <w:lang w:eastAsia="en-AU"/>
              </w:rPr>
              <w:t xml:space="preserve">Non-controlling </w:t>
            </w:r>
            <w:r w:rsidR="00F7426B" w:rsidRPr="00A120C4">
              <w:rPr>
                <w:rFonts w:ascii="Calibri" w:eastAsiaTheme="minorEastAsia" w:hAnsi="Calibri" w:cs="Calibri"/>
                <w:i/>
                <w:iCs/>
                <w:color w:val="FFFFFF"/>
                <w:sz w:val="22"/>
                <w:szCs w:val="22"/>
                <w:lang w:eastAsia="en-AU"/>
              </w:rPr>
              <w:t>i</w:t>
            </w:r>
            <w:r w:rsidRPr="00A120C4">
              <w:rPr>
                <w:rFonts w:ascii="Calibri" w:eastAsiaTheme="minorEastAsia" w:hAnsi="Calibri" w:cs="Calibri"/>
                <w:i/>
                <w:iCs/>
                <w:color w:val="FFFFFF"/>
                <w:sz w:val="22"/>
                <w:szCs w:val="22"/>
                <w:lang w:eastAsia="en-AU"/>
              </w:rPr>
              <w:t>nterest</w:t>
            </w:r>
          </w:p>
        </w:tc>
        <w:tc>
          <w:tcPr>
            <w:tcW w:w="2126" w:type="dxa"/>
            <w:tcBorders>
              <w:top w:val="nil"/>
              <w:left w:val="nil"/>
              <w:right w:val="nil"/>
            </w:tcBorders>
            <w:shd w:val="solid" w:color="000000" w:fill="auto"/>
            <w:vAlign w:val="bottom"/>
          </w:tcPr>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22"/>
                <w:szCs w:val="22"/>
                <w:vertAlign w:val="superscript"/>
                <w:lang w:eastAsia="en-AU"/>
              </w:rPr>
            </w:pPr>
            <w:r w:rsidRPr="00A120C4">
              <w:rPr>
                <w:rFonts w:ascii="Calibri" w:eastAsiaTheme="minorEastAsia" w:hAnsi="Calibri" w:cs="Calibri"/>
                <w:i/>
                <w:iCs/>
                <w:color w:val="FFFFFF"/>
                <w:sz w:val="22"/>
                <w:szCs w:val="22"/>
                <w:lang w:eastAsia="en-AU"/>
              </w:rPr>
              <w:t xml:space="preserve">Non-financial assets revaluation surplus </w:t>
            </w:r>
            <w:r w:rsidRPr="00A120C4">
              <w:rPr>
                <w:rFonts w:ascii="Calibri" w:eastAsiaTheme="minorEastAsia" w:hAnsi="Calibri" w:cs="Calibri"/>
                <w:i/>
                <w:iCs/>
                <w:color w:val="FFFFFF"/>
                <w:sz w:val="22"/>
                <w:szCs w:val="22"/>
                <w:vertAlign w:val="superscript"/>
                <w:lang w:eastAsia="en-AU"/>
              </w:rPr>
              <w:t>(a)</w:t>
            </w:r>
          </w:p>
        </w:tc>
        <w:tc>
          <w:tcPr>
            <w:tcW w:w="2124" w:type="dxa"/>
            <w:tcBorders>
              <w:top w:val="nil"/>
              <w:left w:val="nil"/>
              <w:right w:val="nil"/>
            </w:tcBorders>
            <w:shd w:val="solid" w:color="000000" w:fill="auto"/>
            <w:vAlign w:val="bottom"/>
          </w:tcPr>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A120C4">
              <w:rPr>
                <w:rFonts w:ascii="Calibri" w:eastAsiaTheme="minorEastAsia" w:hAnsi="Calibri" w:cs="Calibri"/>
                <w:i/>
                <w:iCs/>
                <w:color w:val="FFFFFF"/>
                <w:sz w:val="22"/>
                <w:szCs w:val="22"/>
                <w:lang w:eastAsia="en-AU"/>
              </w:rPr>
              <w:t>Investment in other sector entities revaluation surplus</w:t>
            </w:r>
          </w:p>
        </w:tc>
        <w:tc>
          <w:tcPr>
            <w:tcW w:w="1071" w:type="dxa"/>
            <w:tcBorders>
              <w:top w:val="nil"/>
              <w:left w:val="nil"/>
              <w:right w:val="nil"/>
            </w:tcBorders>
            <w:shd w:val="solid" w:color="000000" w:fill="auto"/>
            <w:vAlign w:val="bottom"/>
          </w:tcPr>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A120C4">
              <w:rPr>
                <w:rFonts w:ascii="Calibri" w:eastAsiaTheme="minorEastAsia" w:hAnsi="Calibri" w:cs="Calibri"/>
                <w:i/>
                <w:iCs/>
                <w:color w:val="FFFFFF"/>
                <w:sz w:val="22"/>
                <w:szCs w:val="22"/>
                <w:lang w:eastAsia="en-AU"/>
              </w:rPr>
              <w:t>Other reserves</w:t>
            </w:r>
          </w:p>
        </w:tc>
        <w:tc>
          <w:tcPr>
            <w:tcW w:w="941" w:type="dxa"/>
            <w:tcBorders>
              <w:top w:val="nil"/>
              <w:left w:val="nil"/>
              <w:right w:val="nil"/>
            </w:tcBorders>
            <w:shd w:val="solid" w:color="000000" w:fill="auto"/>
            <w:vAlign w:val="bottom"/>
          </w:tcPr>
          <w:p w:rsidR="00B742C7" w:rsidRPr="00A120C4" w:rsidRDefault="00B742C7"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A120C4">
              <w:rPr>
                <w:rFonts w:ascii="Calibri" w:eastAsiaTheme="minorEastAsia" w:hAnsi="Calibri" w:cs="Calibri"/>
                <w:i/>
                <w:iCs/>
                <w:color w:val="FFFFFF"/>
                <w:sz w:val="22"/>
                <w:szCs w:val="22"/>
                <w:lang w:eastAsia="en-AU"/>
              </w:rPr>
              <w:t xml:space="preserve">Total </w:t>
            </w:r>
            <w:r w:rsidRPr="00A120C4">
              <w:rPr>
                <w:rFonts w:ascii="Calibri" w:eastAsiaTheme="minorEastAsia" w:hAnsi="Calibri" w:cs="Calibri"/>
                <w:i/>
                <w:iCs/>
                <w:color w:val="FFFFFF"/>
                <w:sz w:val="22"/>
                <w:szCs w:val="22"/>
                <w:vertAlign w:val="superscript"/>
                <w:lang w:eastAsia="en-AU"/>
              </w:rPr>
              <w:t>(a)</w:t>
            </w:r>
          </w:p>
        </w:tc>
      </w:tr>
      <w:tr w:rsidR="00B742C7" w:rsidRPr="00A120C4" w:rsidTr="00B742C7">
        <w:tc>
          <w:tcPr>
            <w:tcW w:w="4962" w:type="dxa"/>
            <w:tcBorders>
              <w:top w:val="nil"/>
              <w:left w:val="nil"/>
              <w:right w:val="nil"/>
            </w:tcBorders>
            <w:shd w:val="clear" w:color="auto" w:fill="FFFFFF"/>
          </w:tcPr>
          <w:p w:rsidR="00B742C7" w:rsidRPr="00A120C4" w:rsidRDefault="00B742C7" w:rsidP="00B742C7">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2015</w:t>
            </w:r>
          </w:p>
        </w:tc>
        <w:tc>
          <w:tcPr>
            <w:tcW w:w="1842"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center"/>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 xml:space="preserve"> </w:t>
            </w:r>
          </w:p>
        </w:tc>
        <w:tc>
          <w:tcPr>
            <w:tcW w:w="1560"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 xml:space="preserve"> </w:t>
            </w:r>
          </w:p>
        </w:tc>
        <w:tc>
          <w:tcPr>
            <w:tcW w:w="2126"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 xml:space="preserve"> </w:t>
            </w:r>
          </w:p>
        </w:tc>
        <w:tc>
          <w:tcPr>
            <w:tcW w:w="2124"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center"/>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 xml:space="preserve"> </w:t>
            </w:r>
          </w:p>
        </w:tc>
        <w:tc>
          <w:tcPr>
            <w:tcW w:w="107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 xml:space="preserve"> </w:t>
            </w:r>
          </w:p>
        </w:tc>
        <w:tc>
          <w:tcPr>
            <w:tcW w:w="94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 xml:space="preserve"> </w:t>
            </w:r>
          </w:p>
        </w:tc>
      </w:tr>
      <w:tr w:rsidR="00B742C7" w:rsidRPr="00A120C4" w:rsidTr="00B742C7">
        <w:tc>
          <w:tcPr>
            <w:tcW w:w="4962" w:type="dxa"/>
            <w:tcBorders>
              <w:top w:val="nil"/>
              <w:left w:val="nil"/>
              <w:right w:val="nil"/>
            </w:tcBorders>
            <w:shd w:val="clear" w:color="auto" w:fill="FFFFFF"/>
          </w:tcPr>
          <w:p w:rsidR="00B742C7" w:rsidRPr="00A120C4" w:rsidRDefault="00B742C7" w:rsidP="00B742C7">
            <w:pPr>
              <w:autoSpaceDE w:val="0"/>
              <w:autoSpaceDN w:val="0"/>
              <w:adjustRightInd w:val="0"/>
              <w:spacing w:after="0"/>
              <w:ind w:left="227" w:hanging="227"/>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Balance at 1 July 2015</w:t>
            </w:r>
          </w:p>
        </w:tc>
        <w:tc>
          <w:tcPr>
            <w:tcW w:w="1842"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45 764</w:t>
            </w:r>
          </w:p>
        </w:tc>
        <w:tc>
          <w:tcPr>
            <w:tcW w:w="1560"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50</w:t>
            </w:r>
          </w:p>
        </w:tc>
        <w:tc>
          <w:tcPr>
            <w:tcW w:w="2126"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43 355</w:t>
            </w:r>
          </w:p>
        </w:tc>
        <w:tc>
          <w:tcPr>
            <w:tcW w:w="2124"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46 413</w:t>
            </w:r>
          </w:p>
        </w:tc>
        <w:tc>
          <w:tcPr>
            <w:tcW w:w="107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728</w:t>
            </w:r>
          </w:p>
        </w:tc>
        <w:tc>
          <w:tcPr>
            <w:tcW w:w="94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136 310</w:t>
            </w:r>
          </w:p>
        </w:tc>
      </w:tr>
      <w:tr w:rsidR="00B742C7" w:rsidRPr="00A120C4" w:rsidTr="00B742C7">
        <w:tc>
          <w:tcPr>
            <w:tcW w:w="4962" w:type="dxa"/>
            <w:tcBorders>
              <w:top w:val="nil"/>
              <w:left w:val="nil"/>
              <w:right w:val="nil"/>
            </w:tcBorders>
            <w:shd w:val="clear" w:color="auto" w:fill="FFFFFF"/>
          </w:tcPr>
          <w:p w:rsidR="00B742C7" w:rsidRPr="00A120C4" w:rsidRDefault="00B742C7" w:rsidP="00B742C7">
            <w:pPr>
              <w:autoSpaceDE w:val="0"/>
              <w:autoSpaceDN w:val="0"/>
              <w:adjustRightInd w:val="0"/>
              <w:spacing w:after="0"/>
              <w:ind w:left="227" w:hanging="227"/>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Net result for the six months</w:t>
            </w:r>
          </w:p>
        </w:tc>
        <w:tc>
          <w:tcPr>
            <w:tcW w:w="1842"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1 239</w:t>
            </w:r>
          </w:p>
        </w:tc>
        <w:tc>
          <w:tcPr>
            <w:tcW w:w="1560"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w:t>
            </w:r>
          </w:p>
        </w:tc>
        <w:tc>
          <w:tcPr>
            <w:tcW w:w="2126"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w:t>
            </w:r>
          </w:p>
        </w:tc>
        <w:tc>
          <w:tcPr>
            <w:tcW w:w="2124"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w:t>
            </w:r>
          </w:p>
        </w:tc>
        <w:tc>
          <w:tcPr>
            <w:tcW w:w="107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w:t>
            </w:r>
          </w:p>
        </w:tc>
        <w:tc>
          <w:tcPr>
            <w:tcW w:w="94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1 239</w:t>
            </w:r>
          </w:p>
        </w:tc>
      </w:tr>
      <w:tr w:rsidR="00B742C7" w:rsidRPr="00A120C4" w:rsidTr="00B742C7">
        <w:tc>
          <w:tcPr>
            <w:tcW w:w="4962" w:type="dxa"/>
            <w:tcBorders>
              <w:top w:val="nil"/>
              <w:left w:val="nil"/>
              <w:right w:val="nil"/>
            </w:tcBorders>
            <w:shd w:val="clear" w:color="auto" w:fill="FFFFFF"/>
          </w:tcPr>
          <w:p w:rsidR="00B742C7" w:rsidRPr="00A120C4" w:rsidRDefault="00B742C7" w:rsidP="00B742C7">
            <w:pPr>
              <w:autoSpaceDE w:val="0"/>
              <w:autoSpaceDN w:val="0"/>
              <w:adjustRightInd w:val="0"/>
              <w:spacing w:after="0"/>
              <w:ind w:left="227" w:hanging="227"/>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Other comprehensive income for the year</w:t>
            </w:r>
          </w:p>
        </w:tc>
        <w:tc>
          <w:tcPr>
            <w:tcW w:w="1842"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(678)</w:t>
            </w:r>
          </w:p>
        </w:tc>
        <w:tc>
          <w:tcPr>
            <w:tcW w:w="1560"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w:t>
            </w:r>
          </w:p>
        </w:tc>
        <w:tc>
          <w:tcPr>
            <w:tcW w:w="2126"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8</w:t>
            </w:r>
          </w:p>
        </w:tc>
        <w:tc>
          <w:tcPr>
            <w:tcW w:w="2124"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(246)</w:t>
            </w:r>
          </w:p>
        </w:tc>
        <w:tc>
          <w:tcPr>
            <w:tcW w:w="107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(77)</w:t>
            </w:r>
          </w:p>
        </w:tc>
        <w:tc>
          <w:tcPr>
            <w:tcW w:w="94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(993)</w:t>
            </w:r>
          </w:p>
        </w:tc>
      </w:tr>
      <w:tr w:rsidR="00B742C7" w:rsidRPr="00A120C4" w:rsidTr="00B742C7">
        <w:tc>
          <w:tcPr>
            <w:tcW w:w="4962" w:type="dxa"/>
            <w:tcBorders>
              <w:top w:val="nil"/>
              <w:left w:val="nil"/>
              <w:right w:val="nil"/>
            </w:tcBorders>
            <w:shd w:val="clear" w:color="auto" w:fill="FFFFFF"/>
          </w:tcPr>
          <w:p w:rsidR="00B742C7" w:rsidRPr="00A120C4" w:rsidRDefault="00B742C7" w:rsidP="00B742C7">
            <w:pPr>
              <w:autoSpaceDE w:val="0"/>
              <w:autoSpaceDN w:val="0"/>
              <w:adjustRightInd w:val="0"/>
              <w:spacing w:after="0"/>
              <w:ind w:left="227" w:hanging="227"/>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Transfer to accumulated surplus</w:t>
            </w:r>
          </w:p>
        </w:tc>
        <w:tc>
          <w:tcPr>
            <w:tcW w:w="1842"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(22)</w:t>
            </w:r>
          </w:p>
        </w:tc>
        <w:tc>
          <w:tcPr>
            <w:tcW w:w="1560"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w:t>
            </w:r>
          </w:p>
        </w:tc>
        <w:tc>
          <w:tcPr>
            <w:tcW w:w="2126"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22</w:t>
            </w:r>
          </w:p>
        </w:tc>
        <w:tc>
          <w:tcPr>
            <w:tcW w:w="2124"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w:t>
            </w:r>
          </w:p>
        </w:tc>
        <w:tc>
          <w:tcPr>
            <w:tcW w:w="107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w:t>
            </w:r>
          </w:p>
        </w:tc>
        <w:tc>
          <w:tcPr>
            <w:tcW w:w="94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w:t>
            </w:r>
          </w:p>
        </w:tc>
      </w:tr>
      <w:tr w:rsidR="00B742C7" w:rsidRPr="00A120C4" w:rsidTr="00B742C7">
        <w:tc>
          <w:tcPr>
            <w:tcW w:w="4962" w:type="dxa"/>
            <w:tcBorders>
              <w:top w:val="nil"/>
              <w:left w:val="nil"/>
              <w:bottom w:val="single" w:sz="6" w:space="0" w:color="000000"/>
              <w:right w:val="nil"/>
            </w:tcBorders>
            <w:shd w:val="clear" w:color="auto" w:fill="FFFFFF"/>
          </w:tcPr>
          <w:p w:rsidR="00B742C7" w:rsidRPr="00A120C4" w:rsidRDefault="00B742C7" w:rsidP="00B742C7">
            <w:pPr>
              <w:autoSpaceDE w:val="0"/>
              <w:autoSpaceDN w:val="0"/>
              <w:adjustRightInd w:val="0"/>
              <w:spacing w:after="0"/>
              <w:ind w:left="227" w:hanging="227"/>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Transactions with owners in their capacity as owners</w:t>
            </w:r>
          </w:p>
        </w:tc>
        <w:tc>
          <w:tcPr>
            <w:tcW w:w="1842" w:type="dxa"/>
            <w:tcBorders>
              <w:top w:val="nil"/>
              <w:left w:val="nil"/>
              <w:bottom w:val="single" w:sz="6"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 xml:space="preserve">.. </w:t>
            </w:r>
          </w:p>
        </w:tc>
        <w:tc>
          <w:tcPr>
            <w:tcW w:w="1560" w:type="dxa"/>
            <w:tcBorders>
              <w:top w:val="nil"/>
              <w:left w:val="nil"/>
              <w:bottom w:val="single" w:sz="6"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 xml:space="preserve">.. </w:t>
            </w:r>
          </w:p>
        </w:tc>
        <w:tc>
          <w:tcPr>
            <w:tcW w:w="2126" w:type="dxa"/>
            <w:tcBorders>
              <w:top w:val="nil"/>
              <w:left w:val="nil"/>
              <w:bottom w:val="single" w:sz="6"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 xml:space="preserve">.. </w:t>
            </w:r>
          </w:p>
        </w:tc>
        <w:tc>
          <w:tcPr>
            <w:tcW w:w="2124" w:type="dxa"/>
            <w:tcBorders>
              <w:top w:val="nil"/>
              <w:left w:val="nil"/>
              <w:bottom w:val="single" w:sz="6"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 xml:space="preserve">.. </w:t>
            </w:r>
          </w:p>
        </w:tc>
        <w:tc>
          <w:tcPr>
            <w:tcW w:w="1071" w:type="dxa"/>
            <w:tcBorders>
              <w:top w:val="nil"/>
              <w:left w:val="nil"/>
              <w:bottom w:val="single" w:sz="6"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 xml:space="preserve">.. </w:t>
            </w:r>
          </w:p>
        </w:tc>
        <w:tc>
          <w:tcPr>
            <w:tcW w:w="941" w:type="dxa"/>
            <w:tcBorders>
              <w:top w:val="nil"/>
              <w:left w:val="nil"/>
              <w:bottom w:val="single" w:sz="6"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 xml:space="preserve">.. </w:t>
            </w:r>
          </w:p>
        </w:tc>
      </w:tr>
      <w:tr w:rsidR="00B742C7" w:rsidRPr="00A120C4" w:rsidTr="00B742C7">
        <w:tc>
          <w:tcPr>
            <w:tcW w:w="4962" w:type="dxa"/>
            <w:tcBorders>
              <w:top w:val="single" w:sz="6" w:space="0" w:color="000000"/>
              <w:left w:val="nil"/>
              <w:bottom w:val="single" w:sz="12" w:space="0" w:color="000000"/>
              <w:right w:val="nil"/>
            </w:tcBorders>
            <w:shd w:val="clear" w:color="auto" w:fill="FFFFFF"/>
          </w:tcPr>
          <w:p w:rsidR="00B742C7" w:rsidRPr="00A120C4" w:rsidRDefault="00B742C7" w:rsidP="00B742C7">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Total equity as at 31 December 2015</w:t>
            </w:r>
          </w:p>
        </w:tc>
        <w:tc>
          <w:tcPr>
            <w:tcW w:w="1842" w:type="dxa"/>
            <w:tcBorders>
              <w:top w:val="single" w:sz="6" w:space="0" w:color="000000"/>
              <w:left w:val="nil"/>
              <w:bottom w:val="single" w:sz="12"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46 304</w:t>
            </w:r>
          </w:p>
        </w:tc>
        <w:tc>
          <w:tcPr>
            <w:tcW w:w="1560" w:type="dxa"/>
            <w:tcBorders>
              <w:top w:val="single" w:sz="6" w:space="0" w:color="000000"/>
              <w:left w:val="nil"/>
              <w:bottom w:val="single" w:sz="12"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50</w:t>
            </w:r>
          </w:p>
        </w:tc>
        <w:tc>
          <w:tcPr>
            <w:tcW w:w="2126" w:type="dxa"/>
            <w:tcBorders>
              <w:top w:val="single" w:sz="6" w:space="0" w:color="000000"/>
              <w:left w:val="nil"/>
              <w:bottom w:val="single" w:sz="12"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43 385</w:t>
            </w:r>
          </w:p>
        </w:tc>
        <w:tc>
          <w:tcPr>
            <w:tcW w:w="2124" w:type="dxa"/>
            <w:tcBorders>
              <w:top w:val="single" w:sz="6" w:space="0" w:color="000000"/>
              <w:left w:val="nil"/>
              <w:bottom w:val="single" w:sz="12"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46 167</w:t>
            </w:r>
          </w:p>
        </w:tc>
        <w:tc>
          <w:tcPr>
            <w:tcW w:w="1071" w:type="dxa"/>
            <w:tcBorders>
              <w:top w:val="single" w:sz="6" w:space="0" w:color="000000"/>
              <w:left w:val="nil"/>
              <w:bottom w:val="single" w:sz="12"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651</w:t>
            </w:r>
          </w:p>
        </w:tc>
        <w:tc>
          <w:tcPr>
            <w:tcW w:w="941" w:type="dxa"/>
            <w:tcBorders>
              <w:top w:val="single" w:sz="6" w:space="0" w:color="000000"/>
              <w:left w:val="nil"/>
              <w:bottom w:val="single" w:sz="12"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136 556</w:t>
            </w:r>
          </w:p>
        </w:tc>
      </w:tr>
      <w:tr w:rsidR="00B742C7" w:rsidRPr="00A120C4" w:rsidTr="00B742C7">
        <w:tc>
          <w:tcPr>
            <w:tcW w:w="4962" w:type="dxa"/>
            <w:tcBorders>
              <w:top w:val="single" w:sz="12" w:space="0" w:color="000000"/>
              <w:left w:val="nil"/>
              <w:right w:val="nil"/>
            </w:tcBorders>
            <w:shd w:val="clear" w:color="auto" w:fill="FFFFFF"/>
          </w:tcPr>
          <w:p w:rsidR="00B742C7" w:rsidRPr="00A120C4" w:rsidRDefault="00B742C7" w:rsidP="00B742C7">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2014</w:t>
            </w:r>
          </w:p>
        </w:tc>
        <w:tc>
          <w:tcPr>
            <w:tcW w:w="1842" w:type="dxa"/>
            <w:tcBorders>
              <w:top w:val="single" w:sz="12" w:space="0" w:color="000000"/>
              <w:left w:val="nil"/>
              <w:right w:val="nil"/>
            </w:tcBorders>
            <w:shd w:val="clear" w:color="auto" w:fill="FFFFFF"/>
          </w:tcPr>
          <w:p w:rsidR="00B742C7" w:rsidRPr="00A120C4" w:rsidRDefault="00B742C7" w:rsidP="003E6750">
            <w:pPr>
              <w:autoSpaceDE w:val="0"/>
              <w:autoSpaceDN w:val="0"/>
              <w:adjustRightInd w:val="0"/>
              <w:spacing w:after="0"/>
              <w:jc w:val="center"/>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 xml:space="preserve"> </w:t>
            </w:r>
          </w:p>
        </w:tc>
        <w:tc>
          <w:tcPr>
            <w:tcW w:w="1560" w:type="dxa"/>
            <w:tcBorders>
              <w:top w:val="single" w:sz="12" w:space="0" w:color="000000"/>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 xml:space="preserve"> </w:t>
            </w:r>
          </w:p>
        </w:tc>
        <w:tc>
          <w:tcPr>
            <w:tcW w:w="2126" w:type="dxa"/>
            <w:tcBorders>
              <w:top w:val="single" w:sz="12" w:space="0" w:color="000000"/>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 xml:space="preserve"> </w:t>
            </w:r>
          </w:p>
        </w:tc>
        <w:tc>
          <w:tcPr>
            <w:tcW w:w="2124" w:type="dxa"/>
            <w:tcBorders>
              <w:top w:val="single" w:sz="12" w:space="0" w:color="000000"/>
              <w:left w:val="nil"/>
              <w:right w:val="nil"/>
            </w:tcBorders>
            <w:shd w:val="clear" w:color="auto" w:fill="FFFFFF"/>
          </w:tcPr>
          <w:p w:rsidR="00B742C7" w:rsidRPr="00A120C4" w:rsidRDefault="00B742C7" w:rsidP="003E6750">
            <w:pPr>
              <w:autoSpaceDE w:val="0"/>
              <w:autoSpaceDN w:val="0"/>
              <w:adjustRightInd w:val="0"/>
              <w:spacing w:after="0"/>
              <w:jc w:val="center"/>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 xml:space="preserve"> </w:t>
            </w:r>
          </w:p>
        </w:tc>
        <w:tc>
          <w:tcPr>
            <w:tcW w:w="1071" w:type="dxa"/>
            <w:tcBorders>
              <w:top w:val="single" w:sz="12" w:space="0" w:color="000000"/>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 xml:space="preserve"> </w:t>
            </w:r>
          </w:p>
        </w:tc>
        <w:tc>
          <w:tcPr>
            <w:tcW w:w="941" w:type="dxa"/>
            <w:tcBorders>
              <w:top w:val="single" w:sz="12" w:space="0" w:color="000000"/>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 xml:space="preserve"> </w:t>
            </w:r>
          </w:p>
        </w:tc>
      </w:tr>
      <w:tr w:rsidR="00B742C7" w:rsidRPr="00A120C4" w:rsidTr="00B742C7">
        <w:tc>
          <w:tcPr>
            <w:tcW w:w="4962" w:type="dxa"/>
            <w:tcBorders>
              <w:top w:val="nil"/>
              <w:left w:val="nil"/>
              <w:right w:val="nil"/>
            </w:tcBorders>
            <w:shd w:val="clear" w:color="auto" w:fill="FFFFFF"/>
          </w:tcPr>
          <w:p w:rsidR="00B742C7" w:rsidRPr="00A120C4" w:rsidRDefault="00B742C7" w:rsidP="00B742C7">
            <w:pPr>
              <w:autoSpaceDE w:val="0"/>
              <w:autoSpaceDN w:val="0"/>
              <w:adjustRightInd w:val="0"/>
              <w:spacing w:after="0"/>
              <w:ind w:left="227" w:hanging="227"/>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Balance at 1 July 2014</w:t>
            </w:r>
          </w:p>
        </w:tc>
        <w:tc>
          <w:tcPr>
            <w:tcW w:w="1842"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43 635</w:t>
            </w:r>
          </w:p>
        </w:tc>
        <w:tc>
          <w:tcPr>
            <w:tcW w:w="1560"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50</w:t>
            </w:r>
          </w:p>
        </w:tc>
        <w:tc>
          <w:tcPr>
            <w:tcW w:w="2126"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41 965</w:t>
            </w:r>
          </w:p>
        </w:tc>
        <w:tc>
          <w:tcPr>
            <w:tcW w:w="2124"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42 187</w:t>
            </w:r>
          </w:p>
        </w:tc>
        <w:tc>
          <w:tcPr>
            <w:tcW w:w="107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640</w:t>
            </w:r>
          </w:p>
        </w:tc>
        <w:tc>
          <w:tcPr>
            <w:tcW w:w="94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128 477</w:t>
            </w:r>
          </w:p>
        </w:tc>
      </w:tr>
      <w:tr w:rsidR="00B742C7" w:rsidRPr="00A120C4" w:rsidTr="00B742C7">
        <w:tc>
          <w:tcPr>
            <w:tcW w:w="4962" w:type="dxa"/>
            <w:tcBorders>
              <w:top w:val="nil"/>
              <w:left w:val="nil"/>
              <w:right w:val="nil"/>
            </w:tcBorders>
            <w:shd w:val="clear" w:color="auto" w:fill="FFFFFF"/>
          </w:tcPr>
          <w:p w:rsidR="00B742C7" w:rsidRPr="00A120C4" w:rsidRDefault="00B742C7" w:rsidP="00B742C7">
            <w:pPr>
              <w:autoSpaceDE w:val="0"/>
              <w:autoSpaceDN w:val="0"/>
              <w:adjustRightInd w:val="0"/>
              <w:spacing w:after="0"/>
              <w:ind w:left="227" w:hanging="227"/>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Net result for the six months</w:t>
            </w:r>
          </w:p>
        </w:tc>
        <w:tc>
          <w:tcPr>
            <w:tcW w:w="1842"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191</w:t>
            </w:r>
          </w:p>
        </w:tc>
        <w:tc>
          <w:tcPr>
            <w:tcW w:w="1560"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w:t>
            </w:r>
          </w:p>
        </w:tc>
        <w:tc>
          <w:tcPr>
            <w:tcW w:w="2126"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w:t>
            </w:r>
          </w:p>
        </w:tc>
        <w:tc>
          <w:tcPr>
            <w:tcW w:w="2124"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w:t>
            </w:r>
          </w:p>
        </w:tc>
        <w:tc>
          <w:tcPr>
            <w:tcW w:w="107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w:t>
            </w:r>
          </w:p>
        </w:tc>
        <w:tc>
          <w:tcPr>
            <w:tcW w:w="94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191</w:t>
            </w:r>
          </w:p>
        </w:tc>
      </w:tr>
      <w:tr w:rsidR="00B742C7" w:rsidRPr="00A120C4" w:rsidTr="00B742C7">
        <w:tc>
          <w:tcPr>
            <w:tcW w:w="4962" w:type="dxa"/>
            <w:tcBorders>
              <w:top w:val="nil"/>
              <w:left w:val="nil"/>
              <w:right w:val="nil"/>
            </w:tcBorders>
            <w:shd w:val="clear" w:color="auto" w:fill="FFFFFF"/>
          </w:tcPr>
          <w:p w:rsidR="00B742C7" w:rsidRPr="00A120C4" w:rsidRDefault="00B742C7" w:rsidP="00B742C7">
            <w:pPr>
              <w:autoSpaceDE w:val="0"/>
              <w:autoSpaceDN w:val="0"/>
              <w:adjustRightInd w:val="0"/>
              <w:spacing w:after="0"/>
              <w:ind w:left="227" w:hanging="227"/>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Other comprehensive income for the year</w:t>
            </w:r>
          </w:p>
        </w:tc>
        <w:tc>
          <w:tcPr>
            <w:tcW w:w="1842"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(2 495)</w:t>
            </w:r>
          </w:p>
        </w:tc>
        <w:tc>
          <w:tcPr>
            <w:tcW w:w="1560"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w:t>
            </w:r>
          </w:p>
        </w:tc>
        <w:tc>
          <w:tcPr>
            <w:tcW w:w="2126"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59</w:t>
            </w:r>
          </w:p>
        </w:tc>
        <w:tc>
          <w:tcPr>
            <w:tcW w:w="2124"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3</w:t>
            </w:r>
          </w:p>
        </w:tc>
        <w:tc>
          <w:tcPr>
            <w:tcW w:w="107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(11)</w:t>
            </w:r>
          </w:p>
        </w:tc>
        <w:tc>
          <w:tcPr>
            <w:tcW w:w="94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(2 444)</w:t>
            </w:r>
          </w:p>
        </w:tc>
      </w:tr>
      <w:tr w:rsidR="00B742C7" w:rsidRPr="00A120C4" w:rsidTr="00B742C7">
        <w:tc>
          <w:tcPr>
            <w:tcW w:w="4962" w:type="dxa"/>
            <w:tcBorders>
              <w:top w:val="nil"/>
              <w:left w:val="nil"/>
              <w:right w:val="nil"/>
            </w:tcBorders>
            <w:shd w:val="clear" w:color="auto" w:fill="FFFFFF"/>
          </w:tcPr>
          <w:p w:rsidR="00B742C7" w:rsidRPr="00A120C4" w:rsidRDefault="00B742C7" w:rsidP="00B742C7">
            <w:pPr>
              <w:autoSpaceDE w:val="0"/>
              <w:autoSpaceDN w:val="0"/>
              <w:adjustRightInd w:val="0"/>
              <w:spacing w:after="0"/>
              <w:ind w:left="227" w:hanging="227"/>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Transfer to accumulated surplus</w:t>
            </w:r>
          </w:p>
        </w:tc>
        <w:tc>
          <w:tcPr>
            <w:tcW w:w="1842"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392</w:t>
            </w:r>
          </w:p>
        </w:tc>
        <w:tc>
          <w:tcPr>
            <w:tcW w:w="1560"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w:t>
            </w:r>
          </w:p>
        </w:tc>
        <w:tc>
          <w:tcPr>
            <w:tcW w:w="2126"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(392)</w:t>
            </w:r>
          </w:p>
        </w:tc>
        <w:tc>
          <w:tcPr>
            <w:tcW w:w="2124"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w:t>
            </w:r>
          </w:p>
        </w:tc>
        <w:tc>
          <w:tcPr>
            <w:tcW w:w="107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w:t>
            </w:r>
          </w:p>
        </w:tc>
        <w:tc>
          <w:tcPr>
            <w:tcW w:w="941" w:type="dxa"/>
            <w:tcBorders>
              <w:top w:val="nil"/>
              <w:left w:val="nil"/>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w:t>
            </w:r>
          </w:p>
        </w:tc>
      </w:tr>
      <w:tr w:rsidR="00B742C7" w:rsidRPr="00A120C4" w:rsidTr="00B742C7">
        <w:tc>
          <w:tcPr>
            <w:tcW w:w="4962" w:type="dxa"/>
            <w:tcBorders>
              <w:top w:val="nil"/>
              <w:left w:val="nil"/>
              <w:bottom w:val="single" w:sz="6" w:space="0" w:color="000000"/>
              <w:right w:val="nil"/>
            </w:tcBorders>
            <w:shd w:val="clear" w:color="auto" w:fill="FFFFFF"/>
          </w:tcPr>
          <w:p w:rsidR="00B742C7" w:rsidRPr="00A120C4" w:rsidRDefault="00B742C7" w:rsidP="00B742C7">
            <w:pPr>
              <w:autoSpaceDE w:val="0"/>
              <w:autoSpaceDN w:val="0"/>
              <w:adjustRightInd w:val="0"/>
              <w:spacing w:after="0"/>
              <w:ind w:left="227" w:hanging="227"/>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Transactions with owners in their capacity as owners</w:t>
            </w:r>
          </w:p>
        </w:tc>
        <w:tc>
          <w:tcPr>
            <w:tcW w:w="1842" w:type="dxa"/>
            <w:tcBorders>
              <w:top w:val="nil"/>
              <w:left w:val="nil"/>
              <w:bottom w:val="single" w:sz="6"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 xml:space="preserve">.. </w:t>
            </w:r>
          </w:p>
        </w:tc>
        <w:tc>
          <w:tcPr>
            <w:tcW w:w="1560" w:type="dxa"/>
            <w:tcBorders>
              <w:top w:val="nil"/>
              <w:left w:val="nil"/>
              <w:bottom w:val="single" w:sz="6"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 xml:space="preserve">.. </w:t>
            </w:r>
          </w:p>
        </w:tc>
        <w:tc>
          <w:tcPr>
            <w:tcW w:w="2126" w:type="dxa"/>
            <w:tcBorders>
              <w:top w:val="nil"/>
              <w:left w:val="nil"/>
              <w:bottom w:val="single" w:sz="6"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 xml:space="preserve">.. </w:t>
            </w:r>
          </w:p>
        </w:tc>
        <w:tc>
          <w:tcPr>
            <w:tcW w:w="2124" w:type="dxa"/>
            <w:tcBorders>
              <w:top w:val="nil"/>
              <w:left w:val="nil"/>
              <w:bottom w:val="single" w:sz="6"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 xml:space="preserve">.. </w:t>
            </w:r>
          </w:p>
        </w:tc>
        <w:tc>
          <w:tcPr>
            <w:tcW w:w="1071" w:type="dxa"/>
            <w:tcBorders>
              <w:top w:val="nil"/>
              <w:left w:val="nil"/>
              <w:bottom w:val="single" w:sz="6"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 xml:space="preserve">.. </w:t>
            </w:r>
          </w:p>
        </w:tc>
        <w:tc>
          <w:tcPr>
            <w:tcW w:w="941" w:type="dxa"/>
            <w:tcBorders>
              <w:top w:val="nil"/>
              <w:left w:val="nil"/>
              <w:bottom w:val="single" w:sz="6" w:space="0" w:color="000000"/>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color w:val="000000"/>
                <w:sz w:val="22"/>
                <w:szCs w:val="22"/>
                <w:lang w:eastAsia="en-AU"/>
              </w:rPr>
            </w:pPr>
            <w:r w:rsidRPr="00A120C4">
              <w:rPr>
                <w:rFonts w:ascii="Calibri" w:eastAsiaTheme="minorEastAsia" w:hAnsi="Calibri" w:cs="Calibri"/>
                <w:color w:val="000000"/>
                <w:sz w:val="22"/>
                <w:szCs w:val="22"/>
                <w:lang w:eastAsia="en-AU"/>
              </w:rPr>
              <w:t xml:space="preserve">.. </w:t>
            </w:r>
          </w:p>
        </w:tc>
      </w:tr>
      <w:tr w:rsidR="00B742C7" w:rsidRPr="00A120C4" w:rsidTr="00B742C7">
        <w:tc>
          <w:tcPr>
            <w:tcW w:w="4962" w:type="dxa"/>
            <w:tcBorders>
              <w:top w:val="single" w:sz="6" w:space="0" w:color="000000"/>
              <w:left w:val="nil"/>
              <w:bottom w:val="single" w:sz="12" w:space="0" w:color="auto"/>
              <w:right w:val="nil"/>
            </w:tcBorders>
            <w:shd w:val="clear" w:color="auto" w:fill="FFFFFF"/>
          </w:tcPr>
          <w:p w:rsidR="00B742C7" w:rsidRPr="00A120C4" w:rsidRDefault="00B742C7" w:rsidP="00B742C7">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Total equity as at 31 December 2014</w:t>
            </w:r>
          </w:p>
        </w:tc>
        <w:tc>
          <w:tcPr>
            <w:tcW w:w="1842" w:type="dxa"/>
            <w:tcBorders>
              <w:top w:val="single" w:sz="6" w:space="0" w:color="000000"/>
              <w:left w:val="nil"/>
              <w:bottom w:val="single" w:sz="12" w:space="0" w:color="auto"/>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41 722</w:t>
            </w:r>
          </w:p>
        </w:tc>
        <w:tc>
          <w:tcPr>
            <w:tcW w:w="1560" w:type="dxa"/>
            <w:tcBorders>
              <w:top w:val="single" w:sz="6" w:space="0" w:color="000000"/>
              <w:left w:val="nil"/>
              <w:bottom w:val="single" w:sz="12" w:space="0" w:color="auto"/>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50</w:t>
            </w:r>
          </w:p>
        </w:tc>
        <w:tc>
          <w:tcPr>
            <w:tcW w:w="2126" w:type="dxa"/>
            <w:tcBorders>
              <w:top w:val="single" w:sz="6" w:space="0" w:color="000000"/>
              <w:left w:val="nil"/>
              <w:bottom w:val="single" w:sz="12" w:space="0" w:color="auto"/>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41 632</w:t>
            </w:r>
          </w:p>
        </w:tc>
        <w:tc>
          <w:tcPr>
            <w:tcW w:w="2124" w:type="dxa"/>
            <w:tcBorders>
              <w:top w:val="single" w:sz="6" w:space="0" w:color="000000"/>
              <w:left w:val="nil"/>
              <w:bottom w:val="single" w:sz="12" w:space="0" w:color="auto"/>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42 190</w:t>
            </w:r>
          </w:p>
        </w:tc>
        <w:tc>
          <w:tcPr>
            <w:tcW w:w="1071" w:type="dxa"/>
            <w:tcBorders>
              <w:top w:val="single" w:sz="6" w:space="0" w:color="000000"/>
              <w:left w:val="nil"/>
              <w:bottom w:val="single" w:sz="12" w:space="0" w:color="auto"/>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629</w:t>
            </w:r>
          </w:p>
        </w:tc>
        <w:tc>
          <w:tcPr>
            <w:tcW w:w="941" w:type="dxa"/>
            <w:tcBorders>
              <w:top w:val="single" w:sz="6" w:space="0" w:color="000000"/>
              <w:left w:val="nil"/>
              <w:bottom w:val="single" w:sz="12" w:space="0" w:color="auto"/>
              <w:right w:val="nil"/>
            </w:tcBorders>
            <w:shd w:val="clear" w:color="auto" w:fill="FFFFFF"/>
          </w:tcPr>
          <w:p w:rsidR="00B742C7" w:rsidRPr="00A120C4" w:rsidRDefault="00B742C7"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A120C4">
              <w:rPr>
                <w:rFonts w:ascii="Calibri" w:eastAsiaTheme="minorEastAsia" w:hAnsi="Calibri" w:cs="Calibri"/>
                <w:b/>
                <w:bCs/>
                <w:color w:val="000000"/>
                <w:sz w:val="22"/>
                <w:szCs w:val="22"/>
                <w:lang w:eastAsia="en-AU"/>
              </w:rPr>
              <w:t>126 224</w:t>
            </w:r>
          </w:p>
        </w:tc>
      </w:tr>
    </w:tbl>
    <w:p w:rsidR="00BB67AF" w:rsidRDefault="00BB67AF" w:rsidP="003E6750">
      <w:pPr>
        <w:pStyle w:val="Source"/>
      </w:pPr>
      <w:r>
        <w:t>The accompanying notes form part of these financial statements.</w:t>
      </w:r>
    </w:p>
    <w:p w:rsidR="00BB67AF" w:rsidRDefault="00BB67AF" w:rsidP="003E6750">
      <w:pPr>
        <w:pStyle w:val="Notes"/>
      </w:pPr>
      <w:r>
        <w:t>Note:</w:t>
      </w:r>
    </w:p>
    <w:p w:rsidR="00BB67AF" w:rsidRPr="00717E8D" w:rsidRDefault="00BB67AF" w:rsidP="003E6750">
      <w:pPr>
        <w:pStyle w:val="Notes"/>
      </w:pPr>
      <w:r>
        <w:t>(a)</w:t>
      </w:r>
      <w:r>
        <w:tab/>
        <w:t xml:space="preserve">The 1 July 2014 and December 2014 comparatives and the 1 July 2015 opening balances have been restated to reflect more current information, mainly including adjustments outlined in Note 37 of the </w:t>
      </w:r>
      <w:r w:rsidR="00897890">
        <w:br/>
      </w:r>
      <w:r>
        <w:rPr>
          <w:i w:val="0"/>
        </w:rPr>
        <w:t>2014</w:t>
      </w:r>
      <w:r>
        <w:rPr>
          <w:i w:val="0"/>
        </w:rPr>
        <w:noBreakHyphen/>
        <w:t>15 Financial Report</w:t>
      </w:r>
      <w:r>
        <w:t>.</w:t>
      </w:r>
    </w:p>
    <w:p w:rsidR="00BB67AF" w:rsidRDefault="00BB67AF" w:rsidP="003E6750">
      <w:pPr>
        <w:pStyle w:val="Notes"/>
      </w:pPr>
    </w:p>
    <w:p w:rsidR="00BB67AF" w:rsidRDefault="00BB67AF">
      <w:pPr>
        <w:spacing w:after="0"/>
        <w:rPr>
          <w:rFonts w:ascii="Calibri" w:hAnsi="Calibri"/>
          <w:i/>
          <w:sz w:val="16"/>
        </w:rPr>
      </w:pPr>
      <w:r>
        <w:br w:type="page"/>
      </w:r>
    </w:p>
    <w:p w:rsidR="00BB67AF" w:rsidRDefault="00BB67AF" w:rsidP="003E6750">
      <w:pPr>
        <w:pStyle w:val="Notes"/>
      </w:pPr>
    </w:p>
    <w:p w:rsidR="00BB67AF" w:rsidRDefault="00BB67AF" w:rsidP="003E6750">
      <w:pPr>
        <w:pStyle w:val="Notes"/>
      </w:pPr>
    </w:p>
    <w:p w:rsidR="00BB67AF" w:rsidRDefault="00BB67AF" w:rsidP="003E6750">
      <w:pPr>
        <w:sectPr w:rsidR="00BB67AF" w:rsidSect="003E6750">
          <w:headerReference w:type="even" r:id="rId28"/>
          <w:headerReference w:type="default" r:id="rId29"/>
          <w:footerReference w:type="even" r:id="rId30"/>
          <w:footerReference w:type="default" r:id="rId31"/>
          <w:pgSz w:w="16838" w:h="11906" w:orient="landscape" w:code="9"/>
          <w:pgMar w:top="1151" w:right="1151" w:bottom="1151" w:left="1151" w:header="720" w:footer="720" w:gutter="0"/>
          <w:cols w:space="708"/>
          <w:docGrid w:linePitch="360"/>
        </w:sectPr>
      </w:pPr>
    </w:p>
    <w:p w:rsidR="00BB67AF" w:rsidRDefault="00BB67AF" w:rsidP="003E6750">
      <w:pPr>
        <w:pStyle w:val="Heading1"/>
      </w:pPr>
      <w:bookmarkStart w:id="9" w:name="_Toc445283149"/>
      <w:r w:rsidRPr="00830D90">
        <w:lastRenderedPageBreak/>
        <w:t>Notes to the financial statements</w:t>
      </w:r>
      <w:bookmarkEnd w:id="9"/>
    </w:p>
    <w:p w:rsidR="00842014" w:rsidRDefault="00BB67AF">
      <w:pPr>
        <w:pStyle w:val="TOC4"/>
        <w:rPr>
          <w:rFonts w:asciiTheme="minorHAnsi" w:eastAsiaTheme="minorEastAsia" w:hAnsiTheme="minorHAnsi" w:cstheme="minorBidi"/>
          <w:noProof/>
          <w:szCs w:val="22"/>
          <w:lang w:eastAsia="en-AU"/>
        </w:rPr>
      </w:pPr>
      <w:r>
        <w:rPr>
          <w:spacing w:val="1"/>
          <w:sz w:val="20"/>
        </w:rPr>
        <w:fldChar w:fldCharType="begin"/>
      </w:r>
      <w:r>
        <w:instrText xml:space="preserve"> </w:instrText>
      </w:r>
      <w:r w:rsidRPr="00D26163">
        <w:instrText>TOC \h \z \t "Heading 2 Notes,4"</w:instrText>
      </w:r>
      <w:r>
        <w:instrText xml:space="preserve"> </w:instrText>
      </w:r>
      <w:r>
        <w:rPr>
          <w:spacing w:val="1"/>
          <w:sz w:val="20"/>
        </w:rPr>
        <w:fldChar w:fldCharType="separate"/>
      </w:r>
      <w:hyperlink w:anchor="_Toc445283159" w:history="1">
        <w:r w:rsidR="00842014" w:rsidRPr="00D41C0A">
          <w:rPr>
            <w:rStyle w:val="Hyperlink"/>
            <w:noProof/>
          </w:rPr>
          <w:t>Note 1:</w:t>
        </w:r>
        <w:r w:rsidR="00842014">
          <w:rPr>
            <w:rFonts w:asciiTheme="minorHAnsi" w:eastAsiaTheme="minorEastAsia" w:hAnsiTheme="minorHAnsi" w:cstheme="minorBidi"/>
            <w:noProof/>
            <w:szCs w:val="22"/>
            <w:lang w:eastAsia="en-AU"/>
          </w:rPr>
          <w:tab/>
        </w:r>
        <w:r w:rsidR="00842014" w:rsidRPr="00D41C0A">
          <w:rPr>
            <w:rStyle w:val="Hyperlink"/>
            <w:noProof/>
          </w:rPr>
          <w:t>Summary of significant accounting policies</w:t>
        </w:r>
        <w:r w:rsidR="00842014">
          <w:rPr>
            <w:noProof/>
            <w:webHidden/>
          </w:rPr>
          <w:tab/>
        </w:r>
        <w:r w:rsidR="00842014">
          <w:rPr>
            <w:noProof/>
            <w:webHidden/>
          </w:rPr>
          <w:fldChar w:fldCharType="begin"/>
        </w:r>
        <w:r w:rsidR="00842014">
          <w:rPr>
            <w:noProof/>
            <w:webHidden/>
          </w:rPr>
          <w:instrText xml:space="preserve"> PAGEREF _Toc445283159 \h </w:instrText>
        </w:r>
        <w:r w:rsidR="00842014">
          <w:rPr>
            <w:noProof/>
            <w:webHidden/>
          </w:rPr>
        </w:r>
        <w:r w:rsidR="00842014">
          <w:rPr>
            <w:noProof/>
            <w:webHidden/>
          </w:rPr>
          <w:fldChar w:fldCharType="separate"/>
        </w:r>
        <w:r w:rsidR="00842014">
          <w:rPr>
            <w:noProof/>
            <w:webHidden/>
          </w:rPr>
          <w:t>18</w:t>
        </w:r>
        <w:r w:rsidR="00842014">
          <w:rPr>
            <w:noProof/>
            <w:webHidden/>
          </w:rPr>
          <w:fldChar w:fldCharType="end"/>
        </w:r>
      </w:hyperlink>
    </w:p>
    <w:p w:rsidR="00842014" w:rsidRDefault="00387CE8">
      <w:pPr>
        <w:pStyle w:val="TOC4"/>
        <w:rPr>
          <w:rFonts w:asciiTheme="minorHAnsi" w:eastAsiaTheme="minorEastAsia" w:hAnsiTheme="minorHAnsi" w:cstheme="minorBidi"/>
          <w:noProof/>
          <w:szCs w:val="22"/>
          <w:lang w:eastAsia="en-AU"/>
        </w:rPr>
      </w:pPr>
      <w:hyperlink w:anchor="_Toc445283160" w:history="1">
        <w:r w:rsidR="00842014" w:rsidRPr="00D41C0A">
          <w:rPr>
            <w:rStyle w:val="Hyperlink"/>
            <w:noProof/>
          </w:rPr>
          <w:t xml:space="preserve">Note 2: </w:t>
        </w:r>
        <w:r w:rsidR="00842014">
          <w:rPr>
            <w:rFonts w:asciiTheme="minorHAnsi" w:eastAsiaTheme="minorEastAsia" w:hAnsiTheme="minorHAnsi" w:cstheme="minorBidi"/>
            <w:noProof/>
            <w:szCs w:val="22"/>
            <w:lang w:eastAsia="en-AU"/>
          </w:rPr>
          <w:tab/>
        </w:r>
        <w:r w:rsidR="00842014" w:rsidRPr="00D41C0A">
          <w:rPr>
            <w:rStyle w:val="Hyperlink"/>
            <w:noProof/>
          </w:rPr>
          <w:t>Disaggregated information</w:t>
        </w:r>
        <w:r w:rsidR="00842014">
          <w:rPr>
            <w:noProof/>
            <w:webHidden/>
          </w:rPr>
          <w:tab/>
        </w:r>
        <w:r w:rsidR="00842014">
          <w:rPr>
            <w:noProof/>
            <w:webHidden/>
          </w:rPr>
          <w:fldChar w:fldCharType="begin"/>
        </w:r>
        <w:r w:rsidR="00842014">
          <w:rPr>
            <w:noProof/>
            <w:webHidden/>
          </w:rPr>
          <w:instrText xml:space="preserve"> PAGEREF _Toc445283160 \h </w:instrText>
        </w:r>
        <w:r w:rsidR="00842014">
          <w:rPr>
            <w:noProof/>
            <w:webHidden/>
          </w:rPr>
        </w:r>
        <w:r w:rsidR="00842014">
          <w:rPr>
            <w:noProof/>
            <w:webHidden/>
          </w:rPr>
          <w:fldChar w:fldCharType="separate"/>
        </w:r>
        <w:r w:rsidR="00842014">
          <w:rPr>
            <w:noProof/>
            <w:webHidden/>
          </w:rPr>
          <w:t>22</w:t>
        </w:r>
        <w:r w:rsidR="00842014">
          <w:rPr>
            <w:noProof/>
            <w:webHidden/>
          </w:rPr>
          <w:fldChar w:fldCharType="end"/>
        </w:r>
      </w:hyperlink>
    </w:p>
    <w:p w:rsidR="00842014" w:rsidRDefault="00387CE8">
      <w:pPr>
        <w:pStyle w:val="TOC4"/>
        <w:rPr>
          <w:rFonts w:asciiTheme="minorHAnsi" w:eastAsiaTheme="minorEastAsia" w:hAnsiTheme="minorHAnsi" w:cstheme="minorBidi"/>
          <w:noProof/>
          <w:szCs w:val="22"/>
          <w:lang w:eastAsia="en-AU"/>
        </w:rPr>
      </w:pPr>
      <w:hyperlink w:anchor="_Toc445283161" w:history="1">
        <w:r w:rsidR="00842014" w:rsidRPr="00D41C0A">
          <w:rPr>
            <w:rStyle w:val="Hyperlink"/>
            <w:noProof/>
          </w:rPr>
          <w:t xml:space="preserve">Note 3: </w:t>
        </w:r>
        <w:r w:rsidR="00842014">
          <w:rPr>
            <w:rFonts w:asciiTheme="minorHAnsi" w:eastAsiaTheme="minorEastAsia" w:hAnsiTheme="minorHAnsi" w:cstheme="minorBidi"/>
            <w:noProof/>
            <w:szCs w:val="22"/>
            <w:lang w:eastAsia="en-AU"/>
          </w:rPr>
          <w:tab/>
        </w:r>
        <w:r w:rsidR="00842014" w:rsidRPr="00D41C0A">
          <w:rPr>
            <w:rStyle w:val="Hyperlink"/>
            <w:noProof/>
          </w:rPr>
          <w:t>Taxation revenue</w:t>
        </w:r>
        <w:r w:rsidR="00842014">
          <w:rPr>
            <w:noProof/>
            <w:webHidden/>
          </w:rPr>
          <w:tab/>
        </w:r>
        <w:r w:rsidR="00842014">
          <w:rPr>
            <w:noProof/>
            <w:webHidden/>
          </w:rPr>
          <w:fldChar w:fldCharType="begin"/>
        </w:r>
        <w:r w:rsidR="00842014">
          <w:rPr>
            <w:noProof/>
            <w:webHidden/>
          </w:rPr>
          <w:instrText xml:space="preserve"> PAGEREF _Toc445283161 \h </w:instrText>
        </w:r>
        <w:r w:rsidR="00842014">
          <w:rPr>
            <w:noProof/>
            <w:webHidden/>
          </w:rPr>
        </w:r>
        <w:r w:rsidR="00842014">
          <w:rPr>
            <w:noProof/>
            <w:webHidden/>
          </w:rPr>
          <w:fldChar w:fldCharType="separate"/>
        </w:r>
        <w:r w:rsidR="00842014">
          <w:rPr>
            <w:noProof/>
            <w:webHidden/>
          </w:rPr>
          <w:t>30</w:t>
        </w:r>
        <w:r w:rsidR="00842014">
          <w:rPr>
            <w:noProof/>
            <w:webHidden/>
          </w:rPr>
          <w:fldChar w:fldCharType="end"/>
        </w:r>
      </w:hyperlink>
    </w:p>
    <w:p w:rsidR="00842014" w:rsidRDefault="00387CE8">
      <w:pPr>
        <w:pStyle w:val="TOC4"/>
        <w:rPr>
          <w:rFonts w:asciiTheme="minorHAnsi" w:eastAsiaTheme="minorEastAsia" w:hAnsiTheme="minorHAnsi" w:cstheme="minorBidi"/>
          <w:noProof/>
          <w:szCs w:val="22"/>
          <w:lang w:eastAsia="en-AU"/>
        </w:rPr>
      </w:pPr>
      <w:hyperlink w:anchor="_Toc445283162" w:history="1">
        <w:r w:rsidR="00842014" w:rsidRPr="00D41C0A">
          <w:rPr>
            <w:rStyle w:val="Hyperlink"/>
            <w:noProof/>
          </w:rPr>
          <w:t xml:space="preserve">Note 4: </w:t>
        </w:r>
        <w:r w:rsidR="00842014">
          <w:rPr>
            <w:rFonts w:asciiTheme="minorHAnsi" w:eastAsiaTheme="minorEastAsia" w:hAnsiTheme="minorHAnsi" w:cstheme="minorBidi"/>
            <w:noProof/>
            <w:szCs w:val="22"/>
            <w:lang w:eastAsia="en-AU"/>
          </w:rPr>
          <w:tab/>
        </w:r>
        <w:r w:rsidR="00842014" w:rsidRPr="00D41C0A">
          <w:rPr>
            <w:rStyle w:val="Hyperlink"/>
            <w:noProof/>
          </w:rPr>
          <w:t>Dividends and income tax equivalent and rate equivalent revenue</w:t>
        </w:r>
        <w:r w:rsidR="00842014">
          <w:rPr>
            <w:noProof/>
            <w:webHidden/>
          </w:rPr>
          <w:tab/>
        </w:r>
        <w:r w:rsidR="00842014">
          <w:rPr>
            <w:noProof/>
            <w:webHidden/>
          </w:rPr>
          <w:fldChar w:fldCharType="begin"/>
        </w:r>
        <w:r w:rsidR="00842014">
          <w:rPr>
            <w:noProof/>
            <w:webHidden/>
          </w:rPr>
          <w:instrText xml:space="preserve"> PAGEREF _Toc445283162 \h </w:instrText>
        </w:r>
        <w:r w:rsidR="00842014">
          <w:rPr>
            <w:noProof/>
            <w:webHidden/>
          </w:rPr>
        </w:r>
        <w:r w:rsidR="00842014">
          <w:rPr>
            <w:noProof/>
            <w:webHidden/>
          </w:rPr>
          <w:fldChar w:fldCharType="separate"/>
        </w:r>
        <w:r w:rsidR="00842014">
          <w:rPr>
            <w:noProof/>
            <w:webHidden/>
          </w:rPr>
          <w:t>31</w:t>
        </w:r>
        <w:r w:rsidR="00842014">
          <w:rPr>
            <w:noProof/>
            <w:webHidden/>
          </w:rPr>
          <w:fldChar w:fldCharType="end"/>
        </w:r>
      </w:hyperlink>
    </w:p>
    <w:p w:rsidR="00842014" w:rsidRDefault="00387CE8">
      <w:pPr>
        <w:pStyle w:val="TOC4"/>
        <w:rPr>
          <w:rFonts w:asciiTheme="minorHAnsi" w:eastAsiaTheme="minorEastAsia" w:hAnsiTheme="minorHAnsi" w:cstheme="minorBidi"/>
          <w:noProof/>
          <w:szCs w:val="22"/>
          <w:lang w:eastAsia="en-AU"/>
        </w:rPr>
      </w:pPr>
      <w:hyperlink w:anchor="_Toc445283163" w:history="1">
        <w:r w:rsidR="00842014" w:rsidRPr="00D41C0A">
          <w:rPr>
            <w:rStyle w:val="Hyperlink"/>
            <w:noProof/>
          </w:rPr>
          <w:t xml:space="preserve">Note 5: </w:t>
        </w:r>
        <w:r w:rsidR="00842014">
          <w:rPr>
            <w:rFonts w:asciiTheme="minorHAnsi" w:eastAsiaTheme="minorEastAsia" w:hAnsiTheme="minorHAnsi" w:cstheme="minorBidi"/>
            <w:noProof/>
            <w:szCs w:val="22"/>
            <w:lang w:eastAsia="en-AU"/>
          </w:rPr>
          <w:tab/>
        </w:r>
        <w:r w:rsidR="00842014" w:rsidRPr="00D41C0A">
          <w:rPr>
            <w:rStyle w:val="Hyperlink"/>
            <w:noProof/>
          </w:rPr>
          <w:t>Sales of goods and services</w:t>
        </w:r>
        <w:r w:rsidR="00842014">
          <w:rPr>
            <w:noProof/>
            <w:webHidden/>
          </w:rPr>
          <w:tab/>
        </w:r>
        <w:r w:rsidR="00842014">
          <w:rPr>
            <w:noProof/>
            <w:webHidden/>
          </w:rPr>
          <w:fldChar w:fldCharType="begin"/>
        </w:r>
        <w:r w:rsidR="00842014">
          <w:rPr>
            <w:noProof/>
            <w:webHidden/>
          </w:rPr>
          <w:instrText xml:space="preserve"> PAGEREF _Toc445283163 \h </w:instrText>
        </w:r>
        <w:r w:rsidR="00842014">
          <w:rPr>
            <w:noProof/>
            <w:webHidden/>
          </w:rPr>
        </w:r>
        <w:r w:rsidR="00842014">
          <w:rPr>
            <w:noProof/>
            <w:webHidden/>
          </w:rPr>
          <w:fldChar w:fldCharType="separate"/>
        </w:r>
        <w:r w:rsidR="00842014">
          <w:rPr>
            <w:noProof/>
            <w:webHidden/>
          </w:rPr>
          <w:t>32</w:t>
        </w:r>
        <w:r w:rsidR="00842014">
          <w:rPr>
            <w:noProof/>
            <w:webHidden/>
          </w:rPr>
          <w:fldChar w:fldCharType="end"/>
        </w:r>
      </w:hyperlink>
    </w:p>
    <w:p w:rsidR="00842014" w:rsidRDefault="00387CE8">
      <w:pPr>
        <w:pStyle w:val="TOC4"/>
        <w:rPr>
          <w:rFonts w:asciiTheme="minorHAnsi" w:eastAsiaTheme="minorEastAsia" w:hAnsiTheme="minorHAnsi" w:cstheme="minorBidi"/>
          <w:noProof/>
          <w:szCs w:val="22"/>
          <w:lang w:eastAsia="en-AU"/>
        </w:rPr>
      </w:pPr>
      <w:hyperlink w:anchor="_Toc445283164" w:history="1">
        <w:r w:rsidR="00842014" w:rsidRPr="00D41C0A">
          <w:rPr>
            <w:rStyle w:val="Hyperlink"/>
            <w:noProof/>
          </w:rPr>
          <w:t xml:space="preserve">Note 6: </w:t>
        </w:r>
        <w:r w:rsidR="00842014">
          <w:rPr>
            <w:rFonts w:asciiTheme="minorHAnsi" w:eastAsiaTheme="minorEastAsia" w:hAnsiTheme="minorHAnsi" w:cstheme="minorBidi"/>
            <w:noProof/>
            <w:szCs w:val="22"/>
            <w:lang w:eastAsia="en-AU"/>
          </w:rPr>
          <w:tab/>
        </w:r>
        <w:r w:rsidR="00842014" w:rsidRPr="00D41C0A">
          <w:rPr>
            <w:rStyle w:val="Hyperlink"/>
            <w:noProof/>
          </w:rPr>
          <w:t>Grant revenue</w:t>
        </w:r>
        <w:r w:rsidR="00842014">
          <w:rPr>
            <w:noProof/>
            <w:webHidden/>
          </w:rPr>
          <w:tab/>
        </w:r>
        <w:r w:rsidR="00842014">
          <w:rPr>
            <w:noProof/>
            <w:webHidden/>
          </w:rPr>
          <w:fldChar w:fldCharType="begin"/>
        </w:r>
        <w:r w:rsidR="00842014">
          <w:rPr>
            <w:noProof/>
            <w:webHidden/>
          </w:rPr>
          <w:instrText xml:space="preserve"> PAGEREF _Toc445283164 \h </w:instrText>
        </w:r>
        <w:r w:rsidR="00842014">
          <w:rPr>
            <w:noProof/>
            <w:webHidden/>
          </w:rPr>
        </w:r>
        <w:r w:rsidR="00842014">
          <w:rPr>
            <w:noProof/>
            <w:webHidden/>
          </w:rPr>
          <w:fldChar w:fldCharType="separate"/>
        </w:r>
        <w:r w:rsidR="00842014">
          <w:rPr>
            <w:noProof/>
            <w:webHidden/>
          </w:rPr>
          <w:t>32</w:t>
        </w:r>
        <w:r w:rsidR="00842014">
          <w:rPr>
            <w:noProof/>
            <w:webHidden/>
          </w:rPr>
          <w:fldChar w:fldCharType="end"/>
        </w:r>
      </w:hyperlink>
    </w:p>
    <w:p w:rsidR="00842014" w:rsidRDefault="00387CE8">
      <w:pPr>
        <w:pStyle w:val="TOC4"/>
        <w:rPr>
          <w:rFonts w:asciiTheme="minorHAnsi" w:eastAsiaTheme="minorEastAsia" w:hAnsiTheme="minorHAnsi" w:cstheme="minorBidi"/>
          <w:noProof/>
          <w:szCs w:val="22"/>
          <w:lang w:eastAsia="en-AU"/>
        </w:rPr>
      </w:pPr>
      <w:hyperlink w:anchor="_Toc445283165" w:history="1">
        <w:r w:rsidR="00842014" w:rsidRPr="00D41C0A">
          <w:rPr>
            <w:rStyle w:val="Hyperlink"/>
            <w:noProof/>
          </w:rPr>
          <w:t xml:space="preserve">Note 7: </w:t>
        </w:r>
        <w:r w:rsidR="00842014">
          <w:rPr>
            <w:rFonts w:asciiTheme="minorHAnsi" w:eastAsiaTheme="minorEastAsia" w:hAnsiTheme="minorHAnsi" w:cstheme="minorBidi"/>
            <w:noProof/>
            <w:szCs w:val="22"/>
            <w:lang w:eastAsia="en-AU"/>
          </w:rPr>
          <w:tab/>
        </w:r>
        <w:r w:rsidR="00842014" w:rsidRPr="00D41C0A">
          <w:rPr>
            <w:rStyle w:val="Hyperlink"/>
            <w:noProof/>
          </w:rPr>
          <w:t>Other revenue</w:t>
        </w:r>
        <w:r w:rsidR="00842014">
          <w:rPr>
            <w:noProof/>
            <w:webHidden/>
          </w:rPr>
          <w:tab/>
        </w:r>
        <w:r w:rsidR="00842014">
          <w:rPr>
            <w:noProof/>
            <w:webHidden/>
          </w:rPr>
          <w:fldChar w:fldCharType="begin"/>
        </w:r>
        <w:r w:rsidR="00842014">
          <w:rPr>
            <w:noProof/>
            <w:webHidden/>
          </w:rPr>
          <w:instrText xml:space="preserve"> PAGEREF _Toc445283165 \h </w:instrText>
        </w:r>
        <w:r w:rsidR="00842014">
          <w:rPr>
            <w:noProof/>
            <w:webHidden/>
          </w:rPr>
        </w:r>
        <w:r w:rsidR="00842014">
          <w:rPr>
            <w:noProof/>
            <w:webHidden/>
          </w:rPr>
          <w:fldChar w:fldCharType="separate"/>
        </w:r>
        <w:r w:rsidR="00842014">
          <w:rPr>
            <w:noProof/>
            <w:webHidden/>
          </w:rPr>
          <w:t>32</w:t>
        </w:r>
        <w:r w:rsidR="00842014">
          <w:rPr>
            <w:noProof/>
            <w:webHidden/>
          </w:rPr>
          <w:fldChar w:fldCharType="end"/>
        </w:r>
      </w:hyperlink>
    </w:p>
    <w:p w:rsidR="00842014" w:rsidRDefault="00387CE8">
      <w:pPr>
        <w:pStyle w:val="TOC4"/>
        <w:rPr>
          <w:rFonts w:asciiTheme="minorHAnsi" w:eastAsiaTheme="minorEastAsia" w:hAnsiTheme="minorHAnsi" w:cstheme="minorBidi"/>
          <w:noProof/>
          <w:szCs w:val="22"/>
          <w:lang w:eastAsia="en-AU"/>
        </w:rPr>
      </w:pPr>
      <w:hyperlink w:anchor="_Toc445283166" w:history="1">
        <w:r w:rsidR="00842014" w:rsidRPr="00D41C0A">
          <w:rPr>
            <w:rStyle w:val="Hyperlink"/>
            <w:noProof/>
          </w:rPr>
          <w:t xml:space="preserve">Note 8: </w:t>
        </w:r>
        <w:r w:rsidR="00842014">
          <w:rPr>
            <w:rFonts w:asciiTheme="minorHAnsi" w:eastAsiaTheme="minorEastAsia" w:hAnsiTheme="minorHAnsi" w:cstheme="minorBidi"/>
            <w:noProof/>
            <w:szCs w:val="22"/>
            <w:lang w:eastAsia="en-AU"/>
          </w:rPr>
          <w:tab/>
        </w:r>
        <w:r w:rsidR="00842014" w:rsidRPr="00D41C0A">
          <w:rPr>
            <w:rStyle w:val="Hyperlink"/>
            <w:noProof/>
          </w:rPr>
          <w:t>Superannuation</w:t>
        </w:r>
        <w:r w:rsidR="00842014">
          <w:rPr>
            <w:noProof/>
            <w:webHidden/>
          </w:rPr>
          <w:tab/>
        </w:r>
        <w:r w:rsidR="00842014">
          <w:rPr>
            <w:noProof/>
            <w:webHidden/>
          </w:rPr>
          <w:fldChar w:fldCharType="begin"/>
        </w:r>
        <w:r w:rsidR="00842014">
          <w:rPr>
            <w:noProof/>
            <w:webHidden/>
          </w:rPr>
          <w:instrText xml:space="preserve"> PAGEREF _Toc445283166 \h </w:instrText>
        </w:r>
        <w:r w:rsidR="00842014">
          <w:rPr>
            <w:noProof/>
            <w:webHidden/>
          </w:rPr>
        </w:r>
        <w:r w:rsidR="00842014">
          <w:rPr>
            <w:noProof/>
            <w:webHidden/>
          </w:rPr>
          <w:fldChar w:fldCharType="separate"/>
        </w:r>
        <w:r w:rsidR="00842014">
          <w:rPr>
            <w:noProof/>
            <w:webHidden/>
          </w:rPr>
          <w:t>33</w:t>
        </w:r>
        <w:r w:rsidR="00842014">
          <w:rPr>
            <w:noProof/>
            <w:webHidden/>
          </w:rPr>
          <w:fldChar w:fldCharType="end"/>
        </w:r>
      </w:hyperlink>
    </w:p>
    <w:p w:rsidR="00842014" w:rsidRDefault="00387CE8">
      <w:pPr>
        <w:pStyle w:val="TOC4"/>
        <w:rPr>
          <w:rFonts w:asciiTheme="minorHAnsi" w:eastAsiaTheme="minorEastAsia" w:hAnsiTheme="minorHAnsi" w:cstheme="minorBidi"/>
          <w:noProof/>
          <w:szCs w:val="22"/>
          <w:lang w:eastAsia="en-AU"/>
        </w:rPr>
      </w:pPr>
      <w:hyperlink w:anchor="_Toc445283167" w:history="1">
        <w:r w:rsidR="00842014" w:rsidRPr="00D41C0A">
          <w:rPr>
            <w:rStyle w:val="Hyperlink"/>
            <w:noProof/>
          </w:rPr>
          <w:t xml:space="preserve">Note 9: </w:t>
        </w:r>
        <w:r w:rsidR="00842014">
          <w:rPr>
            <w:rFonts w:asciiTheme="minorHAnsi" w:eastAsiaTheme="minorEastAsia" w:hAnsiTheme="minorHAnsi" w:cstheme="minorBidi"/>
            <w:noProof/>
            <w:szCs w:val="22"/>
            <w:lang w:eastAsia="en-AU"/>
          </w:rPr>
          <w:tab/>
        </w:r>
        <w:r w:rsidR="00842014" w:rsidRPr="00D41C0A">
          <w:rPr>
            <w:rStyle w:val="Hyperlink"/>
            <w:noProof/>
          </w:rPr>
          <w:t>Depreciation</w:t>
        </w:r>
        <w:r w:rsidR="00842014">
          <w:rPr>
            <w:noProof/>
            <w:webHidden/>
          </w:rPr>
          <w:tab/>
        </w:r>
        <w:r w:rsidR="00842014">
          <w:rPr>
            <w:noProof/>
            <w:webHidden/>
          </w:rPr>
          <w:fldChar w:fldCharType="begin"/>
        </w:r>
        <w:r w:rsidR="00842014">
          <w:rPr>
            <w:noProof/>
            <w:webHidden/>
          </w:rPr>
          <w:instrText xml:space="preserve"> PAGEREF _Toc445283167 \h </w:instrText>
        </w:r>
        <w:r w:rsidR="00842014">
          <w:rPr>
            <w:noProof/>
            <w:webHidden/>
          </w:rPr>
        </w:r>
        <w:r w:rsidR="00842014">
          <w:rPr>
            <w:noProof/>
            <w:webHidden/>
          </w:rPr>
          <w:fldChar w:fldCharType="separate"/>
        </w:r>
        <w:r w:rsidR="00842014">
          <w:rPr>
            <w:noProof/>
            <w:webHidden/>
          </w:rPr>
          <w:t>34</w:t>
        </w:r>
        <w:r w:rsidR="00842014">
          <w:rPr>
            <w:noProof/>
            <w:webHidden/>
          </w:rPr>
          <w:fldChar w:fldCharType="end"/>
        </w:r>
      </w:hyperlink>
    </w:p>
    <w:p w:rsidR="00842014" w:rsidRDefault="00387CE8">
      <w:pPr>
        <w:pStyle w:val="TOC4"/>
        <w:rPr>
          <w:rFonts w:asciiTheme="minorHAnsi" w:eastAsiaTheme="minorEastAsia" w:hAnsiTheme="minorHAnsi" w:cstheme="minorBidi"/>
          <w:noProof/>
          <w:szCs w:val="22"/>
          <w:lang w:eastAsia="en-AU"/>
        </w:rPr>
      </w:pPr>
      <w:hyperlink w:anchor="_Toc445283168" w:history="1">
        <w:r w:rsidR="00842014" w:rsidRPr="00D41C0A">
          <w:rPr>
            <w:rStyle w:val="Hyperlink"/>
            <w:noProof/>
          </w:rPr>
          <w:t xml:space="preserve">Note 10: </w:t>
        </w:r>
        <w:r w:rsidR="00842014">
          <w:rPr>
            <w:rFonts w:asciiTheme="minorHAnsi" w:eastAsiaTheme="minorEastAsia" w:hAnsiTheme="minorHAnsi" w:cstheme="minorBidi"/>
            <w:noProof/>
            <w:szCs w:val="22"/>
            <w:lang w:eastAsia="en-AU"/>
          </w:rPr>
          <w:tab/>
        </w:r>
        <w:r w:rsidR="00842014" w:rsidRPr="00D41C0A">
          <w:rPr>
            <w:rStyle w:val="Hyperlink"/>
            <w:noProof/>
          </w:rPr>
          <w:t>Interest expense</w:t>
        </w:r>
        <w:r w:rsidR="00842014">
          <w:rPr>
            <w:noProof/>
            <w:webHidden/>
          </w:rPr>
          <w:tab/>
        </w:r>
        <w:r w:rsidR="00842014">
          <w:rPr>
            <w:noProof/>
            <w:webHidden/>
          </w:rPr>
          <w:fldChar w:fldCharType="begin"/>
        </w:r>
        <w:r w:rsidR="00842014">
          <w:rPr>
            <w:noProof/>
            <w:webHidden/>
          </w:rPr>
          <w:instrText xml:space="preserve"> PAGEREF _Toc445283168 \h </w:instrText>
        </w:r>
        <w:r w:rsidR="00842014">
          <w:rPr>
            <w:noProof/>
            <w:webHidden/>
          </w:rPr>
        </w:r>
        <w:r w:rsidR="00842014">
          <w:rPr>
            <w:noProof/>
            <w:webHidden/>
          </w:rPr>
          <w:fldChar w:fldCharType="separate"/>
        </w:r>
        <w:r w:rsidR="00842014">
          <w:rPr>
            <w:noProof/>
            <w:webHidden/>
          </w:rPr>
          <w:t>34</w:t>
        </w:r>
        <w:r w:rsidR="00842014">
          <w:rPr>
            <w:noProof/>
            <w:webHidden/>
          </w:rPr>
          <w:fldChar w:fldCharType="end"/>
        </w:r>
      </w:hyperlink>
    </w:p>
    <w:p w:rsidR="00842014" w:rsidRDefault="00387CE8">
      <w:pPr>
        <w:pStyle w:val="TOC4"/>
        <w:rPr>
          <w:rFonts w:asciiTheme="minorHAnsi" w:eastAsiaTheme="minorEastAsia" w:hAnsiTheme="minorHAnsi" w:cstheme="minorBidi"/>
          <w:noProof/>
          <w:szCs w:val="22"/>
          <w:lang w:eastAsia="en-AU"/>
        </w:rPr>
      </w:pPr>
      <w:hyperlink w:anchor="_Toc445283169" w:history="1">
        <w:r w:rsidR="00842014" w:rsidRPr="00D41C0A">
          <w:rPr>
            <w:rStyle w:val="Hyperlink"/>
            <w:noProof/>
          </w:rPr>
          <w:t>Note 11:</w:t>
        </w:r>
        <w:r w:rsidR="00842014">
          <w:rPr>
            <w:rFonts w:asciiTheme="minorHAnsi" w:eastAsiaTheme="minorEastAsia" w:hAnsiTheme="minorHAnsi" w:cstheme="minorBidi"/>
            <w:noProof/>
            <w:szCs w:val="22"/>
            <w:lang w:eastAsia="en-AU"/>
          </w:rPr>
          <w:tab/>
        </w:r>
        <w:r w:rsidR="00842014" w:rsidRPr="00D41C0A">
          <w:rPr>
            <w:rStyle w:val="Hyperlink"/>
            <w:noProof/>
          </w:rPr>
          <w:t>Grant expense</w:t>
        </w:r>
        <w:r w:rsidR="00842014">
          <w:rPr>
            <w:noProof/>
            <w:webHidden/>
          </w:rPr>
          <w:tab/>
        </w:r>
        <w:r w:rsidR="00842014">
          <w:rPr>
            <w:noProof/>
            <w:webHidden/>
          </w:rPr>
          <w:fldChar w:fldCharType="begin"/>
        </w:r>
        <w:r w:rsidR="00842014">
          <w:rPr>
            <w:noProof/>
            <w:webHidden/>
          </w:rPr>
          <w:instrText xml:space="preserve"> PAGEREF _Toc445283169 \h </w:instrText>
        </w:r>
        <w:r w:rsidR="00842014">
          <w:rPr>
            <w:noProof/>
            <w:webHidden/>
          </w:rPr>
        </w:r>
        <w:r w:rsidR="00842014">
          <w:rPr>
            <w:noProof/>
            <w:webHidden/>
          </w:rPr>
          <w:fldChar w:fldCharType="separate"/>
        </w:r>
        <w:r w:rsidR="00842014">
          <w:rPr>
            <w:noProof/>
            <w:webHidden/>
          </w:rPr>
          <w:t>35</w:t>
        </w:r>
        <w:r w:rsidR="00842014">
          <w:rPr>
            <w:noProof/>
            <w:webHidden/>
          </w:rPr>
          <w:fldChar w:fldCharType="end"/>
        </w:r>
      </w:hyperlink>
    </w:p>
    <w:p w:rsidR="00842014" w:rsidRDefault="00387CE8">
      <w:pPr>
        <w:pStyle w:val="TOC4"/>
        <w:rPr>
          <w:rFonts w:asciiTheme="minorHAnsi" w:eastAsiaTheme="minorEastAsia" w:hAnsiTheme="minorHAnsi" w:cstheme="minorBidi"/>
          <w:noProof/>
          <w:szCs w:val="22"/>
          <w:lang w:eastAsia="en-AU"/>
        </w:rPr>
      </w:pPr>
      <w:hyperlink w:anchor="_Toc445283170" w:history="1">
        <w:r w:rsidR="00842014" w:rsidRPr="00D41C0A">
          <w:rPr>
            <w:rStyle w:val="Hyperlink"/>
            <w:noProof/>
          </w:rPr>
          <w:t xml:space="preserve">Note 12: </w:t>
        </w:r>
        <w:r w:rsidR="00842014">
          <w:rPr>
            <w:rFonts w:asciiTheme="minorHAnsi" w:eastAsiaTheme="minorEastAsia" w:hAnsiTheme="minorHAnsi" w:cstheme="minorBidi"/>
            <w:noProof/>
            <w:szCs w:val="22"/>
            <w:lang w:eastAsia="en-AU"/>
          </w:rPr>
          <w:tab/>
        </w:r>
        <w:r w:rsidR="00842014" w:rsidRPr="00D41C0A">
          <w:rPr>
            <w:rStyle w:val="Hyperlink"/>
            <w:noProof/>
          </w:rPr>
          <w:t>Other operating expenses</w:t>
        </w:r>
        <w:r w:rsidR="00842014">
          <w:rPr>
            <w:noProof/>
            <w:webHidden/>
          </w:rPr>
          <w:tab/>
        </w:r>
        <w:r w:rsidR="00842014">
          <w:rPr>
            <w:noProof/>
            <w:webHidden/>
          </w:rPr>
          <w:fldChar w:fldCharType="begin"/>
        </w:r>
        <w:r w:rsidR="00842014">
          <w:rPr>
            <w:noProof/>
            <w:webHidden/>
          </w:rPr>
          <w:instrText xml:space="preserve"> PAGEREF _Toc445283170 \h </w:instrText>
        </w:r>
        <w:r w:rsidR="00842014">
          <w:rPr>
            <w:noProof/>
            <w:webHidden/>
          </w:rPr>
        </w:r>
        <w:r w:rsidR="00842014">
          <w:rPr>
            <w:noProof/>
            <w:webHidden/>
          </w:rPr>
          <w:fldChar w:fldCharType="separate"/>
        </w:r>
        <w:r w:rsidR="00842014">
          <w:rPr>
            <w:noProof/>
            <w:webHidden/>
          </w:rPr>
          <w:t>35</w:t>
        </w:r>
        <w:r w:rsidR="00842014">
          <w:rPr>
            <w:noProof/>
            <w:webHidden/>
          </w:rPr>
          <w:fldChar w:fldCharType="end"/>
        </w:r>
      </w:hyperlink>
    </w:p>
    <w:p w:rsidR="00842014" w:rsidRDefault="00387CE8">
      <w:pPr>
        <w:pStyle w:val="TOC4"/>
        <w:rPr>
          <w:rFonts w:asciiTheme="minorHAnsi" w:eastAsiaTheme="minorEastAsia" w:hAnsiTheme="minorHAnsi" w:cstheme="minorBidi"/>
          <w:noProof/>
          <w:szCs w:val="22"/>
          <w:lang w:eastAsia="en-AU"/>
        </w:rPr>
      </w:pPr>
      <w:hyperlink w:anchor="_Toc445283171" w:history="1">
        <w:r w:rsidR="00842014" w:rsidRPr="00D41C0A">
          <w:rPr>
            <w:rStyle w:val="Hyperlink"/>
            <w:noProof/>
          </w:rPr>
          <w:t xml:space="preserve">Note 13: </w:t>
        </w:r>
        <w:r w:rsidR="00842014">
          <w:rPr>
            <w:rFonts w:asciiTheme="minorHAnsi" w:eastAsiaTheme="minorEastAsia" w:hAnsiTheme="minorHAnsi" w:cstheme="minorBidi"/>
            <w:noProof/>
            <w:szCs w:val="22"/>
            <w:lang w:eastAsia="en-AU"/>
          </w:rPr>
          <w:tab/>
        </w:r>
        <w:r w:rsidR="00842014" w:rsidRPr="00D41C0A">
          <w:rPr>
            <w:rStyle w:val="Hyperlink"/>
            <w:noProof/>
          </w:rPr>
          <w:t>Total expenses by government purpose and by department</w:t>
        </w:r>
        <w:r w:rsidR="00842014">
          <w:rPr>
            <w:noProof/>
            <w:webHidden/>
          </w:rPr>
          <w:tab/>
        </w:r>
        <w:r w:rsidR="00842014">
          <w:rPr>
            <w:noProof/>
            <w:webHidden/>
          </w:rPr>
          <w:fldChar w:fldCharType="begin"/>
        </w:r>
        <w:r w:rsidR="00842014">
          <w:rPr>
            <w:noProof/>
            <w:webHidden/>
          </w:rPr>
          <w:instrText xml:space="preserve"> PAGEREF _Toc445283171 \h </w:instrText>
        </w:r>
        <w:r w:rsidR="00842014">
          <w:rPr>
            <w:noProof/>
            <w:webHidden/>
          </w:rPr>
        </w:r>
        <w:r w:rsidR="00842014">
          <w:rPr>
            <w:noProof/>
            <w:webHidden/>
          </w:rPr>
          <w:fldChar w:fldCharType="separate"/>
        </w:r>
        <w:r w:rsidR="00842014">
          <w:rPr>
            <w:noProof/>
            <w:webHidden/>
          </w:rPr>
          <w:t>36</w:t>
        </w:r>
        <w:r w:rsidR="00842014">
          <w:rPr>
            <w:noProof/>
            <w:webHidden/>
          </w:rPr>
          <w:fldChar w:fldCharType="end"/>
        </w:r>
      </w:hyperlink>
    </w:p>
    <w:p w:rsidR="00842014" w:rsidRDefault="00387CE8">
      <w:pPr>
        <w:pStyle w:val="TOC4"/>
        <w:rPr>
          <w:rFonts w:asciiTheme="minorHAnsi" w:eastAsiaTheme="minorEastAsia" w:hAnsiTheme="minorHAnsi" w:cstheme="minorBidi"/>
          <w:noProof/>
          <w:szCs w:val="22"/>
          <w:lang w:eastAsia="en-AU"/>
        </w:rPr>
      </w:pPr>
      <w:hyperlink w:anchor="_Toc445283172" w:history="1">
        <w:r w:rsidR="00842014" w:rsidRPr="00D41C0A">
          <w:rPr>
            <w:rStyle w:val="Hyperlink"/>
            <w:noProof/>
          </w:rPr>
          <w:t xml:space="preserve">Note 14: </w:t>
        </w:r>
        <w:r w:rsidR="00842014">
          <w:rPr>
            <w:rFonts w:asciiTheme="minorHAnsi" w:eastAsiaTheme="minorEastAsia" w:hAnsiTheme="minorHAnsi" w:cstheme="minorBidi"/>
            <w:noProof/>
            <w:szCs w:val="22"/>
            <w:lang w:eastAsia="en-AU"/>
          </w:rPr>
          <w:tab/>
        </w:r>
        <w:r w:rsidR="00842014" w:rsidRPr="00D41C0A">
          <w:rPr>
            <w:rStyle w:val="Hyperlink"/>
            <w:noProof/>
          </w:rPr>
          <w:t>Other gains/(losses) from other economic flows</w:t>
        </w:r>
        <w:r w:rsidR="00842014">
          <w:rPr>
            <w:noProof/>
            <w:webHidden/>
          </w:rPr>
          <w:tab/>
        </w:r>
        <w:r w:rsidR="00842014">
          <w:rPr>
            <w:noProof/>
            <w:webHidden/>
          </w:rPr>
          <w:fldChar w:fldCharType="begin"/>
        </w:r>
        <w:r w:rsidR="00842014">
          <w:rPr>
            <w:noProof/>
            <w:webHidden/>
          </w:rPr>
          <w:instrText xml:space="preserve"> PAGEREF _Toc445283172 \h </w:instrText>
        </w:r>
        <w:r w:rsidR="00842014">
          <w:rPr>
            <w:noProof/>
            <w:webHidden/>
          </w:rPr>
        </w:r>
        <w:r w:rsidR="00842014">
          <w:rPr>
            <w:noProof/>
            <w:webHidden/>
          </w:rPr>
          <w:fldChar w:fldCharType="separate"/>
        </w:r>
        <w:r w:rsidR="00842014">
          <w:rPr>
            <w:noProof/>
            <w:webHidden/>
          </w:rPr>
          <w:t>38</w:t>
        </w:r>
        <w:r w:rsidR="00842014">
          <w:rPr>
            <w:noProof/>
            <w:webHidden/>
          </w:rPr>
          <w:fldChar w:fldCharType="end"/>
        </w:r>
      </w:hyperlink>
    </w:p>
    <w:p w:rsidR="00842014" w:rsidRDefault="00387CE8">
      <w:pPr>
        <w:pStyle w:val="TOC4"/>
        <w:rPr>
          <w:rFonts w:asciiTheme="minorHAnsi" w:eastAsiaTheme="minorEastAsia" w:hAnsiTheme="minorHAnsi" w:cstheme="minorBidi"/>
          <w:noProof/>
          <w:szCs w:val="22"/>
          <w:lang w:eastAsia="en-AU"/>
        </w:rPr>
      </w:pPr>
      <w:hyperlink w:anchor="_Toc445283173" w:history="1">
        <w:r w:rsidR="00842014" w:rsidRPr="00D41C0A">
          <w:rPr>
            <w:rStyle w:val="Hyperlink"/>
            <w:noProof/>
          </w:rPr>
          <w:t xml:space="preserve">Note 15: </w:t>
        </w:r>
        <w:r w:rsidR="00842014">
          <w:rPr>
            <w:rFonts w:asciiTheme="minorHAnsi" w:eastAsiaTheme="minorEastAsia" w:hAnsiTheme="minorHAnsi" w:cstheme="minorBidi"/>
            <w:noProof/>
            <w:szCs w:val="22"/>
            <w:lang w:eastAsia="en-AU"/>
          </w:rPr>
          <w:tab/>
        </w:r>
        <w:r w:rsidR="00842014" w:rsidRPr="00D41C0A">
          <w:rPr>
            <w:rStyle w:val="Hyperlink"/>
            <w:noProof/>
          </w:rPr>
          <w:t>Advances paid and investments, loans and placements</w:t>
        </w:r>
        <w:r w:rsidR="00842014">
          <w:rPr>
            <w:noProof/>
            <w:webHidden/>
          </w:rPr>
          <w:tab/>
        </w:r>
        <w:r w:rsidR="00842014">
          <w:rPr>
            <w:noProof/>
            <w:webHidden/>
          </w:rPr>
          <w:fldChar w:fldCharType="begin"/>
        </w:r>
        <w:r w:rsidR="00842014">
          <w:rPr>
            <w:noProof/>
            <w:webHidden/>
          </w:rPr>
          <w:instrText xml:space="preserve"> PAGEREF _Toc445283173 \h </w:instrText>
        </w:r>
        <w:r w:rsidR="00842014">
          <w:rPr>
            <w:noProof/>
            <w:webHidden/>
          </w:rPr>
        </w:r>
        <w:r w:rsidR="00842014">
          <w:rPr>
            <w:noProof/>
            <w:webHidden/>
          </w:rPr>
          <w:fldChar w:fldCharType="separate"/>
        </w:r>
        <w:r w:rsidR="00842014">
          <w:rPr>
            <w:noProof/>
            <w:webHidden/>
          </w:rPr>
          <w:t>38</w:t>
        </w:r>
        <w:r w:rsidR="00842014">
          <w:rPr>
            <w:noProof/>
            <w:webHidden/>
          </w:rPr>
          <w:fldChar w:fldCharType="end"/>
        </w:r>
      </w:hyperlink>
    </w:p>
    <w:p w:rsidR="00842014" w:rsidRDefault="00387CE8">
      <w:pPr>
        <w:pStyle w:val="TOC4"/>
        <w:rPr>
          <w:rFonts w:asciiTheme="minorHAnsi" w:eastAsiaTheme="minorEastAsia" w:hAnsiTheme="minorHAnsi" w:cstheme="minorBidi"/>
          <w:noProof/>
          <w:szCs w:val="22"/>
          <w:lang w:eastAsia="en-AU"/>
        </w:rPr>
      </w:pPr>
      <w:hyperlink w:anchor="_Toc445283174" w:history="1">
        <w:r w:rsidR="00842014" w:rsidRPr="00D41C0A">
          <w:rPr>
            <w:rStyle w:val="Hyperlink"/>
            <w:noProof/>
          </w:rPr>
          <w:t xml:space="preserve">Note 16: </w:t>
        </w:r>
        <w:r w:rsidR="00842014">
          <w:rPr>
            <w:rFonts w:asciiTheme="minorHAnsi" w:eastAsiaTheme="minorEastAsia" w:hAnsiTheme="minorHAnsi" w:cstheme="minorBidi"/>
            <w:noProof/>
            <w:szCs w:val="22"/>
            <w:lang w:eastAsia="en-AU"/>
          </w:rPr>
          <w:tab/>
        </w:r>
        <w:r w:rsidR="00842014" w:rsidRPr="00D41C0A">
          <w:rPr>
            <w:rStyle w:val="Hyperlink"/>
            <w:noProof/>
          </w:rPr>
          <w:t>Receivables</w:t>
        </w:r>
        <w:r w:rsidR="00842014">
          <w:rPr>
            <w:noProof/>
            <w:webHidden/>
          </w:rPr>
          <w:tab/>
        </w:r>
        <w:r w:rsidR="00842014">
          <w:rPr>
            <w:noProof/>
            <w:webHidden/>
          </w:rPr>
          <w:fldChar w:fldCharType="begin"/>
        </w:r>
        <w:r w:rsidR="00842014">
          <w:rPr>
            <w:noProof/>
            <w:webHidden/>
          </w:rPr>
          <w:instrText xml:space="preserve"> PAGEREF _Toc445283174 \h </w:instrText>
        </w:r>
        <w:r w:rsidR="00842014">
          <w:rPr>
            <w:noProof/>
            <w:webHidden/>
          </w:rPr>
        </w:r>
        <w:r w:rsidR="00842014">
          <w:rPr>
            <w:noProof/>
            <w:webHidden/>
          </w:rPr>
          <w:fldChar w:fldCharType="separate"/>
        </w:r>
        <w:r w:rsidR="00842014">
          <w:rPr>
            <w:noProof/>
            <w:webHidden/>
          </w:rPr>
          <w:t>39</w:t>
        </w:r>
        <w:r w:rsidR="00842014">
          <w:rPr>
            <w:noProof/>
            <w:webHidden/>
          </w:rPr>
          <w:fldChar w:fldCharType="end"/>
        </w:r>
      </w:hyperlink>
    </w:p>
    <w:p w:rsidR="00842014" w:rsidRDefault="00387CE8">
      <w:pPr>
        <w:pStyle w:val="TOC4"/>
        <w:rPr>
          <w:rFonts w:asciiTheme="minorHAnsi" w:eastAsiaTheme="minorEastAsia" w:hAnsiTheme="minorHAnsi" w:cstheme="minorBidi"/>
          <w:noProof/>
          <w:szCs w:val="22"/>
          <w:lang w:eastAsia="en-AU"/>
        </w:rPr>
      </w:pPr>
      <w:hyperlink w:anchor="_Toc445283175" w:history="1">
        <w:r w:rsidR="00842014" w:rsidRPr="00D41C0A">
          <w:rPr>
            <w:rStyle w:val="Hyperlink"/>
            <w:noProof/>
          </w:rPr>
          <w:t xml:space="preserve">Note 17: </w:t>
        </w:r>
        <w:r w:rsidR="00842014">
          <w:rPr>
            <w:rFonts w:asciiTheme="minorHAnsi" w:eastAsiaTheme="minorEastAsia" w:hAnsiTheme="minorHAnsi" w:cstheme="minorBidi"/>
            <w:noProof/>
            <w:szCs w:val="22"/>
            <w:lang w:eastAsia="en-AU"/>
          </w:rPr>
          <w:tab/>
        </w:r>
        <w:r w:rsidR="00842014" w:rsidRPr="00D41C0A">
          <w:rPr>
            <w:rStyle w:val="Hyperlink"/>
            <w:noProof/>
          </w:rPr>
          <w:t>Investments accounted for using the equity method</w:t>
        </w:r>
        <w:r w:rsidR="00842014">
          <w:rPr>
            <w:noProof/>
            <w:webHidden/>
          </w:rPr>
          <w:tab/>
        </w:r>
        <w:r w:rsidR="00842014">
          <w:rPr>
            <w:noProof/>
            <w:webHidden/>
          </w:rPr>
          <w:fldChar w:fldCharType="begin"/>
        </w:r>
        <w:r w:rsidR="00842014">
          <w:rPr>
            <w:noProof/>
            <w:webHidden/>
          </w:rPr>
          <w:instrText xml:space="preserve"> PAGEREF _Toc445283175 \h </w:instrText>
        </w:r>
        <w:r w:rsidR="00842014">
          <w:rPr>
            <w:noProof/>
            <w:webHidden/>
          </w:rPr>
        </w:r>
        <w:r w:rsidR="00842014">
          <w:rPr>
            <w:noProof/>
            <w:webHidden/>
          </w:rPr>
          <w:fldChar w:fldCharType="separate"/>
        </w:r>
        <w:r w:rsidR="00842014">
          <w:rPr>
            <w:noProof/>
            <w:webHidden/>
          </w:rPr>
          <w:t>39</w:t>
        </w:r>
        <w:r w:rsidR="00842014">
          <w:rPr>
            <w:noProof/>
            <w:webHidden/>
          </w:rPr>
          <w:fldChar w:fldCharType="end"/>
        </w:r>
      </w:hyperlink>
    </w:p>
    <w:p w:rsidR="00842014" w:rsidRDefault="00387CE8">
      <w:pPr>
        <w:pStyle w:val="TOC4"/>
        <w:rPr>
          <w:rFonts w:asciiTheme="minorHAnsi" w:eastAsiaTheme="minorEastAsia" w:hAnsiTheme="minorHAnsi" w:cstheme="minorBidi"/>
          <w:noProof/>
          <w:szCs w:val="22"/>
          <w:lang w:eastAsia="en-AU"/>
        </w:rPr>
      </w:pPr>
      <w:hyperlink w:anchor="_Toc445283176" w:history="1">
        <w:r w:rsidR="00842014" w:rsidRPr="00D41C0A">
          <w:rPr>
            <w:rStyle w:val="Hyperlink"/>
            <w:noProof/>
          </w:rPr>
          <w:t xml:space="preserve">Note 18: </w:t>
        </w:r>
        <w:r w:rsidR="00842014">
          <w:rPr>
            <w:rFonts w:asciiTheme="minorHAnsi" w:eastAsiaTheme="minorEastAsia" w:hAnsiTheme="minorHAnsi" w:cstheme="minorBidi"/>
            <w:noProof/>
            <w:szCs w:val="22"/>
            <w:lang w:eastAsia="en-AU"/>
          </w:rPr>
          <w:tab/>
        </w:r>
        <w:r w:rsidR="00842014" w:rsidRPr="00D41C0A">
          <w:rPr>
            <w:rStyle w:val="Hyperlink"/>
            <w:noProof/>
          </w:rPr>
          <w:t>Inventories</w:t>
        </w:r>
        <w:r w:rsidR="00842014">
          <w:rPr>
            <w:noProof/>
            <w:webHidden/>
          </w:rPr>
          <w:tab/>
        </w:r>
        <w:r w:rsidR="00842014">
          <w:rPr>
            <w:noProof/>
            <w:webHidden/>
          </w:rPr>
          <w:fldChar w:fldCharType="begin"/>
        </w:r>
        <w:r w:rsidR="00842014">
          <w:rPr>
            <w:noProof/>
            <w:webHidden/>
          </w:rPr>
          <w:instrText xml:space="preserve"> PAGEREF _Toc445283176 \h </w:instrText>
        </w:r>
        <w:r w:rsidR="00842014">
          <w:rPr>
            <w:noProof/>
            <w:webHidden/>
          </w:rPr>
        </w:r>
        <w:r w:rsidR="00842014">
          <w:rPr>
            <w:noProof/>
            <w:webHidden/>
          </w:rPr>
          <w:fldChar w:fldCharType="separate"/>
        </w:r>
        <w:r w:rsidR="00842014">
          <w:rPr>
            <w:noProof/>
            <w:webHidden/>
          </w:rPr>
          <w:t>40</w:t>
        </w:r>
        <w:r w:rsidR="00842014">
          <w:rPr>
            <w:noProof/>
            <w:webHidden/>
          </w:rPr>
          <w:fldChar w:fldCharType="end"/>
        </w:r>
      </w:hyperlink>
    </w:p>
    <w:p w:rsidR="00842014" w:rsidRDefault="00387CE8">
      <w:pPr>
        <w:pStyle w:val="TOC4"/>
        <w:rPr>
          <w:rFonts w:asciiTheme="minorHAnsi" w:eastAsiaTheme="minorEastAsia" w:hAnsiTheme="minorHAnsi" w:cstheme="minorBidi"/>
          <w:noProof/>
          <w:szCs w:val="22"/>
          <w:lang w:eastAsia="en-AU"/>
        </w:rPr>
      </w:pPr>
      <w:hyperlink w:anchor="_Toc445283177" w:history="1">
        <w:r w:rsidR="00842014" w:rsidRPr="00D41C0A">
          <w:rPr>
            <w:rStyle w:val="Hyperlink"/>
            <w:noProof/>
          </w:rPr>
          <w:t xml:space="preserve">Note 19: </w:t>
        </w:r>
        <w:r w:rsidR="00842014">
          <w:rPr>
            <w:rFonts w:asciiTheme="minorHAnsi" w:eastAsiaTheme="minorEastAsia" w:hAnsiTheme="minorHAnsi" w:cstheme="minorBidi"/>
            <w:noProof/>
            <w:szCs w:val="22"/>
            <w:lang w:eastAsia="en-AU"/>
          </w:rPr>
          <w:tab/>
        </w:r>
        <w:r w:rsidR="00842014" w:rsidRPr="00D41C0A">
          <w:rPr>
            <w:rStyle w:val="Hyperlink"/>
            <w:noProof/>
          </w:rPr>
          <w:t>Non</w:t>
        </w:r>
        <w:r w:rsidR="00842014" w:rsidRPr="00D41C0A">
          <w:rPr>
            <w:rStyle w:val="Hyperlink"/>
            <w:noProof/>
          </w:rPr>
          <w:noBreakHyphen/>
          <w:t>financial assets held for sale</w:t>
        </w:r>
        <w:r w:rsidR="00842014">
          <w:rPr>
            <w:noProof/>
            <w:webHidden/>
          </w:rPr>
          <w:tab/>
        </w:r>
        <w:r w:rsidR="00842014">
          <w:rPr>
            <w:noProof/>
            <w:webHidden/>
          </w:rPr>
          <w:fldChar w:fldCharType="begin"/>
        </w:r>
        <w:r w:rsidR="00842014">
          <w:rPr>
            <w:noProof/>
            <w:webHidden/>
          </w:rPr>
          <w:instrText xml:space="preserve"> PAGEREF _Toc445283177 \h </w:instrText>
        </w:r>
        <w:r w:rsidR="00842014">
          <w:rPr>
            <w:noProof/>
            <w:webHidden/>
          </w:rPr>
        </w:r>
        <w:r w:rsidR="00842014">
          <w:rPr>
            <w:noProof/>
            <w:webHidden/>
          </w:rPr>
          <w:fldChar w:fldCharType="separate"/>
        </w:r>
        <w:r w:rsidR="00842014">
          <w:rPr>
            <w:noProof/>
            <w:webHidden/>
          </w:rPr>
          <w:t>40</w:t>
        </w:r>
        <w:r w:rsidR="00842014">
          <w:rPr>
            <w:noProof/>
            <w:webHidden/>
          </w:rPr>
          <w:fldChar w:fldCharType="end"/>
        </w:r>
      </w:hyperlink>
    </w:p>
    <w:p w:rsidR="00842014" w:rsidRDefault="00387CE8">
      <w:pPr>
        <w:pStyle w:val="TOC4"/>
        <w:rPr>
          <w:rFonts w:asciiTheme="minorHAnsi" w:eastAsiaTheme="minorEastAsia" w:hAnsiTheme="minorHAnsi" w:cstheme="minorBidi"/>
          <w:noProof/>
          <w:szCs w:val="22"/>
          <w:lang w:eastAsia="en-AU"/>
        </w:rPr>
      </w:pPr>
      <w:hyperlink w:anchor="_Toc445283178" w:history="1">
        <w:r w:rsidR="00842014" w:rsidRPr="00D41C0A">
          <w:rPr>
            <w:rStyle w:val="Hyperlink"/>
            <w:noProof/>
          </w:rPr>
          <w:t xml:space="preserve">Note 20: </w:t>
        </w:r>
        <w:r w:rsidR="00842014">
          <w:rPr>
            <w:rFonts w:asciiTheme="minorHAnsi" w:eastAsiaTheme="minorEastAsia" w:hAnsiTheme="minorHAnsi" w:cstheme="minorBidi"/>
            <w:noProof/>
            <w:szCs w:val="22"/>
            <w:lang w:eastAsia="en-AU"/>
          </w:rPr>
          <w:tab/>
        </w:r>
        <w:r w:rsidR="00842014" w:rsidRPr="00D41C0A">
          <w:rPr>
            <w:rStyle w:val="Hyperlink"/>
            <w:noProof/>
          </w:rPr>
          <w:t>Land, buildings, infrastructure, plant and equipment</w:t>
        </w:r>
        <w:r w:rsidR="00842014">
          <w:rPr>
            <w:noProof/>
            <w:webHidden/>
          </w:rPr>
          <w:tab/>
        </w:r>
        <w:r w:rsidR="00842014">
          <w:rPr>
            <w:noProof/>
            <w:webHidden/>
          </w:rPr>
          <w:fldChar w:fldCharType="begin"/>
        </w:r>
        <w:r w:rsidR="00842014">
          <w:rPr>
            <w:noProof/>
            <w:webHidden/>
          </w:rPr>
          <w:instrText xml:space="preserve"> PAGEREF _Toc445283178 \h </w:instrText>
        </w:r>
        <w:r w:rsidR="00842014">
          <w:rPr>
            <w:noProof/>
            <w:webHidden/>
          </w:rPr>
        </w:r>
        <w:r w:rsidR="00842014">
          <w:rPr>
            <w:noProof/>
            <w:webHidden/>
          </w:rPr>
          <w:fldChar w:fldCharType="separate"/>
        </w:r>
        <w:r w:rsidR="00842014">
          <w:rPr>
            <w:noProof/>
            <w:webHidden/>
          </w:rPr>
          <w:t>41</w:t>
        </w:r>
        <w:r w:rsidR="00842014">
          <w:rPr>
            <w:noProof/>
            <w:webHidden/>
          </w:rPr>
          <w:fldChar w:fldCharType="end"/>
        </w:r>
      </w:hyperlink>
    </w:p>
    <w:p w:rsidR="00842014" w:rsidRDefault="00387CE8">
      <w:pPr>
        <w:pStyle w:val="TOC4"/>
        <w:rPr>
          <w:rFonts w:asciiTheme="minorHAnsi" w:eastAsiaTheme="minorEastAsia" w:hAnsiTheme="minorHAnsi" w:cstheme="minorBidi"/>
          <w:noProof/>
          <w:szCs w:val="22"/>
          <w:lang w:eastAsia="en-AU"/>
        </w:rPr>
      </w:pPr>
      <w:hyperlink w:anchor="_Toc445283179" w:history="1">
        <w:r w:rsidR="00842014" w:rsidRPr="00D41C0A">
          <w:rPr>
            <w:rStyle w:val="Hyperlink"/>
            <w:noProof/>
          </w:rPr>
          <w:t xml:space="preserve">Note 21: </w:t>
        </w:r>
        <w:r w:rsidR="00842014">
          <w:rPr>
            <w:rFonts w:asciiTheme="minorHAnsi" w:eastAsiaTheme="minorEastAsia" w:hAnsiTheme="minorHAnsi" w:cstheme="minorBidi"/>
            <w:noProof/>
            <w:szCs w:val="22"/>
            <w:lang w:eastAsia="en-AU"/>
          </w:rPr>
          <w:tab/>
        </w:r>
        <w:r w:rsidR="00842014" w:rsidRPr="00D41C0A">
          <w:rPr>
            <w:rStyle w:val="Hyperlink"/>
            <w:noProof/>
          </w:rPr>
          <w:t>Other non</w:t>
        </w:r>
        <w:r w:rsidR="00842014" w:rsidRPr="00D41C0A">
          <w:rPr>
            <w:rStyle w:val="Hyperlink"/>
            <w:noProof/>
          </w:rPr>
          <w:noBreakHyphen/>
          <w:t>financial assets</w:t>
        </w:r>
        <w:r w:rsidR="00842014">
          <w:rPr>
            <w:noProof/>
            <w:webHidden/>
          </w:rPr>
          <w:tab/>
        </w:r>
        <w:r w:rsidR="00842014">
          <w:rPr>
            <w:noProof/>
            <w:webHidden/>
          </w:rPr>
          <w:fldChar w:fldCharType="begin"/>
        </w:r>
        <w:r w:rsidR="00842014">
          <w:rPr>
            <w:noProof/>
            <w:webHidden/>
          </w:rPr>
          <w:instrText xml:space="preserve"> PAGEREF _Toc445283179 \h </w:instrText>
        </w:r>
        <w:r w:rsidR="00842014">
          <w:rPr>
            <w:noProof/>
            <w:webHidden/>
          </w:rPr>
        </w:r>
        <w:r w:rsidR="00842014">
          <w:rPr>
            <w:noProof/>
            <w:webHidden/>
          </w:rPr>
          <w:fldChar w:fldCharType="separate"/>
        </w:r>
        <w:r w:rsidR="00842014">
          <w:rPr>
            <w:noProof/>
            <w:webHidden/>
          </w:rPr>
          <w:t>44</w:t>
        </w:r>
        <w:r w:rsidR="00842014">
          <w:rPr>
            <w:noProof/>
            <w:webHidden/>
          </w:rPr>
          <w:fldChar w:fldCharType="end"/>
        </w:r>
      </w:hyperlink>
    </w:p>
    <w:p w:rsidR="00842014" w:rsidRDefault="00387CE8">
      <w:pPr>
        <w:pStyle w:val="TOC4"/>
        <w:rPr>
          <w:rFonts w:asciiTheme="minorHAnsi" w:eastAsiaTheme="minorEastAsia" w:hAnsiTheme="minorHAnsi" w:cstheme="minorBidi"/>
          <w:noProof/>
          <w:szCs w:val="22"/>
          <w:lang w:eastAsia="en-AU"/>
        </w:rPr>
      </w:pPr>
      <w:hyperlink w:anchor="_Toc445283180" w:history="1">
        <w:r w:rsidR="00842014" w:rsidRPr="00D41C0A">
          <w:rPr>
            <w:rStyle w:val="Hyperlink"/>
            <w:noProof/>
          </w:rPr>
          <w:t xml:space="preserve">Note 22: </w:t>
        </w:r>
        <w:r w:rsidR="00842014">
          <w:rPr>
            <w:rFonts w:asciiTheme="minorHAnsi" w:eastAsiaTheme="minorEastAsia" w:hAnsiTheme="minorHAnsi" w:cstheme="minorBidi"/>
            <w:noProof/>
            <w:szCs w:val="22"/>
            <w:lang w:eastAsia="en-AU"/>
          </w:rPr>
          <w:tab/>
        </w:r>
        <w:r w:rsidR="00842014" w:rsidRPr="00D41C0A">
          <w:rPr>
            <w:rStyle w:val="Hyperlink"/>
            <w:noProof/>
          </w:rPr>
          <w:t>Assets classified by government purpose and by department</w:t>
        </w:r>
        <w:r w:rsidR="00842014">
          <w:rPr>
            <w:noProof/>
            <w:webHidden/>
          </w:rPr>
          <w:tab/>
        </w:r>
        <w:r w:rsidR="00842014">
          <w:rPr>
            <w:noProof/>
            <w:webHidden/>
          </w:rPr>
          <w:fldChar w:fldCharType="begin"/>
        </w:r>
        <w:r w:rsidR="00842014">
          <w:rPr>
            <w:noProof/>
            <w:webHidden/>
          </w:rPr>
          <w:instrText xml:space="preserve"> PAGEREF _Toc445283180 \h </w:instrText>
        </w:r>
        <w:r w:rsidR="00842014">
          <w:rPr>
            <w:noProof/>
            <w:webHidden/>
          </w:rPr>
        </w:r>
        <w:r w:rsidR="00842014">
          <w:rPr>
            <w:noProof/>
            <w:webHidden/>
          </w:rPr>
          <w:fldChar w:fldCharType="separate"/>
        </w:r>
        <w:r w:rsidR="00842014">
          <w:rPr>
            <w:noProof/>
            <w:webHidden/>
          </w:rPr>
          <w:t>44</w:t>
        </w:r>
        <w:r w:rsidR="00842014">
          <w:rPr>
            <w:noProof/>
            <w:webHidden/>
          </w:rPr>
          <w:fldChar w:fldCharType="end"/>
        </w:r>
      </w:hyperlink>
    </w:p>
    <w:p w:rsidR="00842014" w:rsidRDefault="00387CE8">
      <w:pPr>
        <w:pStyle w:val="TOC4"/>
        <w:rPr>
          <w:rFonts w:asciiTheme="minorHAnsi" w:eastAsiaTheme="minorEastAsia" w:hAnsiTheme="minorHAnsi" w:cstheme="minorBidi"/>
          <w:noProof/>
          <w:szCs w:val="22"/>
          <w:lang w:eastAsia="en-AU"/>
        </w:rPr>
      </w:pPr>
      <w:hyperlink w:anchor="_Toc445283181" w:history="1">
        <w:r w:rsidR="00842014" w:rsidRPr="00D41C0A">
          <w:rPr>
            <w:rStyle w:val="Hyperlink"/>
            <w:noProof/>
          </w:rPr>
          <w:t xml:space="preserve">Note 23: </w:t>
        </w:r>
        <w:r w:rsidR="00842014">
          <w:rPr>
            <w:rFonts w:asciiTheme="minorHAnsi" w:eastAsiaTheme="minorEastAsia" w:hAnsiTheme="minorHAnsi" w:cstheme="minorBidi"/>
            <w:noProof/>
            <w:szCs w:val="22"/>
            <w:lang w:eastAsia="en-AU"/>
          </w:rPr>
          <w:tab/>
        </w:r>
        <w:r w:rsidR="00842014" w:rsidRPr="00D41C0A">
          <w:rPr>
            <w:rStyle w:val="Hyperlink"/>
            <w:noProof/>
          </w:rPr>
          <w:t>Payables</w:t>
        </w:r>
        <w:r w:rsidR="00842014">
          <w:rPr>
            <w:noProof/>
            <w:webHidden/>
          </w:rPr>
          <w:tab/>
        </w:r>
        <w:r w:rsidR="00842014">
          <w:rPr>
            <w:noProof/>
            <w:webHidden/>
          </w:rPr>
          <w:fldChar w:fldCharType="begin"/>
        </w:r>
        <w:r w:rsidR="00842014">
          <w:rPr>
            <w:noProof/>
            <w:webHidden/>
          </w:rPr>
          <w:instrText xml:space="preserve"> PAGEREF _Toc445283181 \h </w:instrText>
        </w:r>
        <w:r w:rsidR="00842014">
          <w:rPr>
            <w:noProof/>
            <w:webHidden/>
          </w:rPr>
        </w:r>
        <w:r w:rsidR="00842014">
          <w:rPr>
            <w:noProof/>
            <w:webHidden/>
          </w:rPr>
          <w:fldChar w:fldCharType="separate"/>
        </w:r>
        <w:r w:rsidR="00842014">
          <w:rPr>
            <w:noProof/>
            <w:webHidden/>
          </w:rPr>
          <w:t>46</w:t>
        </w:r>
        <w:r w:rsidR="00842014">
          <w:rPr>
            <w:noProof/>
            <w:webHidden/>
          </w:rPr>
          <w:fldChar w:fldCharType="end"/>
        </w:r>
      </w:hyperlink>
    </w:p>
    <w:p w:rsidR="00842014" w:rsidRDefault="00387CE8">
      <w:pPr>
        <w:pStyle w:val="TOC4"/>
        <w:rPr>
          <w:rFonts w:asciiTheme="minorHAnsi" w:eastAsiaTheme="minorEastAsia" w:hAnsiTheme="minorHAnsi" w:cstheme="minorBidi"/>
          <w:noProof/>
          <w:szCs w:val="22"/>
          <w:lang w:eastAsia="en-AU"/>
        </w:rPr>
      </w:pPr>
      <w:hyperlink w:anchor="_Toc445283182" w:history="1">
        <w:r w:rsidR="00842014" w:rsidRPr="00D41C0A">
          <w:rPr>
            <w:rStyle w:val="Hyperlink"/>
            <w:noProof/>
          </w:rPr>
          <w:t xml:space="preserve">Note 24: </w:t>
        </w:r>
        <w:r w:rsidR="00842014">
          <w:rPr>
            <w:rFonts w:asciiTheme="minorHAnsi" w:eastAsiaTheme="minorEastAsia" w:hAnsiTheme="minorHAnsi" w:cstheme="minorBidi"/>
            <w:noProof/>
            <w:szCs w:val="22"/>
            <w:lang w:eastAsia="en-AU"/>
          </w:rPr>
          <w:tab/>
        </w:r>
        <w:r w:rsidR="00842014" w:rsidRPr="00D41C0A">
          <w:rPr>
            <w:rStyle w:val="Hyperlink"/>
            <w:noProof/>
          </w:rPr>
          <w:t>Borrowings</w:t>
        </w:r>
        <w:r w:rsidR="00842014">
          <w:rPr>
            <w:noProof/>
            <w:webHidden/>
          </w:rPr>
          <w:tab/>
        </w:r>
        <w:r w:rsidR="00842014">
          <w:rPr>
            <w:noProof/>
            <w:webHidden/>
          </w:rPr>
          <w:fldChar w:fldCharType="begin"/>
        </w:r>
        <w:r w:rsidR="00842014">
          <w:rPr>
            <w:noProof/>
            <w:webHidden/>
          </w:rPr>
          <w:instrText xml:space="preserve"> PAGEREF _Toc445283182 \h </w:instrText>
        </w:r>
        <w:r w:rsidR="00842014">
          <w:rPr>
            <w:noProof/>
            <w:webHidden/>
          </w:rPr>
        </w:r>
        <w:r w:rsidR="00842014">
          <w:rPr>
            <w:noProof/>
            <w:webHidden/>
          </w:rPr>
          <w:fldChar w:fldCharType="separate"/>
        </w:r>
        <w:r w:rsidR="00842014">
          <w:rPr>
            <w:noProof/>
            <w:webHidden/>
          </w:rPr>
          <w:t>47</w:t>
        </w:r>
        <w:r w:rsidR="00842014">
          <w:rPr>
            <w:noProof/>
            <w:webHidden/>
          </w:rPr>
          <w:fldChar w:fldCharType="end"/>
        </w:r>
      </w:hyperlink>
    </w:p>
    <w:p w:rsidR="00842014" w:rsidRDefault="00387CE8">
      <w:pPr>
        <w:pStyle w:val="TOC4"/>
        <w:rPr>
          <w:rFonts w:asciiTheme="minorHAnsi" w:eastAsiaTheme="minorEastAsia" w:hAnsiTheme="minorHAnsi" w:cstheme="minorBidi"/>
          <w:noProof/>
          <w:szCs w:val="22"/>
          <w:lang w:eastAsia="en-AU"/>
        </w:rPr>
      </w:pPr>
      <w:hyperlink w:anchor="_Toc445283183" w:history="1">
        <w:r w:rsidR="00842014" w:rsidRPr="00D41C0A">
          <w:rPr>
            <w:rStyle w:val="Hyperlink"/>
            <w:noProof/>
          </w:rPr>
          <w:t xml:space="preserve">Note 25: </w:t>
        </w:r>
        <w:r w:rsidR="00842014">
          <w:rPr>
            <w:rFonts w:asciiTheme="minorHAnsi" w:eastAsiaTheme="minorEastAsia" w:hAnsiTheme="minorHAnsi" w:cstheme="minorBidi"/>
            <w:noProof/>
            <w:szCs w:val="22"/>
            <w:lang w:eastAsia="en-AU"/>
          </w:rPr>
          <w:tab/>
        </w:r>
        <w:r w:rsidR="00842014" w:rsidRPr="00D41C0A">
          <w:rPr>
            <w:rStyle w:val="Hyperlink"/>
            <w:noProof/>
          </w:rPr>
          <w:t>Employee benefits</w:t>
        </w:r>
        <w:r w:rsidR="00842014">
          <w:rPr>
            <w:noProof/>
            <w:webHidden/>
          </w:rPr>
          <w:tab/>
        </w:r>
        <w:r w:rsidR="00842014">
          <w:rPr>
            <w:noProof/>
            <w:webHidden/>
          </w:rPr>
          <w:fldChar w:fldCharType="begin"/>
        </w:r>
        <w:r w:rsidR="00842014">
          <w:rPr>
            <w:noProof/>
            <w:webHidden/>
          </w:rPr>
          <w:instrText xml:space="preserve"> PAGEREF _Toc445283183 \h </w:instrText>
        </w:r>
        <w:r w:rsidR="00842014">
          <w:rPr>
            <w:noProof/>
            <w:webHidden/>
          </w:rPr>
        </w:r>
        <w:r w:rsidR="00842014">
          <w:rPr>
            <w:noProof/>
            <w:webHidden/>
          </w:rPr>
          <w:fldChar w:fldCharType="separate"/>
        </w:r>
        <w:r w:rsidR="00842014">
          <w:rPr>
            <w:noProof/>
            <w:webHidden/>
          </w:rPr>
          <w:t>47</w:t>
        </w:r>
        <w:r w:rsidR="00842014">
          <w:rPr>
            <w:noProof/>
            <w:webHidden/>
          </w:rPr>
          <w:fldChar w:fldCharType="end"/>
        </w:r>
      </w:hyperlink>
    </w:p>
    <w:p w:rsidR="00842014" w:rsidRDefault="00387CE8">
      <w:pPr>
        <w:pStyle w:val="TOC4"/>
        <w:rPr>
          <w:rFonts w:asciiTheme="minorHAnsi" w:eastAsiaTheme="minorEastAsia" w:hAnsiTheme="minorHAnsi" w:cstheme="minorBidi"/>
          <w:noProof/>
          <w:szCs w:val="22"/>
          <w:lang w:eastAsia="en-AU"/>
        </w:rPr>
      </w:pPr>
      <w:hyperlink w:anchor="_Toc445283184" w:history="1">
        <w:r w:rsidR="00842014" w:rsidRPr="00D41C0A">
          <w:rPr>
            <w:rStyle w:val="Hyperlink"/>
            <w:noProof/>
          </w:rPr>
          <w:t xml:space="preserve">Note 26: </w:t>
        </w:r>
        <w:r w:rsidR="00842014">
          <w:rPr>
            <w:rFonts w:asciiTheme="minorHAnsi" w:eastAsiaTheme="minorEastAsia" w:hAnsiTheme="minorHAnsi" w:cstheme="minorBidi"/>
            <w:noProof/>
            <w:szCs w:val="22"/>
            <w:lang w:eastAsia="en-AU"/>
          </w:rPr>
          <w:tab/>
        </w:r>
        <w:r w:rsidR="00842014" w:rsidRPr="00D41C0A">
          <w:rPr>
            <w:rStyle w:val="Hyperlink"/>
            <w:noProof/>
          </w:rPr>
          <w:t>Other provisions</w:t>
        </w:r>
        <w:r w:rsidR="00842014">
          <w:rPr>
            <w:noProof/>
            <w:webHidden/>
          </w:rPr>
          <w:tab/>
        </w:r>
        <w:r w:rsidR="00842014">
          <w:rPr>
            <w:noProof/>
            <w:webHidden/>
          </w:rPr>
          <w:fldChar w:fldCharType="begin"/>
        </w:r>
        <w:r w:rsidR="00842014">
          <w:rPr>
            <w:noProof/>
            <w:webHidden/>
          </w:rPr>
          <w:instrText xml:space="preserve"> PAGEREF _Toc445283184 \h </w:instrText>
        </w:r>
        <w:r w:rsidR="00842014">
          <w:rPr>
            <w:noProof/>
            <w:webHidden/>
          </w:rPr>
        </w:r>
        <w:r w:rsidR="00842014">
          <w:rPr>
            <w:noProof/>
            <w:webHidden/>
          </w:rPr>
          <w:fldChar w:fldCharType="separate"/>
        </w:r>
        <w:r w:rsidR="00842014">
          <w:rPr>
            <w:noProof/>
            <w:webHidden/>
          </w:rPr>
          <w:t>48</w:t>
        </w:r>
        <w:r w:rsidR="00842014">
          <w:rPr>
            <w:noProof/>
            <w:webHidden/>
          </w:rPr>
          <w:fldChar w:fldCharType="end"/>
        </w:r>
      </w:hyperlink>
    </w:p>
    <w:p w:rsidR="00842014" w:rsidRDefault="00387CE8">
      <w:pPr>
        <w:pStyle w:val="TOC4"/>
        <w:rPr>
          <w:rFonts w:asciiTheme="minorHAnsi" w:eastAsiaTheme="minorEastAsia" w:hAnsiTheme="minorHAnsi" w:cstheme="minorBidi"/>
          <w:noProof/>
          <w:szCs w:val="22"/>
          <w:lang w:eastAsia="en-AU"/>
        </w:rPr>
      </w:pPr>
      <w:hyperlink w:anchor="_Toc445283185" w:history="1">
        <w:r w:rsidR="00842014" w:rsidRPr="00D41C0A">
          <w:rPr>
            <w:rStyle w:val="Hyperlink"/>
            <w:noProof/>
          </w:rPr>
          <w:t xml:space="preserve">Note 27: </w:t>
        </w:r>
        <w:r w:rsidR="00842014">
          <w:rPr>
            <w:rFonts w:asciiTheme="minorHAnsi" w:eastAsiaTheme="minorEastAsia" w:hAnsiTheme="minorHAnsi" w:cstheme="minorBidi"/>
            <w:noProof/>
            <w:szCs w:val="22"/>
            <w:lang w:eastAsia="en-AU"/>
          </w:rPr>
          <w:tab/>
        </w:r>
        <w:r w:rsidR="00842014" w:rsidRPr="00D41C0A">
          <w:rPr>
            <w:rStyle w:val="Hyperlink"/>
            <w:noProof/>
          </w:rPr>
          <w:t>Cash flow information</w:t>
        </w:r>
        <w:r w:rsidR="00842014">
          <w:rPr>
            <w:noProof/>
            <w:webHidden/>
          </w:rPr>
          <w:tab/>
        </w:r>
        <w:r w:rsidR="00842014">
          <w:rPr>
            <w:noProof/>
            <w:webHidden/>
          </w:rPr>
          <w:fldChar w:fldCharType="begin"/>
        </w:r>
        <w:r w:rsidR="00842014">
          <w:rPr>
            <w:noProof/>
            <w:webHidden/>
          </w:rPr>
          <w:instrText xml:space="preserve"> PAGEREF _Toc445283185 \h </w:instrText>
        </w:r>
        <w:r w:rsidR="00842014">
          <w:rPr>
            <w:noProof/>
            <w:webHidden/>
          </w:rPr>
        </w:r>
        <w:r w:rsidR="00842014">
          <w:rPr>
            <w:noProof/>
            <w:webHidden/>
          </w:rPr>
          <w:fldChar w:fldCharType="separate"/>
        </w:r>
        <w:r w:rsidR="00842014">
          <w:rPr>
            <w:noProof/>
            <w:webHidden/>
          </w:rPr>
          <w:t>49</w:t>
        </w:r>
        <w:r w:rsidR="00842014">
          <w:rPr>
            <w:noProof/>
            <w:webHidden/>
          </w:rPr>
          <w:fldChar w:fldCharType="end"/>
        </w:r>
      </w:hyperlink>
    </w:p>
    <w:p w:rsidR="00842014" w:rsidRDefault="00387CE8">
      <w:pPr>
        <w:pStyle w:val="TOC4"/>
        <w:rPr>
          <w:rFonts w:asciiTheme="minorHAnsi" w:eastAsiaTheme="minorEastAsia" w:hAnsiTheme="minorHAnsi" w:cstheme="minorBidi"/>
          <w:noProof/>
          <w:szCs w:val="22"/>
          <w:lang w:eastAsia="en-AU"/>
        </w:rPr>
      </w:pPr>
      <w:hyperlink w:anchor="_Toc445283186" w:history="1">
        <w:r w:rsidR="00842014" w:rsidRPr="00D41C0A">
          <w:rPr>
            <w:rStyle w:val="Hyperlink"/>
            <w:noProof/>
          </w:rPr>
          <w:t xml:space="preserve">Note 28: </w:t>
        </w:r>
        <w:r w:rsidR="00842014">
          <w:rPr>
            <w:rFonts w:asciiTheme="minorHAnsi" w:eastAsiaTheme="minorEastAsia" w:hAnsiTheme="minorHAnsi" w:cstheme="minorBidi"/>
            <w:noProof/>
            <w:szCs w:val="22"/>
            <w:lang w:eastAsia="en-AU"/>
          </w:rPr>
          <w:tab/>
        </w:r>
        <w:r w:rsidR="00842014" w:rsidRPr="00D41C0A">
          <w:rPr>
            <w:rStyle w:val="Hyperlink"/>
            <w:noProof/>
          </w:rPr>
          <w:t>Financial instruments</w:t>
        </w:r>
        <w:r w:rsidR="00842014">
          <w:rPr>
            <w:noProof/>
            <w:webHidden/>
          </w:rPr>
          <w:tab/>
        </w:r>
        <w:r w:rsidR="00842014">
          <w:rPr>
            <w:noProof/>
            <w:webHidden/>
          </w:rPr>
          <w:fldChar w:fldCharType="begin"/>
        </w:r>
        <w:r w:rsidR="00842014">
          <w:rPr>
            <w:noProof/>
            <w:webHidden/>
          </w:rPr>
          <w:instrText xml:space="preserve"> PAGEREF _Toc445283186 \h </w:instrText>
        </w:r>
        <w:r w:rsidR="00842014">
          <w:rPr>
            <w:noProof/>
            <w:webHidden/>
          </w:rPr>
        </w:r>
        <w:r w:rsidR="00842014">
          <w:rPr>
            <w:noProof/>
            <w:webHidden/>
          </w:rPr>
          <w:fldChar w:fldCharType="separate"/>
        </w:r>
        <w:r w:rsidR="00842014">
          <w:rPr>
            <w:noProof/>
            <w:webHidden/>
          </w:rPr>
          <w:t>50</w:t>
        </w:r>
        <w:r w:rsidR="00842014">
          <w:rPr>
            <w:noProof/>
            <w:webHidden/>
          </w:rPr>
          <w:fldChar w:fldCharType="end"/>
        </w:r>
      </w:hyperlink>
    </w:p>
    <w:p w:rsidR="00842014" w:rsidRDefault="00387CE8">
      <w:pPr>
        <w:pStyle w:val="TOC4"/>
        <w:rPr>
          <w:rFonts w:asciiTheme="minorHAnsi" w:eastAsiaTheme="minorEastAsia" w:hAnsiTheme="minorHAnsi" w:cstheme="minorBidi"/>
          <w:noProof/>
          <w:szCs w:val="22"/>
          <w:lang w:eastAsia="en-AU"/>
        </w:rPr>
      </w:pPr>
      <w:hyperlink w:anchor="_Toc445283187" w:history="1">
        <w:r w:rsidR="00842014" w:rsidRPr="00D41C0A">
          <w:rPr>
            <w:rStyle w:val="Hyperlink"/>
            <w:noProof/>
          </w:rPr>
          <w:t xml:space="preserve">Note 29: </w:t>
        </w:r>
        <w:r w:rsidR="00842014">
          <w:rPr>
            <w:rFonts w:asciiTheme="minorHAnsi" w:eastAsiaTheme="minorEastAsia" w:hAnsiTheme="minorHAnsi" w:cstheme="minorBidi"/>
            <w:noProof/>
            <w:szCs w:val="22"/>
            <w:lang w:eastAsia="en-AU"/>
          </w:rPr>
          <w:tab/>
        </w:r>
        <w:r w:rsidR="00842014" w:rsidRPr="00D41C0A">
          <w:rPr>
            <w:rStyle w:val="Hyperlink"/>
            <w:noProof/>
          </w:rPr>
          <w:t>Commitments</w:t>
        </w:r>
        <w:r w:rsidR="00842014">
          <w:rPr>
            <w:noProof/>
            <w:webHidden/>
          </w:rPr>
          <w:tab/>
        </w:r>
        <w:r w:rsidR="00842014">
          <w:rPr>
            <w:noProof/>
            <w:webHidden/>
          </w:rPr>
          <w:fldChar w:fldCharType="begin"/>
        </w:r>
        <w:r w:rsidR="00842014">
          <w:rPr>
            <w:noProof/>
            <w:webHidden/>
          </w:rPr>
          <w:instrText xml:space="preserve"> PAGEREF _Toc445283187 \h </w:instrText>
        </w:r>
        <w:r w:rsidR="00842014">
          <w:rPr>
            <w:noProof/>
            <w:webHidden/>
          </w:rPr>
        </w:r>
        <w:r w:rsidR="00842014">
          <w:rPr>
            <w:noProof/>
            <w:webHidden/>
          </w:rPr>
          <w:fldChar w:fldCharType="separate"/>
        </w:r>
        <w:r w:rsidR="00842014">
          <w:rPr>
            <w:noProof/>
            <w:webHidden/>
          </w:rPr>
          <w:t>50</w:t>
        </w:r>
        <w:r w:rsidR="00842014">
          <w:rPr>
            <w:noProof/>
            <w:webHidden/>
          </w:rPr>
          <w:fldChar w:fldCharType="end"/>
        </w:r>
      </w:hyperlink>
    </w:p>
    <w:p w:rsidR="00842014" w:rsidRDefault="00387CE8">
      <w:pPr>
        <w:pStyle w:val="TOC4"/>
        <w:rPr>
          <w:rFonts w:asciiTheme="minorHAnsi" w:eastAsiaTheme="minorEastAsia" w:hAnsiTheme="minorHAnsi" w:cstheme="minorBidi"/>
          <w:noProof/>
          <w:szCs w:val="22"/>
          <w:lang w:eastAsia="en-AU"/>
        </w:rPr>
      </w:pPr>
      <w:hyperlink w:anchor="_Toc445283188" w:history="1">
        <w:r w:rsidR="00842014" w:rsidRPr="00D41C0A">
          <w:rPr>
            <w:rStyle w:val="Hyperlink"/>
            <w:noProof/>
          </w:rPr>
          <w:t xml:space="preserve">Note 30: </w:t>
        </w:r>
        <w:r w:rsidR="00842014">
          <w:rPr>
            <w:rFonts w:asciiTheme="minorHAnsi" w:eastAsiaTheme="minorEastAsia" w:hAnsiTheme="minorHAnsi" w:cstheme="minorBidi"/>
            <w:noProof/>
            <w:szCs w:val="22"/>
            <w:lang w:eastAsia="en-AU"/>
          </w:rPr>
          <w:tab/>
        </w:r>
        <w:r w:rsidR="00842014" w:rsidRPr="00D41C0A">
          <w:rPr>
            <w:rStyle w:val="Hyperlink"/>
            <w:noProof/>
          </w:rPr>
          <w:t>Contingent assets and contingent liabilities</w:t>
        </w:r>
        <w:r w:rsidR="00842014">
          <w:rPr>
            <w:noProof/>
            <w:webHidden/>
          </w:rPr>
          <w:tab/>
        </w:r>
        <w:r w:rsidR="00842014">
          <w:rPr>
            <w:noProof/>
            <w:webHidden/>
          </w:rPr>
          <w:fldChar w:fldCharType="begin"/>
        </w:r>
        <w:r w:rsidR="00842014">
          <w:rPr>
            <w:noProof/>
            <w:webHidden/>
          </w:rPr>
          <w:instrText xml:space="preserve"> PAGEREF _Toc445283188 \h </w:instrText>
        </w:r>
        <w:r w:rsidR="00842014">
          <w:rPr>
            <w:noProof/>
            <w:webHidden/>
          </w:rPr>
        </w:r>
        <w:r w:rsidR="00842014">
          <w:rPr>
            <w:noProof/>
            <w:webHidden/>
          </w:rPr>
          <w:fldChar w:fldCharType="separate"/>
        </w:r>
        <w:r w:rsidR="00842014">
          <w:rPr>
            <w:noProof/>
            <w:webHidden/>
          </w:rPr>
          <w:t>51</w:t>
        </w:r>
        <w:r w:rsidR="00842014">
          <w:rPr>
            <w:noProof/>
            <w:webHidden/>
          </w:rPr>
          <w:fldChar w:fldCharType="end"/>
        </w:r>
      </w:hyperlink>
    </w:p>
    <w:p w:rsidR="00842014" w:rsidRDefault="00387CE8">
      <w:pPr>
        <w:pStyle w:val="TOC4"/>
        <w:rPr>
          <w:rFonts w:asciiTheme="minorHAnsi" w:eastAsiaTheme="minorEastAsia" w:hAnsiTheme="minorHAnsi" w:cstheme="minorBidi"/>
          <w:noProof/>
          <w:szCs w:val="22"/>
          <w:lang w:eastAsia="en-AU"/>
        </w:rPr>
      </w:pPr>
      <w:hyperlink w:anchor="_Toc445283189" w:history="1">
        <w:r w:rsidR="00842014" w:rsidRPr="00D41C0A">
          <w:rPr>
            <w:rStyle w:val="Hyperlink"/>
            <w:noProof/>
          </w:rPr>
          <w:t xml:space="preserve">Note 31: </w:t>
        </w:r>
        <w:r w:rsidR="00842014">
          <w:rPr>
            <w:rFonts w:asciiTheme="minorHAnsi" w:eastAsiaTheme="minorEastAsia" w:hAnsiTheme="minorHAnsi" w:cstheme="minorBidi"/>
            <w:noProof/>
            <w:szCs w:val="22"/>
            <w:lang w:eastAsia="en-AU"/>
          </w:rPr>
          <w:tab/>
        </w:r>
        <w:r w:rsidR="00842014" w:rsidRPr="00D41C0A">
          <w:rPr>
            <w:rStyle w:val="Hyperlink"/>
            <w:noProof/>
          </w:rPr>
          <w:t>Subsequent events</w:t>
        </w:r>
        <w:r w:rsidR="00842014">
          <w:rPr>
            <w:noProof/>
            <w:webHidden/>
          </w:rPr>
          <w:tab/>
        </w:r>
        <w:r w:rsidR="00842014">
          <w:rPr>
            <w:noProof/>
            <w:webHidden/>
          </w:rPr>
          <w:fldChar w:fldCharType="begin"/>
        </w:r>
        <w:r w:rsidR="00842014">
          <w:rPr>
            <w:noProof/>
            <w:webHidden/>
          </w:rPr>
          <w:instrText xml:space="preserve"> PAGEREF _Toc445283189 \h </w:instrText>
        </w:r>
        <w:r w:rsidR="00842014">
          <w:rPr>
            <w:noProof/>
            <w:webHidden/>
          </w:rPr>
        </w:r>
        <w:r w:rsidR="00842014">
          <w:rPr>
            <w:noProof/>
            <w:webHidden/>
          </w:rPr>
          <w:fldChar w:fldCharType="separate"/>
        </w:r>
        <w:r w:rsidR="00842014">
          <w:rPr>
            <w:noProof/>
            <w:webHidden/>
          </w:rPr>
          <w:t>52</w:t>
        </w:r>
        <w:r w:rsidR="00842014">
          <w:rPr>
            <w:noProof/>
            <w:webHidden/>
          </w:rPr>
          <w:fldChar w:fldCharType="end"/>
        </w:r>
      </w:hyperlink>
    </w:p>
    <w:p w:rsidR="00842014" w:rsidRDefault="00387CE8">
      <w:pPr>
        <w:pStyle w:val="TOC4"/>
        <w:rPr>
          <w:rFonts w:asciiTheme="minorHAnsi" w:eastAsiaTheme="minorEastAsia" w:hAnsiTheme="minorHAnsi" w:cstheme="minorBidi"/>
          <w:noProof/>
          <w:szCs w:val="22"/>
          <w:lang w:eastAsia="en-AU"/>
        </w:rPr>
      </w:pPr>
      <w:hyperlink w:anchor="_Toc445283190" w:history="1">
        <w:r w:rsidR="00842014" w:rsidRPr="00D41C0A">
          <w:rPr>
            <w:rStyle w:val="Hyperlink"/>
            <w:noProof/>
          </w:rPr>
          <w:t xml:space="preserve">Note 32: </w:t>
        </w:r>
        <w:r w:rsidR="00842014">
          <w:rPr>
            <w:rFonts w:asciiTheme="minorHAnsi" w:eastAsiaTheme="minorEastAsia" w:hAnsiTheme="minorHAnsi" w:cstheme="minorBidi"/>
            <w:noProof/>
            <w:szCs w:val="22"/>
            <w:lang w:eastAsia="en-AU"/>
          </w:rPr>
          <w:tab/>
        </w:r>
        <w:r w:rsidR="00842014" w:rsidRPr="00D41C0A">
          <w:rPr>
            <w:rStyle w:val="Hyperlink"/>
            <w:noProof/>
          </w:rPr>
          <w:t>Public account disclosure</w:t>
        </w:r>
        <w:r w:rsidR="00842014">
          <w:rPr>
            <w:noProof/>
            <w:webHidden/>
          </w:rPr>
          <w:tab/>
        </w:r>
        <w:r w:rsidR="00842014">
          <w:rPr>
            <w:noProof/>
            <w:webHidden/>
          </w:rPr>
          <w:fldChar w:fldCharType="begin"/>
        </w:r>
        <w:r w:rsidR="00842014">
          <w:rPr>
            <w:noProof/>
            <w:webHidden/>
          </w:rPr>
          <w:instrText xml:space="preserve"> PAGEREF _Toc445283190 \h </w:instrText>
        </w:r>
        <w:r w:rsidR="00842014">
          <w:rPr>
            <w:noProof/>
            <w:webHidden/>
          </w:rPr>
        </w:r>
        <w:r w:rsidR="00842014">
          <w:rPr>
            <w:noProof/>
            <w:webHidden/>
          </w:rPr>
          <w:fldChar w:fldCharType="separate"/>
        </w:r>
        <w:r w:rsidR="00842014">
          <w:rPr>
            <w:noProof/>
            <w:webHidden/>
          </w:rPr>
          <w:t>53</w:t>
        </w:r>
        <w:r w:rsidR="00842014">
          <w:rPr>
            <w:noProof/>
            <w:webHidden/>
          </w:rPr>
          <w:fldChar w:fldCharType="end"/>
        </w:r>
      </w:hyperlink>
    </w:p>
    <w:p w:rsidR="00842014" w:rsidRDefault="00387CE8">
      <w:pPr>
        <w:pStyle w:val="TOC4"/>
        <w:rPr>
          <w:rFonts w:asciiTheme="minorHAnsi" w:eastAsiaTheme="minorEastAsia" w:hAnsiTheme="minorHAnsi" w:cstheme="minorBidi"/>
          <w:noProof/>
          <w:szCs w:val="22"/>
          <w:lang w:eastAsia="en-AU"/>
        </w:rPr>
      </w:pPr>
      <w:hyperlink w:anchor="_Toc445283191" w:history="1">
        <w:r w:rsidR="00842014" w:rsidRPr="00D41C0A">
          <w:rPr>
            <w:rStyle w:val="Hyperlink"/>
            <w:noProof/>
          </w:rPr>
          <w:t xml:space="preserve">Note 33: </w:t>
        </w:r>
        <w:r w:rsidR="00842014">
          <w:rPr>
            <w:rFonts w:asciiTheme="minorHAnsi" w:eastAsiaTheme="minorEastAsia" w:hAnsiTheme="minorHAnsi" w:cstheme="minorBidi"/>
            <w:noProof/>
            <w:szCs w:val="22"/>
            <w:lang w:eastAsia="en-AU"/>
          </w:rPr>
          <w:tab/>
        </w:r>
        <w:r w:rsidR="00842014" w:rsidRPr="00D41C0A">
          <w:rPr>
            <w:rStyle w:val="Hyperlink"/>
            <w:noProof/>
          </w:rPr>
          <w:t>Controlled entities</w:t>
        </w:r>
        <w:r w:rsidR="00842014">
          <w:rPr>
            <w:noProof/>
            <w:webHidden/>
          </w:rPr>
          <w:tab/>
        </w:r>
        <w:r w:rsidR="00842014">
          <w:rPr>
            <w:noProof/>
            <w:webHidden/>
          </w:rPr>
          <w:fldChar w:fldCharType="begin"/>
        </w:r>
        <w:r w:rsidR="00842014">
          <w:rPr>
            <w:noProof/>
            <w:webHidden/>
          </w:rPr>
          <w:instrText xml:space="preserve"> PAGEREF _Toc445283191 \h </w:instrText>
        </w:r>
        <w:r w:rsidR="00842014">
          <w:rPr>
            <w:noProof/>
            <w:webHidden/>
          </w:rPr>
        </w:r>
        <w:r w:rsidR="00842014">
          <w:rPr>
            <w:noProof/>
            <w:webHidden/>
          </w:rPr>
          <w:fldChar w:fldCharType="separate"/>
        </w:r>
        <w:r w:rsidR="00842014">
          <w:rPr>
            <w:noProof/>
            <w:webHidden/>
          </w:rPr>
          <w:t>56</w:t>
        </w:r>
        <w:r w:rsidR="00842014">
          <w:rPr>
            <w:noProof/>
            <w:webHidden/>
          </w:rPr>
          <w:fldChar w:fldCharType="end"/>
        </w:r>
      </w:hyperlink>
    </w:p>
    <w:p w:rsidR="00BB67AF" w:rsidRDefault="00BB67AF" w:rsidP="003E6750">
      <w:r>
        <w:fldChar w:fldCharType="end"/>
      </w:r>
    </w:p>
    <w:p w:rsidR="00BB67AF" w:rsidRDefault="00BB67AF">
      <w:pPr>
        <w:spacing w:after="0"/>
      </w:pPr>
      <w:r>
        <w:br w:type="page"/>
      </w:r>
    </w:p>
    <w:p w:rsidR="00BB67AF" w:rsidRDefault="00BB67AF" w:rsidP="003E6750">
      <w:pPr>
        <w:pStyle w:val="Heading2Notes"/>
      </w:pPr>
      <w:bookmarkStart w:id="10" w:name="_Toc445283159"/>
      <w:r>
        <w:lastRenderedPageBreak/>
        <w:t>Note 1:</w:t>
      </w:r>
      <w:r>
        <w:tab/>
        <w:t>Summary of significant accounting policies</w:t>
      </w:r>
      <w:bookmarkEnd w:id="10"/>
    </w:p>
    <w:p w:rsidR="00BB67AF" w:rsidRDefault="00BB67AF" w:rsidP="003E6750">
      <w:r>
        <w:t>This Mid</w:t>
      </w:r>
      <w:r>
        <w:noBreakHyphen/>
        <w:t>Year Financial Report presents the unaudited general purpose consolidated interim financial statements of the State of Victoria (the State) and the Victorian general government sector. The report also incorporates the quarterly financial report of the general government sector for the quarter ended 31 December 2015.</w:t>
      </w:r>
    </w:p>
    <w:p w:rsidR="00BB67AF" w:rsidRDefault="00BB67AF" w:rsidP="003E6750">
      <w:r>
        <w:t xml:space="preserve">Because this interim financial report does not include all the notes normally included with the annual financial report, this report should be read in conjunction with the </w:t>
      </w:r>
      <w:r w:rsidRPr="00830D90">
        <w:rPr>
          <w:i/>
        </w:rPr>
        <w:t>2014</w:t>
      </w:r>
      <w:r>
        <w:rPr>
          <w:i/>
        </w:rPr>
        <w:noBreakHyphen/>
      </w:r>
      <w:r w:rsidRPr="00830D90">
        <w:rPr>
          <w:i/>
        </w:rPr>
        <w:t>15 Financial Report</w:t>
      </w:r>
      <w:r>
        <w:t>.</w:t>
      </w:r>
    </w:p>
    <w:p w:rsidR="00BB67AF" w:rsidRDefault="00BB67AF" w:rsidP="003E6750">
      <w:pPr>
        <w:pStyle w:val="Heading3Numbering"/>
        <w:numPr>
          <w:ilvl w:val="0"/>
          <w:numId w:val="19"/>
        </w:numPr>
      </w:pPr>
      <w:r>
        <w:t>Statement of compliance</w:t>
      </w:r>
    </w:p>
    <w:p w:rsidR="00BB67AF" w:rsidRPr="004C7FD5" w:rsidRDefault="00BB67AF" w:rsidP="003E6750">
      <w:pPr>
        <w:rPr>
          <w:i/>
        </w:rPr>
      </w:pPr>
      <w:r>
        <w:t xml:space="preserve">These financial statements have been prepared in the manner and form as determined by the Treasurer, in accordance with the </w:t>
      </w:r>
      <w:r w:rsidRPr="004C7FD5">
        <w:rPr>
          <w:i/>
        </w:rPr>
        <w:t>Financial Management Act 1994</w:t>
      </w:r>
      <w:r>
        <w:t xml:space="preserve"> and applicable Australian Accounting Standards (AASs) which include Interpretations, issued by the Australian Accounting Standards Board (AASB). The financial statements are also presented in a manner consistent with the requirements of AASB 1049 </w:t>
      </w:r>
      <w:r w:rsidRPr="004C7FD5">
        <w:rPr>
          <w:i/>
        </w:rPr>
        <w:t>Whole of Government and General Government Sector Financial Reporting</w:t>
      </w:r>
      <w:r>
        <w:t xml:space="preserve"> and AASB 134 </w:t>
      </w:r>
      <w:r w:rsidR="00897890">
        <w:rPr>
          <w:i/>
        </w:rPr>
        <w:t>Interim Financial Reporting.</w:t>
      </w:r>
    </w:p>
    <w:p w:rsidR="00BB67AF" w:rsidRDefault="00BB67AF" w:rsidP="003E6750">
      <w:r>
        <w:t>Where applicable, those paragraphs of AASs applicable to not for profit entities have been applied.</w:t>
      </w:r>
    </w:p>
    <w:p w:rsidR="00BB67AF" w:rsidRDefault="00BB67AF" w:rsidP="003E6750">
      <w:r>
        <w:t>The Government Finance Statistics (GFS) information included in this report is based on the GFS manual published by the A</w:t>
      </w:r>
      <w:r w:rsidR="00897890">
        <w:t>ustralian Bureau of Statistics.</w:t>
      </w:r>
    </w:p>
    <w:p w:rsidR="00BB67AF" w:rsidRDefault="00BB67AF" w:rsidP="003E6750">
      <w:r>
        <w:t xml:space="preserve">The </w:t>
      </w:r>
      <w:r>
        <w:rPr>
          <w:i/>
        </w:rPr>
        <w:t>2015-16</w:t>
      </w:r>
      <w:r w:rsidRPr="004C7FD5">
        <w:rPr>
          <w:i/>
        </w:rPr>
        <w:t xml:space="preserve"> Mid</w:t>
      </w:r>
      <w:r>
        <w:rPr>
          <w:i/>
        </w:rPr>
        <w:noBreakHyphen/>
      </w:r>
      <w:r w:rsidRPr="004C7FD5">
        <w:rPr>
          <w:i/>
        </w:rPr>
        <w:t>Year Financial Report</w:t>
      </w:r>
      <w:r>
        <w:t xml:space="preserve"> was authorised for issue by the Treasurer of Victoria on </w:t>
      </w:r>
      <w:r w:rsidRPr="004C3DD9">
        <w:t>8</w:t>
      </w:r>
      <w:r>
        <w:t xml:space="preserve"> March 2016.</w:t>
      </w:r>
    </w:p>
    <w:p w:rsidR="00BB67AF" w:rsidRDefault="00BB67AF" w:rsidP="003E6750">
      <w:pPr>
        <w:pStyle w:val="Heading3Numbering"/>
        <w:numPr>
          <w:ilvl w:val="0"/>
          <w:numId w:val="19"/>
        </w:numPr>
      </w:pPr>
      <w:r>
        <w:t>Basis of accounting preparation and measurement</w:t>
      </w:r>
    </w:p>
    <w:p w:rsidR="00BB67AF" w:rsidRDefault="00BB67AF" w:rsidP="003E6750">
      <w:r>
        <w:t>The accrual basis of accounting has been applied in the preparation of the financial statements whereby assets, liabilities, equity, income and expenses are recognised in the reporting period to which they relate, regardless of when the cash is received or paid.</w:t>
      </w:r>
    </w:p>
    <w:p w:rsidR="00BB67AF" w:rsidRDefault="00BB67AF" w:rsidP="003E6750">
      <w:r>
        <w:t>These financial statements are presented in Australian dollars. The report has been prepared in accordance with the historical cost convention except for:</w:t>
      </w:r>
    </w:p>
    <w:p w:rsidR="00BB67AF" w:rsidRDefault="00BB67AF" w:rsidP="003E6750">
      <w:pPr>
        <w:pStyle w:val="BulletText"/>
        <w:numPr>
          <w:ilvl w:val="0"/>
          <w:numId w:val="25"/>
        </w:numPr>
      </w:pPr>
      <w:r>
        <w:t>general government sector investments in other sector entities which are measured at net asset value;</w:t>
      </w:r>
    </w:p>
    <w:p w:rsidR="00BB67AF" w:rsidRDefault="00BB67AF" w:rsidP="003E6750">
      <w:pPr>
        <w:pStyle w:val="BulletText"/>
        <w:numPr>
          <w:ilvl w:val="0"/>
          <w:numId w:val="25"/>
        </w:numPr>
      </w:pPr>
      <w:r>
        <w:t>non</w:t>
      </w:r>
      <w:r>
        <w:noBreakHyphen/>
        <w:t>financial physical assets which, subsequent to acquisition, are measured at a revalued amount being their fair value at the date of revaluation less any subsequent accumulated depreciation and subsequent impairment losses. Revaluations are made with sufficient regularity to ensure that the carrying amounts do not materially differ from their fair value;</w:t>
      </w:r>
    </w:p>
    <w:p w:rsidR="00BB67AF" w:rsidRDefault="00BB67AF" w:rsidP="003E6750">
      <w:pPr>
        <w:pStyle w:val="BulletText"/>
        <w:numPr>
          <w:ilvl w:val="0"/>
          <w:numId w:val="25"/>
        </w:numPr>
      </w:pPr>
      <w:r>
        <w:t>productive trees in commercial native forests, which are measured at their fair value less costs to sell;</w:t>
      </w:r>
    </w:p>
    <w:p w:rsidR="00BB67AF" w:rsidRDefault="00BB67AF" w:rsidP="003E6750">
      <w:pPr>
        <w:pStyle w:val="BulletText"/>
        <w:numPr>
          <w:ilvl w:val="0"/>
          <w:numId w:val="25"/>
        </w:numPr>
      </w:pPr>
      <w:r>
        <w:t xml:space="preserve">derivative financial instruments, managed investment schemes, certain debt securities and investment properties after initial recognition, which are measured at fair value with changes reflected in the consolidated comprehensive operating statement (fair value through profit and loss); </w:t>
      </w:r>
    </w:p>
    <w:p w:rsidR="00BB67AF" w:rsidRDefault="00BB67AF" w:rsidP="003E6750">
      <w:pPr>
        <w:pStyle w:val="BulletText"/>
        <w:numPr>
          <w:ilvl w:val="0"/>
          <w:numId w:val="25"/>
        </w:numPr>
      </w:pPr>
      <w:r>
        <w:t>certain liabilities, most notably unfunded superannuation and insurance claim provisions, which are subject to an actuarial assessment; and</w:t>
      </w:r>
    </w:p>
    <w:p w:rsidR="00BB67AF" w:rsidRDefault="00BB67AF" w:rsidP="003E6750">
      <w:pPr>
        <w:pStyle w:val="BulletText"/>
        <w:numPr>
          <w:ilvl w:val="0"/>
          <w:numId w:val="25"/>
        </w:numPr>
      </w:pPr>
      <w:r>
        <w:t>available for sale investments, which are measured at fair value with movements reflected in ‘other economic flows – other comprehensive income’.</w:t>
      </w:r>
    </w:p>
    <w:p w:rsidR="00BB67AF" w:rsidRDefault="00BB67AF">
      <w:pPr>
        <w:spacing w:after="0"/>
      </w:pPr>
      <w:r>
        <w:br w:type="page"/>
      </w:r>
    </w:p>
    <w:p w:rsidR="00BB67AF" w:rsidRDefault="00BB67AF" w:rsidP="003E6750">
      <w:pPr>
        <w:pStyle w:val="Heading2NotesContd"/>
      </w:pPr>
      <w:r>
        <w:lastRenderedPageBreak/>
        <w:t>Note 1:</w:t>
      </w:r>
      <w:r>
        <w:tab/>
        <w:t xml:space="preserve">Summary of significant accounting policies </w:t>
      </w:r>
      <w:r w:rsidRPr="00E23A62">
        <w:rPr>
          <w:i/>
        </w:rPr>
        <w:t>(continued)</w:t>
      </w:r>
    </w:p>
    <w:p w:rsidR="00BB67AF" w:rsidRDefault="00BB67AF" w:rsidP="003E6750">
      <w:pPr>
        <w:pStyle w:val="Heading3Numbering"/>
        <w:numPr>
          <w:ilvl w:val="0"/>
          <w:numId w:val="19"/>
        </w:numPr>
      </w:pPr>
      <w:r>
        <w:t>Reporting entity</w:t>
      </w:r>
    </w:p>
    <w:p w:rsidR="00BB67AF" w:rsidRDefault="00BB67AF" w:rsidP="003E6750">
      <w:r>
        <w:t>The State of Victoria reporting entity includes government departments, public non</w:t>
      </w:r>
      <w:r>
        <w:noBreakHyphen/>
        <w:t xml:space="preserve">financial corporations (PNFCs), public financial corporations (PFCs) and other government controlled entities (refer to Note 32 </w:t>
      </w:r>
      <w:r w:rsidRPr="00E23A62">
        <w:rPr>
          <w:i/>
        </w:rPr>
        <w:t>Controlled entities</w:t>
      </w:r>
      <w:r>
        <w:t>). The State and most of its subsidiary entities are not for profit entities. These entities are classified into sectors according to the System of National Accounts as described below.</w:t>
      </w:r>
    </w:p>
    <w:p w:rsidR="00BB67AF" w:rsidRDefault="00BB67AF" w:rsidP="003E6750">
      <w:pPr>
        <w:pStyle w:val="Heading5"/>
      </w:pPr>
      <w:r>
        <w:t>System of National Accounts</w:t>
      </w:r>
    </w:p>
    <w:p w:rsidR="00BB67AF" w:rsidRDefault="00BB67AF" w:rsidP="003E6750">
      <w:pPr>
        <w:pStyle w:val="Heading5a"/>
      </w:pPr>
      <w:r>
        <w:t>(</w:t>
      </w:r>
      <w:proofErr w:type="spellStart"/>
      <w:r>
        <w:t>i</w:t>
      </w:r>
      <w:proofErr w:type="spellEnd"/>
      <w:r>
        <w:t>)</w:t>
      </w:r>
      <w:r>
        <w:tab/>
        <w:t>General government</w:t>
      </w:r>
    </w:p>
    <w:p w:rsidR="00BB67AF" w:rsidRDefault="00BB67AF" w:rsidP="003E6750">
      <w:r>
        <w:t xml:space="preserve">The general government sector includes all government departments, offices and other bodies engaged in providing services free of charge or at prices significantly </w:t>
      </w:r>
      <w:r w:rsidR="00897890">
        <w:t>below their cost of production.</w:t>
      </w:r>
    </w:p>
    <w:p w:rsidR="00BB67AF" w:rsidRDefault="00BB67AF" w:rsidP="003E6750">
      <w:r>
        <w:t>The primary function of entities within the general government sector is to provide public services (outputs), which are mainly non-market in nature, for the collective consumption of the community and involve the transfer or redistribution of revenue that is financed mainly through taxes and other compulsory levies. The general government sector is not a separate reporting entity but represents a sector within the State of Victoria reporting entity, and is reported in accordance with AASB 1049. Unless otherwise noted, accounting policies applied by the State of Victoria apply equally to the general government sector.</w:t>
      </w:r>
    </w:p>
    <w:p w:rsidR="00BB67AF" w:rsidRDefault="00BB67AF" w:rsidP="003E6750">
      <w:pPr>
        <w:pStyle w:val="Heading5a"/>
      </w:pPr>
      <w:r>
        <w:t>(ii)</w:t>
      </w:r>
      <w:r>
        <w:tab/>
        <w:t>Public non</w:t>
      </w:r>
      <w:r>
        <w:noBreakHyphen/>
        <w:t>financial corporations</w:t>
      </w:r>
    </w:p>
    <w:p w:rsidR="00BB67AF" w:rsidRDefault="00BB67AF" w:rsidP="003E6750">
      <w:r>
        <w:t>The primary function of entities in the government PNFC sector is to provide goods and services in a competitive market that is non regulatory and non</w:t>
      </w:r>
      <w:r>
        <w:noBreakHyphen/>
        <w:t xml:space="preserve">financial in nature. Such entities are financed mainly through sales to the consumer of these goods and services. </w:t>
      </w:r>
    </w:p>
    <w:p w:rsidR="00BB67AF" w:rsidRDefault="00BB67AF" w:rsidP="003E6750">
      <w:pPr>
        <w:pStyle w:val="Heading5a"/>
      </w:pPr>
      <w:r>
        <w:t>(iii)</w:t>
      </w:r>
      <w:r>
        <w:tab/>
        <w:t>Public financial corporations</w:t>
      </w:r>
    </w:p>
    <w:p w:rsidR="00BB67AF" w:rsidRDefault="00BB67AF" w:rsidP="003E6750">
      <w:r>
        <w:t>The government controlled PFC sector comprises entities engaged primarily in providing financial intermediation services or auxiliary financial services, which have one or more of</w:t>
      </w:r>
      <w:r w:rsidR="00897890">
        <w:t xml:space="preserve"> the following characteristics:</w:t>
      </w:r>
    </w:p>
    <w:p w:rsidR="00BB67AF" w:rsidRDefault="00BB67AF" w:rsidP="003E6750">
      <w:pPr>
        <w:pStyle w:val="BulletText"/>
        <w:numPr>
          <w:ilvl w:val="0"/>
          <w:numId w:val="25"/>
        </w:numPr>
      </w:pPr>
      <w:r>
        <w:t>they perform a central borrowing function;</w:t>
      </w:r>
    </w:p>
    <w:p w:rsidR="00BB67AF" w:rsidRDefault="00BB67AF" w:rsidP="003E6750">
      <w:pPr>
        <w:pStyle w:val="BulletText"/>
        <w:numPr>
          <w:ilvl w:val="0"/>
          <w:numId w:val="25"/>
        </w:numPr>
      </w:pPr>
      <w:r>
        <w:t>they provide insurance services;</w:t>
      </w:r>
    </w:p>
    <w:p w:rsidR="00BB67AF" w:rsidRDefault="00BB67AF" w:rsidP="003E6750">
      <w:pPr>
        <w:pStyle w:val="BulletText"/>
        <w:numPr>
          <w:ilvl w:val="0"/>
          <w:numId w:val="25"/>
        </w:numPr>
      </w:pPr>
      <w:r>
        <w:t xml:space="preserve">they accept call, term or savings deposits; or </w:t>
      </w:r>
    </w:p>
    <w:p w:rsidR="00BB67AF" w:rsidRDefault="00BB67AF" w:rsidP="003E6750">
      <w:pPr>
        <w:pStyle w:val="BulletText"/>
        <w:numPr>
          <w:ilvl w:val="0"/>
          <w:numId w:val="25"/>
        </w:numPr>
      </w:pPr>
      <w:r>
        <w:t>they have the ability to incur liabilities and acquire financial assets in the market on their own account.</w:t>
      </w:r>
    </w:p>
    <w:p w:rsidR="00BB67AF" w:rsidRDefault="00BB67AF" w:rsidP="003E6750">
      <w:r>
        <w:t xml:space="preserve">Disaggregated information about these sectors is presented in Note 2 </w:t>
      </w:r>
      <w:r w:rsidRPr="00E23A62">
        <w:rPr>
          <w:i/>
        </w:rPr>
        <w:t>Disaggregated information</w:t>
      </w:r>
      <w:r>
        <w:t>. This information is provided because there are differences between general government activities and those of the public sector entities in the PNFC and the PFC sectors. Disclosure of this information assists users of the financial statements to determine the effects of differing activities on the financial position of the State. It also assists users to identify the resources used in providing a range of goods and services, and the extent to which the State has recovered the costs of these resources from revenues attributable to those activities.</w:t>
      </w:r>
    </w:p>
    <w:p w:rsidR="00BB67AF" w:rsidRDefault="00BB67AF">
      <w:pPr>
        <w:spacing w:after="0"/>
      </w:pPr>
      <w:r>
        <w:br w:type="page"/>
      </w:r>
    </w:p>
    <w:p w:rsidR="00BB67AF" w:rsidRPr="00F86EDE" w:rsidRDefault="00BB67AF" w:rsidP="003E6750">
      <w:pPr>
        <w:pStyle w:val="Heading2NotesContd"/>
        <w:rPr>
          <w:i/>
        </w:rPr>
      </w:pPr>
      <w:r>
        <w:lastRenderedPageBreak/>
        <w:t>Note 1:</w:t>
      </w:r>
      <w:r>
        <w:tab/>
        <w:t xml:space="preserve">Summary of significant accounting policies </w:t>
      </w:r>
      <w:r w:rsidRPr="00F86EDE">
        <w:rPr>
          <w:i/>
        </w:rPr>
        <w:t>(continued)</w:t>
      </w:r>
    </w:p>
    <w:p w:rsidR="00BB67AF" w:rsidRDefault="00BB67AF" w:rsidP="003E6750">
      <w:pPr>
        <w:pStyle w:val="Heading2NotesContd"/>
      </w:pPr>
      <w:r>
        <w:t>Basis of consolidation</w:t>
      </w:r>
    </w:p>
    <w:p w:rsidR="00BB67AF" w:rsidRDefault="00BB67AF" w:rsidP="003E6750">
      <w:r>
        <w:t xml:space="preserve">In accordance with AASB 1049 and AASB 10 </w:t>
      </w:r>
      <w:r w:rsidRPr="00057E32">
        <w:rPr>
          <w:i/>
        </w:rPr>
        <w:t>Consolidated Financial Statements</w:t>
      </w:r>
      <w:r>
        <w:t>:</w:t>
      </w:r>
    </w:p>
    <w:p w:rsidR="00BB67AF" w:rsidRDefault="00BB67AF" w:rsidP="003E6750">
      <w:pPr>
        <w:pStyle w:val="BulletText"/>
        <w:numPr>
          <w:ilvl w:val="0"/>
          <w:numId w:val="25"/>
        </w:numPr>
      </w:pPr>
      <w:r>
        <w:t>the consolidated financial statements of the State include all reporting entities that are controlled by the State as at 31 December 2015; and</w:t>
      </w:r>
    </w:p>
    <w:p w:rsidR="00BB67AF" w:rsidRDefault="00BB67AF" w:rsidP="003E6750">
      <w:pPr>
        <w:pStyle w:val="BulletText"/>
        <w:numPr>
          <w:ilvl w:val="0"/>
          <w:numId w:val="25"/>
        </w:numPr>
      </w:pPr>
      <w:r>
        <w:t xml:space="preserve">the consolidated financial statements of the Victorian general government sector include entities classified as general government entities. Entities in the PNFC and PFC sectors are not consolidated into the financial statements of the general government sector, but are accounted for as equity investments measured at the Government’s proportional share of the carrying amount of net assets of the PNFC sector and PFC sector entities before consolidation eliminations. Where the carrying amount of the entity’s net assets before consolidation eliminations is less than zero, the amount is not included at the general government sector, but the net liabilities will be consolidated at the State level. Any change in the carrying amount of the investment from period to period is accounted for as if the change in carrying amount is a change in fair value, and accounted for in a manner consistent with </w:t>
      </w:r>
      <w:r w:rsidRPr="00DF2C7A">
        <w:rPr>
          <w:i/>
        </w:rPr>
        <w:t>AASB 139 Financial Instruments: Recognition and Measurement</w:t>
      </w:r>
      <w:r>
        <w:t>.</w:t>
      </w:r>
    </w:p>
    <w:p w:rsidR="00BB67AF" w:rsidRDefault="00BB67AF" w:rsidP="003E6750">
      <w:r>
        <w:t xml:space="preserve">Entities which are not controlled by the State, including local government authorities, universities and denominational hospitals, are not consolidated into the financial statements of the State. </w:t>
      </w:r>
    </w:p>
    <w:p w:rsidR="00BB67AF" w:rsidRDefault="00BB67AF" w:rsidP="003E6750">
      <w:r>
        <w:t xml:space="preserve">Where control of an entity is obtained during the financial period, its results are included in the consolidated comprehensive operating statement from the date on which control commenced. Where control ceases during a financial period, the entity’s results are included for that part of the period in which control existed. Where entities adopt dissimilar accounting policies and their effect is considered material, adjustments are made to ensure consistent policies are adopted in these financial statements. </w:t>
      </w:r>
    </w:p>
    <w:p w:rsidR="00BB67AF" w:rsidRDefault="00BB67AF" w:rsidP="003E6750">
      <w:r>
        <w:t>In preparing consolidated financial statements for the State and general government sector, all material transactions and balances between consolidated government controlled entities are eliminated.</w:t>
      </w:r>
    </w:p>
    <w:p w:rsidR="00BB67AF" w:rsidRDefault="00BB67AF" w:rsidP="003E6750">
      <w:r>
        <w:t xml:space="preserve">Consistent with the requirements of AASB 1004 </w:t>
      </w:r>
      <w:r w:rsidRPr="00057E32">
        <w:rPr>
          <w:i/>
        </w:rPr>
        <w:t>Contributions</w:t>
      </w:r>
      <w:r>
        <w:t>, contributions by owners (that is, contributed capital and its repayment) are treated as equity transactions and do not form part of the revenue and expenses of the relevant sectors of government.</w:t>
      </w:r>
    </w:p>
    <w:p w:rsidR="00BB67AF" w:rsidRDefault="00BB67AF" w:rsidP="003E6750">
      <w:r>
        <w:t>Details of significant changes to entities consolidated by the State are shown in Note 3</w:t>
      </w:r>
      <w:r w:rsidR="00842014">
        <w:t>3</w:t>
      </w:r>
      <w:r>
        <w:t>.</w:t>
      </w:r>
    </w:p>
    <w:p w:rsidR="00BB67AF" w:rsidRDefault="00BB67AF">
      <w:pPr>
        <w:spacing w:after="0"/>
      </w:pPr>
      <w:r>
        <w:br w:type="page"/>
      </w:r>
    </w:p>
    <w:p w:rsidR="00BB67AF" w:rsidRPr="00A03525" w:rsidRDefault="00BB67AF" w:rsidP="003E6750">
      <w:pPr>
        <w:pStyle w:val="Heading2NotesContd"/>
        <w:rPr>
          <w:i/>
        </w:rPr>
      </w:pPr>
      <w:r>
        <w:lastRenderedPageBreak/>
        <w:t>Note 1:</w:t>
      </w:r>
      <w:r>
        <w:tab/>
        <w:t xml:space="preserve">Summary of significant accounting policies </w:t>
      </w:r>
      <w:r w:rsidRPr="00A03525">
        <w:rPr>
          <w:i/>
        </w:rPr>
        <w:t>(continued)</w:t>
      </w:r>
    </w:p>
    <w:p w:rsidR="00BB67AF" w:rsidRDefault="00BB67AF" w:rsidP="003E6750">
      <w:pPr>
        <w:pStyle w:val="Heading3Numbering"/>
        <w:numPr>
          <w:ilvl w:val="0"/>
          <w:numId w:val="19"/>
        </w:numPr>
      </w:pPr>
      <w:r>
        <w:t>Prospective accounting and reporting changes</w:t>
      </w:r>
    </w:p>
    <w:p w:rsidR="00BB67AF" w:rsidRDefault="00BB67AF" w:rsidP="003E6750">
      <w:r>
        <w:t>Certain new and revised accounting standards have been published but are not effective for the 2015</w:t>
      </w:r>
      <w:r>
        <w:noBreakHyphen/>
        <w:t xml:space="preserve">16 reporting period. They include: </w:t>
      </w:r>
    </w:p>
    <w:p w:rsidR="00BB67AF" w:rsidRDefault="00BB67AF" w:rsidP="003E6750">
      <w:pPr>
        <w:pStyle w:val="BulletText"/>
        <w:numPr>
          <w:ilvl w:val="0"/>
          <w:numId w:val="25"/>
        </w:numPr>
      </w:pPr>
      <w:r>
        <w:t xml:space="preserve">AASB 15 </w:t>
      </w:r>
      <w:r w:rsidRPr="00A03525">
        <w:rPr>
          <w:i/>
        </w:rPr>
        <w:t>Revenue from Contracts with Customers</w:t>
      </w:r>
      <w:r>
        <w:t>, operative from 1 January 2018. The core principle of AASB 15 requires an entity to recognise revenue when the entity satisfies a performance obligation by transferring a promised good or service to a customer. The State is reviewing its existing revenue recognition policy to assess the potential implications arising from AASB 15.</w:t>
      </w:r>
    </w:p>
    <w:p w:rsidR="00BB67AF" w:rsidRDefault="00BB67AF" w:rsidP="003E6750">
      <w:pPr>
        <w:pStyle w:val="BulletText"/>
        <w:numPr>
          <w:ilvl w:val="0"/>
          <w:numId w:val="25"/>
        </w:numPr>
      </w:pPr>
      <w:r>
        <w:t xml:space="preserve">AASB 9 </w:t>
      </w:r>
      <w:r w:rsidRPr="00A03525">
        <w:rPr>
          <w:i/>
        </w:rPr>
        <w:t>Financial Instruments</w:t>
      </w:r>
      <w:r>
        <w:t>, operative for reporting periods beginning from 1 January 2018 as revised by AASB 2014</w:t>
      </w:r>
      <w:r>
        <w:noBreakHyphen/>
        <w:t xml:space="preserve">1 </w:t>
      </w:r>
      <w:r w:rsidRPr="00A03525">
        <w:rPr>
          <w:i/>
        </w:rPr>
        <w:t>Amendments to Australian Accounting Standards</w:t>
      </w:r>
      <w:r>
        <w:t xml:space="preserve"> (Part E </w:t>
      </w:r>
      <w:r w:rsidRPr="00A03525">
        <w:rPr>
          <w:i/>
        </w:rPr>
        <w:t>Financial Instruments</w:t>
      </w:r>
      <w:r>
        <w:t>). The key changes introduced by AASB 9 include the simplified requirements for the classification and measurement of financial assets, a new hedging accounting model and a revised impairment loss model to recognise impairment losses earlier, as opposed to the current approach that recognises impairment only when incurred.</w:t>
      </w:r>
    </w:p>
    <w:p w:rsidR="00BB67AF" w:rsidRDefault="00BB67AF" w:rsidP="003E6750">
      <w:pPr>
        <w:pStyle w:val="BulletText"/>
        <w:numPr>
          <w:ilvl w:val="0"/>
          <w:numId w:val="25"/>
        </w:numPr>
      </w:pPr>
      <w:r>
        <w:t xml:space="preserve">AASB 124 </w:t>
      </w:r>
      <w:r w:rsidRPr="00A03525">
        <w:rPr>
          <w:i/>
        </w:rPr>
        <w:t>Related Party Disclosures</w:t>
      </w:r>
      <w:r>
        <w:t>, operative for reporting periods commencing 1 July 2016. This standard extends the scope of related party disclosures to not</w:t>
      </w:r>
      <w:r>
        <w:noBreakHyphen/>
        <w:t>for</w:t>
      </w:r>
      <w:r>
        <w:noBreakHyphen/>
        <w:t>profit public sector entities, which will result in more disclosures in relation to the key management personnel and related party transactions at the entity and State level.</w:t>
      </w:r>
    </w:p>
    <w:p w:rsidR="00BB67AF" w:rsidRDefault="00BB67AF" w:rsidP="003E6750">
      <w:r>
        <w:t>Several other amending standards and AASB interpretations have been issued that are applicable for future reporting periods, but are considered to have limited impact on public sector reporting.</w:t>
      </w:r>
    </w:p>
    <w:p w:rsidR="00BB67AF" w:rsidRDefault="00BB67AF" w:rsidP="003E6750">
      <w:r>
        <w:t>There is no intention to early adopt the above accounting standards.</w:t>
      </w:r>
    </w:p>
    <w:p w:rsidR="00BB67AF" w:rsidRDefault="00BB67AF" w:rsidP="003E6750">
      <w:r>
        <w:t>The</w:t>
      </w:r>
      <w:r w:rsidRPr="00B77107">
        <w:t xml:space="preserve"> Australian Bureau of Statistics (ABS) </w:t>
      </w:r>
      <w:r>
        <w:t xml:space="preserve">recently </w:t>
      </w:r>
      <w:r w:rsidRPr="00B77107">
        <w:t xml:space="preserve">released a new manual, </w:t>
      </w:r>
      <w:r w:rsidRPr="00B77107">
        <w:rPr>
          <w:i/>
        </w:rPr>
        <w:t>Australian System of Government Finance Statistics: Concepts, Sources and Methods 2015</w:t>
      </w:r>
      <w:r w:rsidRPr="00B77107">
        <w:t xml:space="preserve"> on 23 December 2015</w:t>
      </w:r>
      <w:r>
        <w:t>. For the purpose of financial reporting under AASB 1049, the new manual will apply for reporting periods beginning from 1 July 2018. The State will assess the potential reporting implications of the amendments.</w:t>
      </w:r>
    </w:p>
    <w:p w:rsidR="00BB67AF" w:rsidRDefault="00BB67AF" w:rsidP="003E6750"/>
    <w:p w:rsidR="00BB67AF" w:rsidRDefault="00BB67AF" w:rsidP="003E6750">
      <w:pPr>
        <w:pStyle w:val="Heading3Numbering"/>
        <w:numPr>
          <w:ilvl w:val="0"/>
          <w:numId w:val="19"/>
        </w:numPr>
      </w:pPr>
      <w:r>
        <w:t>Rounding</w:t>
      </w:r>
    </w:p>
    <w:p w:rsidR="00BB67AF" w:rsidRDefault="00BB67AF" w:rsidP="003E6750">
      <w:r>
        <w:t>All amounts in the financial report have been rounded to the nearest $1 million unless otherwise stated. Figures in this financial report may not add due to rounding.</w:t>
      </w:r>
    </w:p>
    <w:p w:rsidR="00BB67AF" w:rsidRDefault="00BB67AF">
      <w:pPr>
        <w:spacing w:after="0"/>
      </w:pPr>
      <w:r>
        <w:br w:type="page"/>
      </w:r>
    </w:p>
    <w:p w:rsidR="00BB67AF" w:rsidRDefault="00BB67AF" w:rsidP="003E6750">
      <w:pPr>
        <w:pStyle w:val="Heading2Notes"/>
      </w:pPr>
      <w:bookmarkStart w:id="11" w:name="_Toc445283160"/>
      <w:r>
        <w:lastRenderedPageBreak/>
        <w:t xml:space="preserve">Note 2: </w:t>
      </w:r>
      <w:r>
        <w:tab/>
        <w:t>Disaggregated information</w:t>
      </w:r>
      <w:bookmarkEnd w:id="11"/>
    </w:p>
    <w:p w:rsidR="00BB67AF" w:rsidRDefault="00BB67AF" w:rsidP="003E6750">
      <w:pPr>
        <w:pStyle w:val="Tableheading"/>
      </w:pPr>
      <w:r>
        <w:t>Disaggregated operating statement for the six months ended 31 December</w:t>
      </w:r>
    </w:p>
    <w:p w:rsidR="00BB67AF" w:rsidRPr="00554280" w:rsidRDefault="00BB67AF" w:rsidP="003E6750">
      <w:pPr>
        <w:pStyle w:val="million"/>
        <w:rPr>
          <w:b/>
          <w:bCs/>
          <w:lang w:val="en-US"/>
        </w:rPr>
      </w:pPr>
      <w:r>
        <w:t>($ million)</w:t>
      </w:r>
    </w:p>
    <w:tbl>
      <w:tblPr>
        <w:tblW w:w="9637" w:type="dxa"/>
        <w:tblInd w:w="45" w:type="dxa"/>
        <w:tblLayout w:type="fixed"/>
        <w:tblCellMar>
          <w:left w:w="45" w:type="dxa"/>
          <w:right w:w="45" w:type="dxa"/>
        </w:tblCellMar>
        <w:tblLook w:val="0000" w:firstRow="0" w:lastRow="0" w:firstColumn="0" w:lastColumn="0" w:noHBand="0" w:noVBand="0"/>
      </w:tblPr>
      <w:tblGrid>
        <w:gridCol w:w="5670"/>
        <w:gridCol w:w="991"/>
        <w:gridCol w:w="982"/>
        <w:gridCol w:w="10"/>
        <w:gridCol w:w="992"/>
        <w:gridCol w:w="992"/>
      </w:tblGrid>
      <w:tr w:rsidR="00897890" w:rsidRPr="00A120C4" w:rsidTr="00897890">
        <w:trPr>
          <w:tblHeader/>
        </w:trPr>
        <w:tc>
          <w:tcPr>
            <w:tcW w:w="5670" w:type="dxa"/>
            <w:tcBorders>
              <w:top w:val="nil"/>
              <w:left w:val="nil"/>
              <w:bottom w:val="nil"/>
              <w:right w:val="nil"/>
            </w:tcBorders>
            <w:shd w:val="solid" w:color="000000" w:fill="auto"/>
            <w:vAlign w:val="bottom"/>
          </w:tcPr>
          <w:p w:rsidR="00897890" w:rsidRPr="00A120C4" w:rsidRDefault="00897890" w:rsidP="003E6750">
            <w:pPr>
              <w:autoSpaceDE w:val="0"/>
              <w:autoSpaceDN w:val="0"/>
              <w:adjustRightInd w:val="0"/>
              <w:spacing w:after="0"/>
              <w:jc w:val="center"/>
              <w:rPr>
                <w:rFonts w:ascii="Calibri" w:eastAsiaTheme="minorEastAsia" w:hAnsi="Calibri" w:cs="Calibri"/>
                <w:i/>
                <w:iCs/>
                <w:color w:val="FFFFFF"/>
                <w:sz w:val="20"/>
                <w:lang w:eastAsia="en-AU"/>
              </w:rPr>
            </w:pPr>
            <w:r w:rsidRPr="00A120C4">
              <w:rPr>
                <w:rFonts w:ascii="Calibri" w:eastAsiaTheme="minorEastAsia" w:hAnsi="Calibri" w:cs="Calibri"/>
                <w:i/>
                <w:iCs/>
                <w:color w:val="FFFFFF"/>
                <w:sz w:val="20"/>
                <w:lang w:eastAsia="en-AU"/>
              </w:rPr>
              <w:t xml:space="preserve"> </w:t>
            </w:r>
          </w:p>
        </w:tc>
        <w:tc>
          <w:tcPr>
            <w:tcW w:w="1973" w:type="dxa"/>
            <w:gridSpan w:val="2"/>
            <w:tcBorders>
              <w:top w:val="nil"/>
              <w:left w:val="nil"/>
              <w:bottom w:val="nil"/>
              <w:right w:val="nil"/>
            </w:tcBorders>
            <w:shd w:val="solid" w:color="000000" w:fill="auto"/>
            <w:vAlign w:val="bottom"/>
          </w:tcPr>
          <w:p w:rsidR="00897890" w:rsidRPr="00A120C4" w:rsidRDefault="00897890" w:rsidP="00897890">
            <w:pPr>
              <w:autoSpaceDE w:val="0"/>
              <w:autoSpaceDN w:val="0"/>
              <w:adjustRightInd w:val="0"/>
              <w:spacing w:after="0"/>
              <w:jc w:val="center"/>
              <w:rPr>
                <w:rFonts w:ascii="Calibri" w:eastAsiaTheme="minorEastAsia" w:hAnsi="Calibri" w:cs="Calibri"/>
                <w:i/>
                <w:iCs/>
                <w:color w:val="FFFFFF"/>
                <w:sz w:val="20"/>
                <w:lang w:eastAsia="en-AU"/>
              </w:rPr>
            </w:pPr>
            <w:r w:rsidRPr="00A120C4">
              <w:rPr>
                <w:rFonts w:ascii="Calibri" w:eastAsiaTheme="minorEastAsia" w:hAnsi="Calibri" w:cs="Calibri"/>
                <w:i/>
                <w:iCs/>
                <w:color w:val="FFFFFF"/>
                <w:sz w:val="20"/>
                <w:lang w:eastAsia="en-AU"/>
              </w:rPr>
              <w:t xml:space="preserve">General </w:t>
            </w:r>
            <w:r w:rsidRPr="00A120C4">
              <w:rPr>
                <w:rFonts w:ascii="Calibri" w:eastAsiaTheme="minorEastAsia" w:hAnsi="Calibri" w:cs="Calibri"/>
                <w:i/>
                <w:iCs/>
                <w:color w:val="FFFFFF"/>
                <w:sz w:val="20"/>
                <w:lang w:eastAsia="en-AU"/>
              </w:rPr>
              <w:br/>
              <w:t>government sector</w:t>
            </w:r>
          </w:p>
        </w:tc>
        <w:tc>
          <w:tcPr>
            <w:tcW w:w="1994" w:type="dxa"/>
            <w:gridSpan w:val="3"/>
            <w:tcBorders>
              <w:top w:val="nil"/>
              <w:left w:val="nil"/>
              <w:bottom w:val="nil"/>
              <w:right w:val="nil"/>
            </w:tcBorders>
            <w:shd w:val="solid" w:color="000000" w:fill="auto"/>
            <w:vAlign w:val="bottom"/>
          </w:tcPr>
          <w:p w:rsidR="00897890" w:rsidRPr="00A120C4" w:rsidRDefault="00897890" w:rsidP="00897890">
            <w:pPr>
              <w:autoSpaceDE w:val="0"/>
              <w:autoSpaceDN w:val="0"/>
              <w:adjustRightInd w:val="0"/>
              <w:spacing w:after="0"/>
              <w:jc w:val="center"/>
              <w:rPr>
                <w:rFonts w:ascii="Calibri" w:eastAsiaTheme="minorEastAsia" w:hAnsi="Calibri" w:cs="Calibri"/>
                <w:i/>
                <w:iCs/>
                <w:color w:val="FFFFFF"/>
                <w:sz w:val="20"/>
                <w:lang w:eastAsia="en-AU"/>
              </w:rPr>
            </w:pPr>
            <w:r w:rsidRPr="00A120C4">
              <w:rPr>
                <w:rFonts w:ascii="Calibri" w:eastAsiaTheme="minorEastAsia" w:hAnsi="Calibri" w:cs="Calibri"/>
                <w:i/>
                <w:iCs/>
                <w:color w:val="FFFFFF"/>
                <w:sz w:val="20"/>
                <w:lang w:eastAsia="en-AU"/>
              </w:rPr>
              <w:t>Public non-financial corporations</w:t>
            </w:r>
          </w:p>
        </w:tc>
      </w:tr>
      <w:tr w:rsidR="00BB67AF" w:rsidRPr="00A120C4" w:rsidTr="003E6750">
        <w:trPr>
          <w:tblHeader/>
        </w:trPr>
        <w:tc>
          <w:tcPr>
            <w:tcW w:w="5670" w:type="dxa"/>
            <w:tcBorders>
              <w:top w:val="nil"/>
              <w:left w:val="nil"/>
              <w:right w:val="nil"/>
            </w:tcBorders>
            <w:shd w:val="solid" w:color="000000" w:fill="auto"/>
            <w:vAlign w:val="bottom"/>
          </w:tcPr>
          <w:p w:rsidR="00BB67AF" w:rsidRPr="00A120C4" w:rsidRDefault="00BB67AF" w:rsidP="003E6750">
            <w:pPr>
              <w:autoSpaceDE w:val="0"/>
              <w:autoSpaceDN w:val="0"/>
              <w:adjustRightInd w:val="0"/>
              <w:spacing w:after="0"/>
              <w:jc w:val="right"/>
              <w:rPr>
                <w:rFonts w:ascii="Calibri" w:eastAsiaTheme="minorEastAsia" w:hAnsi="Calibri" w:cs="Calibri"/>
                <w:i/>
                <w:iCs/>
                <w:color w:val="FFFFFF"/>
                <w:sz w:val="20"/>
                <w:lang w:eastAsia="en-AU"/>
              </w:rPr>
            </w:pPr>
            <w:r w:rsidRPr="00A120C4">
              <w:rPr>
                <w:rFonts w:ascii="Calibri" w:eastAsiaTheme="minorEastAsia" w:hAnsi="Calibri" w:cs="Calibri"/>
                <w:i/>
                <w:iCs/>
                <w:color w:val="FFFFFF"/>
                <w:sz w:val="20"/>
                <w:lang w:eastAsia="en-AU"/>
              </w:rPr>
              <w:t xml:space="preserve"> </w:t>
            </w:r>
          </w:p>
        </w:tc>
        <w:tc>
          <w:tcPr>
            <w:tcW w:w="991" w:type="dxa"/>
            <w:tcBorders>
              <w:top w:val="nil"/>
              <w:left w:val="nil"/>
              <w:right w:val="nil"/>
            </w:tcBorders>
            <w:shd w:val="solid" w:color="000000" w:fill="auto"/>
            <w:vAlign w:val="bottom"/>
          </w:tcPr>
          <w:p w:rsidR="00BB67AF" w:rsidRPr="00A120C4" w:rsidRDefault="00BB67AF" w:rsidP="003E6750">
            <w:pPr>
              <w:autoSpaceDE w:val="0"/>
              <w:autoSpaceDN w:val="0"/>
              <w:adjustRightInd w:val="0"/>
              <w:spacing w:after="0"/>
              <w:jc w:val="right"/>
              <w:rPr>
                <w:rFonts w:ascii="Calibri" w:eastAsiaTheme="minorEastAsia" w:hAnsi="Calibri" w:cs="Calibri"/>
                <w:i/>
                <w:iCs/>
                <w:color w:val="FFFFFF"/>
                <w:sz w:val="20"/>
                <w:lang w:eastAsia="en-AU"/>
              </w:rPr>
            </w:pPr>
            <w:r w:rsidRPr="00A120C4">
              <w:rPr>
                <w:rFonts w:ascii="Calibri" w:eastAsiaTheme="minorEastAsia" w:hAnsi="Calibri" w:cs="Calibri"/>
                <w:i/>
                <w:iCs/>
                <w:color w:val="FFFFFF"/>
                <w:sz w:val="20"/>
                <w:lang w:eastAsia="en-AU"/>
              </w:rPr>
              <w:t>2015</w:t>
            </w:r>
          </w:p>
        </w:tc>
        <w:tc>
          <w:tcPr>
            <w:tcW w:w="992" w:type="dxa"/>
            <w:gridSpan w:val="2"/>
            <w:tcBorders>
              <w:top w:val="nil"/>
              <w:left w:val="nil"/>
              <w:right w:val="nil"/>
            </w:tcBorders>
            <w:shd w:val="solid" w:color="000000" w:fill="auto"/>
            <w:vAlign w:val="bottom"/>
          </w:tcPr>
          <w:p w:rsidR="00BB67AF" w:rsidRPr="00A120C4" w:rsidRDefault="00BB67AF" w:rsidP="003E6750">
            <w:pPr>
              <w:autoSpaceDE w:val="0"/>
              <w:autoSpaceDN w:val="0"/>
              <w:adjustRightInd w:val="0"/>
              <w:spacing w:after="0"/>
              <w:jc w:val="right"/>
              <w:rPr>
                <w:rFonts w:ascii="Calibri" w:eastAsiaTheme="minorEastAsia" w:hAnsi="Calibri" w:cs="Calibri"/>
                <w:i/>
                <w:iCs/>
                <w:color w:val="FFFFFF"/>
                <w:sz w:val="20"/>
                <w:vertAlign w:val="superscript"/>
                <w:lang w:eastAsia="en-AU"/>
              </w:rPr>
            </w:pPr>
            <w:r w:rsidRPr="00A120C4">
              <w:rPr>
                <w:rFonts w:ascii="Calibri" w:eastAsiaTheme="minorEastAsia" w:hAnsi="Calibri" w:cs="Calibri"/>
                <w:i/>
                <w:iCs/>
                <w:color w:val="FFFFFF"/>
                <w:sz w:val="20"/>
                <w:lang w:eastAsia="en-AU"/>
              </w:rPr>
              <w:t xml:space="preserve">2014 </w:t>
            </w:r>
            <w:r w:rsidRPr="00A120C4">
              <w:rPr>
                <w:rFonts w:ascii="Calibri" w:eastAsiaTheme="minorEastAsia" w:hAnsi="Calibri" w:cs="Calibri"/>
                <w:i/>
                <w:iCs/>
                <w:color w:val="FFFFFF"/>
                <w:sz w:val="20"/>
                <w:vertAlign w:val="superscript"/>
                <w:lang w:eastAsia="en-AU"/>
              </w:rPr>
              <w:t>(a)</w:t>
            </w:r>
          </w:p>
        </w:tc>
        <w:tc>
          <w:tcPr>
            <w:tcW w:w="992" w:type="dxa"/>
            <w:tcBorders>
              <w:top w:val="nil"/>
              <w:left w:val="nil"/>
              <w:right w:val="nil"/>
            </w:tcBorders>
            <w:shd w:val="solid" w:color="000000" w:fill="auto"/>
            <w:vAlign w:val="bottom"/>
          </w:tcPr>
          <w:p w:rsidR="00BB67AF" w:rsidRPr="00A120C4" w:rsidRDefault="00BB67AF" w:rsidP="003E6750">
            <w:pPr>
              <w:autoSpaceDE w:val="0"/>
              <w:autoSpaceDN w:val="0"/>
              <w:adjustRightInd w:val="0"/>
              <w:spacing w:after="0"/>
              <w:jc w:val="right"/>
              <w:rPr>
                <w:rFonts w:ascii="Calibri" w:eastAsiaTheme="minorEastAsia" w:hAnsi="Calibri" w:cs="Calibri"/>
                <w:i/>
                <w:iCs/>
                <w:color w:val="FFFFFF"/>
                <w:sz w:val="20"/>
                <w:lang w:eastAsia="en-AU"/>
              </w:rPr>
            </w:pPr>
            <w:r w:rsidRPr="00A120C4">
              <w:rPr>
                <w:rFonts w:ascii="Calibri" w:eastAsiaTheme="minorEastAsia" w:hAnsi="Calibri" w:cs="Calibri"/>
                <w:i/>
                <w:iCs/>
                <w:color w:val="FFFFFF"/>
                <w:sz w:val="20"/>
                <w:lang w:eastAsia="en-AU"/>
              </w:rPr>
              <w:t>2015</w:t>
            </w:r>
          </w:p>
        </w:tc>
        <w:tc>
          <w:tcPr>
            <w:tcW w:w="992" w:type="dxa"/>
            <w:tcBorders>
              <w:top w:val="nil"/>
              <w:left w:val="nil"/>
              <w:right w:val="nil"/>
            </w:tcBorders>
            <w:shd w:val="solid" w:color="000000" w:fill="auto"/>
            <w:vAlign w:val="bottom"/>
          </w:tcPr>
          <w:p w:rsidR="00BB67AF" w:rsidRPr="00A120C4" w:rsidRDefault="00BB67AF" w:rsidP="003E6750">
            <w:pPr>
              <w:autoSpaceDE w:val="0"/>
              <w:autoSpaceDN w:val="0"/>
              <w:adjustRightInd w:val="0"/>
              <w:spacing w:after="0"/>
              <w:jc w:val="right"/>
              <w:rPr>
                <w:rFonts w:ascii="Calibri" w:eastAsiaTheme="minorEastAsia" w:hAnsi="Calibri" w:cs="Calibri"/>
                <w:i/>
                <w:iCs/>
                <w:color w:val="FFFFFF"/>
                <w:sz w:val="20"/>
                <w:vertAlign w:val="superscript"/>
                <w:lang w:eastAsia="en-AU"/>
              </w:rPr>
            </w:pPr>
            <w:r w:rsidRPr="00A120C4">
              <w:rPr>
                <w:rFonts w:ascii="Calibri" w:eastAsiaTheme="minorEastAsia" w:hAnsi="Calibri" w:cs="Calibri"/>
                <w:i/>
                <w:iCs/>
                <w:color w:val="FFFFFF"/>
                <w:sz w:val="20"/>
                <w:lang w:eastAsia="en-AU"/>
              </w:rPr>
              <w:t xml:space="preserve">2014 </w:t>
            </w:r>
            <w:r w:rsidRPr="00A120C4">
              <w:rPr>
                <w:rFonts w:ascii="Calibri" w:eastAsiaTheme="minorEastAsia" w:hAnsi="Calibri" w:cs="Calibri"/>
                <w:i/>
                <w:iCs/>
                <w:color w:val="FFFFFF"/>
                <w:sz w:val="20"/>
                <w:vertAlign w:val="superscript"/>
                <w:lang w:eastAsia="en-AU"/>
              </w:rPr>
              <w:t>(a)</w:t>
            </w:r>
          </w:p>
        </w:tc>
      </w:tr>
      <w:tr w:rsidR="00BB67AF" w:rsidRPr="00A120C4" w:rsidTr="003E6750">
        <w:tc>
          <w:tcPr>
            <w:tcW w:w="567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Revenue from transactions</w:t>
            </w:r>
          </w:p>
        </w:tc>
        <w:tc>
          <w:tcPr>
            <w:tcW w:w="991"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99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r>
      <w:tr w:rsidR="00BB67AF" w:rsidRPr="00A120C4" w:rsidTr="003E6750">
        <w:tc>
          <w:tcPr>
            <w:tcW w:w="567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Taxation revenue</w:t>
            </w:r>
          </w:p>
        </w:tc>
        <w:tc>
          <w:tcPr>
            <w:tcW w:w="991"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9 676</w:t>
            </w:r>
          </w:p>
        </w:tc>
        <w:tc>
          <w:tcPr>
            <w:tcW w:w="99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8 764</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w:t>
            </w:r>
          </w:p>
        </w:tc>
      </w:tr>
      <w:tr w:rsidR="00BB67AF" w:rsidRPr="00A120C4" w:rsidTr="003E6750">
        <w:tc>
          <w:tcPr>
            <w:tcW w:w="567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Interest revenue</w:t>
            </w:r>
          </w:p>
        </w:tc>
        <w:tc>
          <w:tcPr>
            <w:tcW w:w="991"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394</w:t>
            </w:r>
          </w:p>
        </w:tc>
        <w:tc>
          <w:tcPr>
            <w:tcW w:w="99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405</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18</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23</w:t>
            </w:r>
          </w:p>
        </w:tc>
      </w:tr>
      <w:tr w:rsidR="00BB67AF" w:rsidRPr="00A120C4" w:rsidTr="003E6750">
        <w:tc>
          <w:tcPr>
            <w:tcW w:w="567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Dividends and income tax equivalent and rate equivalent revenue</w:t>
            </w:r>
          </w:p>
        </w:tc>
        <w:tc>
          <w:tcPr>
            <w:tcW w:w="991"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451</w:t>
            </w:r>
          </w:p>
        </w:tc>
        <w:tc>
          <w:tcPr>
            <w:tcW w:w="99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667</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5</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4</w:t>
            </w:r>
          </w:p>
        </w:tc>
      </w:tr>
      <w:tr w:rsidR="00BB67AF" w:rsidRPr="00A120C4" w:rsidTr="003E6750">
        <w:tc>
          <w:tcPr>
            <w:tcW w:w="567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Sales of goods and services</w:t>
            </w:r>
          </w:p>
        </w:tc>
        <w:tc>
          <w:tcPr>
            <w:tcW w:w="991"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3 332</w:t>
            </w:r>
          </w:p>
        </w:tc>
        <w:tc>
          <w:tcPr>
            <w:tcW w:w="99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3 332</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2 990</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2 865</w:t>
            </w:r>
          </w:p>
        </w:tc>
      </w:tr>
      <w:tr w:rsidR="00BB67AF" w:rsidRPr="00A120C4" w:rsidTr="003E6750">
        <w:tc>
          <w:tcPr>
            <w:tcW w:w="567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Grant revenue</w:t>
            </w:r>
          </w:p>
        </w:tc>
        <w:tc>
          <w:tcPr>
            <w:tcW w:w="991"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12 301</w:t>
            </w:r>
          </w:p>
        </w:tc>
        <w:tc>
          <w:tcPr>
            <w:tcW w:w="99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11 722</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1 499</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1 434</w:t>
            </w:r>
          </w:p>
        </w:tc>
      </w:tr>
      <w:tr w:rsidR="00BB67AF" w:rsidRPr="00A120C4" w:rsidTr="003E6750">
        <w:tc>
          <w:tcPr>
            <w:tcW w:w="5670"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Other revenue</w:t>
            </w:r>
          </w:p>
        </w:tc>
        <w:tc>
          <w:tcPr>
            <w:tcW w:w="991"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1 726</w:t>
            </w:r>
          </w:p>
        </w:tc>
        <w:tc>
          <w:tcPr>
            <w:tcW w:w="992" w:type="dxa"/>
            <w:gridSpan w:val="2"/>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1 155</w:t>
            </w:r>
          </w:p>
        </w:tc>
        <w:tc>
          <w:tcPr>
            <w:tcW w:w="992"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327</w:t>
            </w:r>
          </w:p>
        </w:tc>
        <w:tc>
          <w:tcPr>
            <w:tcW w:w="992"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247</w:t>
            </w:r>
          </w:p>
        </w:tc>
      </w:tr>
      <w:tr w:rsidR="00BB67AF" w:rsidRPr="00A120C4" w:rsidTr="003E6750">
        <w:tc>
          <w:tcPr>
            <w:tcW w:w="5670"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Total revenue from transactions</w:t>
            </w:r>
          </w:p>
        </w:tc>
        <w:tc>
          <w:tcPr>
            <w:tcW w:w="991"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27 880</w:t>
            </w:r>
          </w:p>
        </w:tc>
        <w:tc>
          <w:tcPr>
            <w:tcW w:w="992" w:type="dxa"/>
            <w:gridSpan w:val="2"/>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26 045</w:t>
            </w:r>
          </w:p>
        </w:tc>
        <w:tc>
          <w:tcPr>
            <w:tcW w:w="992"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4 838</w:t>
            </w:r>
          </w:p>
        </w:tc>
        <w:tc>
          <w:tcPr>
            <w:tcW w:w="992"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4 573</w:t>
            </w:r>
          </w:p>
        </w:tc>
      </w:tr>
      <w:tr w:rsidR="00BB67AF" w:rsidRPr="00A120C4" w:rsidTr="003E6750">
        <w:tc>
          <w:tcPr>
            <w:tcW w:w="567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Expenses from transactions</w:t>
            </w:r>
          </w:p>
        </w:tc>
        <w:tc>
          <w:tcPr>
            <w:tcW w:w="991"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99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r>
      <w:tr w:rsidR="00BB67AF" w:rsidRPr="00A120C4" w:rsidTr="003E6750">
        <w:tc>
          <w:tcPr>
            <w:tcW w:w="567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Employee expenses</w:t>
            </w:r>
          </w:p>
        </w:tc>
        <w:tc>
          <w:tcPr>
            <w:tcW w:w="991"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9 765</w:t>
            </w:r>
          </w:p>
        </w:tc>
        <w:tc>
          <w:tcPr>
            <w:tcW w:w="99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9 319</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555</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529</w:t>
            </w:r>
          </w:p>
        </w:tc>
      </w:tr>
      <w:tr w:rsidR="00BB67AF" w:rsidRPr="00A120C4" w:rsidTr="003E6750">
        <w:tc>
          <w:tcPr>
            <w:tcW w:w="567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Net superannuation interest expense</w:t>
            </w:r>
          </w:p>
        </w:tc>
        <w:tc>
          <w:tcPr>
            <w:tcW w:w="991"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441</w:t>
            </w:r>
          </w:p>
        </w:tc>
        <w:tc>
          <w:tcPr>
            <w:tcW w:w="99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512</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w:t>
            </w:r>
          </w:p>
        </w:tc>
      </w:tr>
      <w:tr w:rsidR="00BB67AF" w:rsidRPr="00A120C4" w:rsidTr="003E6750">
        <w:tc>
          <w:tcPr>
            <w:tcW w:w="567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Other superannuation</w:t>
            </w:r>
          </w:p>
        </w:tc>
        <w:tc>
          <w:tcPr>
            <w:tcW w:w="991"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1 160</w:t>
            </w:r>
          </w:p>
        </w:tc>
        <w:tc>
          <w:tcPr>
            <w:tcW w:w="99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1 035</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51</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47</w:t>
            </w:r>
          </w:p>
        </w:tc>
      </w:tr>
      <w:tr w:rsidR="00BB67AF" w:rsidRPr="00A120C4" w:rsidTr="003E6750">
        <w:tc>
          <w:tcPr>
            <w:tcW w:w="567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Depreciation</w:t>
            </w:r>
          </w:p>
        </w:tc>
        <w:tc>
          <w:tcPr>
            <w:tcW w:w="991"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1 200</w:t>
            </w:r>
          </w:p>
        </w:tc>
        <w:tc>
          <w:tcPr>
            <w:tcW w:w="99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1 198</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1 099</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976</w:t>
            </w:r>
          </w:p>
        </w:tc>
      </w:tr>
      <w:tr w:rsidR="00BB67AF" w:rsidRPr="00A120C4" w:rsidTr="003E6750">
        <w:tc>
          <w:tcPr>
            <w:tcW w:w="567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Interest expense</w:t>
            </w:r>
          </w:p>
        </w:tc>
        <w:tc>
          <w:tcPr>
            <w:tcW w:w="991"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1 034</w:t>
            </w:r>
          </w:p>
        </w:tc>
        <w:tc>
          <w:tcPr>
            <w:tcW w:w="99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1 048</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537</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570</w:t>
            </w:r>
          </w:p>
        </w:tc>
      </w:tr>
      <w:tr w:rsidR="00BB67AF" w:rsidRPr="00A120C4" w:rsidTr="003E6750">
        <w:tc>
          <w:tcPr>
            <w:tcW w:w="567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Grant expense</w:t>
            </w:r>
          </w:p>
        </w:tc>
        <w:tc>
          <w:tcPr>
            <w:tcW w:w="991"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4 315</w:t>
            </w:r>
          </w:p>
        </w:tc>
        <w:tc>
          <w:tcPr>
            <w:tcW w:w="99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4 130</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121</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118</w:t>
            </w:r>
          </w:p>
        </w:tc>
      </w:tr>
      <w:tr w:rsidR="00BB67AF" w:rsidRPr="00A120C4" w:rsidTr="003E6750">
        <w:tc>
          <w:tcPr>
            <w:tcW w:w="567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Other operating expenses</w:t>
            </w:r>
          </w:p>
        </w:tc>
        <w:tc>
          <w:tcPr>
            <w:tcW w:w="991"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8 457</w:t>
            </w:r>
          </w:p>
        </w:tc>
        <w:tc>
          <w:tcPr>
            <w:tcW w:w="99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8 340</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2 339</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2 300</w:t>
            </w:r>
          </w:p>
        </w:tc>
      </w:tr>
      <w:tr w:rsidR="00BB67AF" w:rsidRPr="00A120C4" w:rsidTr="003E6750">
        <w:tc>
          <w:tcPr>
            <w:tcW w:w="5670"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Other property expenses</w:t>
            </w:r>
          </w:p>
        </w:tc>
        <w:tc>
          <w:tcPr>
            <w:tcW w:w="991"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w:t>
            </w:r>
          </w:p>
        </w:tc>
        <w:tc>
          <w:tcPr>
            <w:tcW w:w="992" w:type="dxa"/>
            <w:gridSpan w:val="2"/>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w:t>
            </w:r>
          </w:p>
        </w:tc>
        <w:tc>
          <w:tcPr>
            <w:tcW w:w="992"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122</w:t>
            </w:r>
          </w:p>
        </w:tc>
        <w:tc>
          <w:tcPr>
            <w:tcW w:w="992"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57</w:t>
            </w:r>
          </w:p>
        </w:tc>
      </w:tr>
      <w:tr w:rsidR="00BB67AF" w:rsidRPr="00A120C4" w:rsidTr="003E6750">
        <w:tc>
          <w:tcPr>
            <w:tcW w:w="5670"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Total expenses from transactions</w:t>
            </w:r>
          </w:p>
        </w:tc>
        <w:tc>
          <w:tcPr>
            <w:tcW w:w="991"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26 373</w:t>
            </w:r>
          </w:p>
        </w:tc>
        <w:tc>
          <w:tcPr>
            <w:tcW w:w="992" w:type="dxa"/>
            <w:gridSpan w:val="2"/>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25 581</w:t>
            </w:r>
          </w:p>
        </w:tc>
        <w:tc>
          <w:tcPr>
            <w:tcW w:w="992"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4 824</w:t>
            </w:r>
          </w:p>
        </w:tc>
        <w:tc>
          <w:tcPr>
            <w:tcW w:w="992"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4 599</w:t>
            </w:r>
          </w:p>
        </w:tc>
      </w:tr>
      <w:tr w:rsidR="00BB67AF" w:rsidRPr="00A120C4" w:rsidTr="003E6750">
        <w:tc>
          <w:tcPr>
            <w:tcW w:w="5670"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Net result from transactions – net operating balance</w:t>
            </w:r>
          </w:p>
        </w:tc>
        <w:tc>
          <w:tcPr>
            <w:tcW w:w="991"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1 507</w:t>
            </w:r>
          </w:p>
        </w:tc>
        <w:tc>
          <w:tcPr>
            <w:tcW w:w="992" w:type="dxa"/>
            <w:gridSpan w:val="2"/>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463</w:t>
            </w:r>
          </w:p>
        </w:tc>
        <w:tc>
          <w:tcPr>
            <w:tcW w:w="992"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14</w:t>
            </w:r>
          </w:p>
        </w:tc>
        <w:tc>
          <w:tcPr>
            <w:tcW w:w="992"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(26)</w:t>
            </w:r>
          </w:p>
        </w:tc>
      </w:tr>
      <w:tr w:rsidR="00BB67AF" w:rsidRPr="00A120C4" w:rsidTr="003E6750">
        <w:tc>
          <w:tcPr>
            <w:tcW w:w="5670"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Other economic flows included in net result</w:t>
            </w:r>
          </w:p>
        </w:tc>
        <w:tc>
          <w:tcPr>
            <w:tcW w:w="991"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992" w:type="dxa"/>
            <w:gridSpan w:val="2"/>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992"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992"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r>
      <w:tr w:rsidR="00BB67AF" w:rsidRPr="00A120C4" w:rsidTr="003E6750">
        <w:tc>
          <w:tcPr>
            <w:tcW w:w="567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Net gain/(loss) on disposal of non-financial assets</w:t>
            </w:r>
          </w:p>
        </w:tc>
        <w:tc>
          <w:tcPr>
            <w:tcW w:w="991"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11</w:t>
            </w:r>
          </w:p>
        </w:tc>
        <w:tc>
          <w:tcPr>
            <w:tcW w:w="99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26</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(3)</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w:t>
            </w:r>
          </w:p>
        </w:tc>
      </w:tr>
      <w:tr w:rsidR="00BB67AF" w:rsidRPr="00A120C4" w:rsidTr="003E6750">
        <w:tc>
          <w:tcPr>
            <w:tcW w:w="567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Net gain/(loss) on financial assets or liabilities at fair value</w:t>
            </w:r>
          </w:p>
        </w:tc>
        <w:tc>
          <w:tcPr>
            <w:tcW w:w="991"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(21)</w:t>
            </w:r>
          </w:p>
        </w:tc>
        <w:tc>
          <w:tcPr>
            <w:tcW w:w="99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35</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49</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45</w:t>
            </w:r>
          </w:p>
        </w:tc>
      </w:tr>
      <w:tr w:rsidR="00BB67AF" w:rsidRPr="00A120C4" w:rsidTr="003E6750">
        <w:tc>
          <w:tcPr>
            <w:tcW w:w="567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Share of net profit/(loss) from associates/joint venture entities</w:t>
            </w:r>
          </w:p>
        </w:tc>
        <w:tc>
          <w:tcPr>
            <w:tcW w:w="991"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w:t>
            </w:r>
          </w:p>
        </w:tc>
        <w:tc>
          <w:tcPr>
            <w:tcW w:w="99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26</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22</w:t>
            </w:r>
          </w:p>
        </w:tc>
      </w:tr>
      <w:tr w:rsidR="00BB67AF" w:rsidRPr="00A120C4" w:rsidTr="003E6750">
        <w:tc>
          <w:tcPr>
            <w:tcW w:w="5670"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Other gains/(losses) from other economic flows</w:t>
            </w:r>
          </w:p>
        </w:tc>
        <w:tc>
          <w:tcPr>
            <w:tcW w:w="991"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(260)</w:t>
            </w:r>
          </w:p>
        </w:tc>
        <w:tc>
          <w:tcPr>
            <w:tcW w:w="992" w:type="dxa"/>
            <w:gridSpan w:val="2"/>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(333)</w:t>
            </w:r>
          </w:p>
        </w:tc>
        <w:tc>
          <w:tcPr>
            <w:tcW w:w="992"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w:t>
            </w:r>
          </w:p>
        </w:tc>
        <w:tc>
          <w:tcPr>
            <w:tcW w:w="992"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21</w:t>
            </w:r>
          </w:p>
        </w:tc>
      </w:tr>
      <w:tr w:rsidR="00BB67AF" w:rsidRPr="00A120C4" w:rsidTr="003E6750">
        <w:tc>
          <w:tcPr>
            <w:tcW w:w="5670"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Total other economic flows included in net result</w:t>
            </w:r>
          </w:p>
        </w:tc>
        <w:tc>
          <w:tcPr>
            <w:tcW w:w="991"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(267)</w:t>
            </w:r>
          </w:p>
        </w:tc>
        <w:tc>
          <w:tcPr>
            <w:tcW w:w="992" w:type="dxa"/>
            <w:gridSpan w:val="2"/>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(273)</w:t>
            </w:r>
          </w:p>
        </w:tc>
        <w:tc>
          <w:tcPr>
            <w:tcW w:w="992"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73</w:t>
            </w:r>
          </w:p>
        </w:tc>
        <w:tc>
          <w:tcPr>
            <w:tcW w:w="992"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89</w:t>
            </w:r>
          </w:p>
        </w:tc>
      </w:tr>
      <w:tr w:rsidR="00BB67AF" w:rsidRPr="00A120C4" w:rsidTr="003E6750">
        <w:tc>
          <w:tcPr>
            <w:tcW w:w="5670"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Net result</w:t>
            </w:r>
          </w:p>
        </w:tc>
        <w:tc>
          <w:tcPr>
            <w:tcW w:w="991"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1 239</w:t>
            </w:r>
          </w:p>
        </w:tc>
        <w:tc>
          <w:tcPr>
            <w:tcW w:w="992" w:type="dxa"/>
            <w:gridSpan w:val="2"/>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191</w:t>
            </w:r>
          </w:p>
        </w:tc>
        <w:tc>
          <w:tcPr>
            <w:tcW w:w="992"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87</w:t>
            </w:r>
          </w:p>
        </w:tc>
        <w:tc>
          <w:tcPr>
            <w:tcW w:w="992"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63</w:t>
            </w:r>
          </w:p>
        </w:tc>
      </w:tr>
      <w:tr w:rsidR="00BB67AF" w:rsidRPr="00A120C4" w:rsidTr="003E6750">
        <w:tc>
          <w:tcPr>
            <w:tcW w:w="5670"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Other economic flows – other comprehensive income</w:t>
            </w:r>
          </w:p>
        </w:tc>
        <w:tc>
          <w:tcPr>
            <w:tcW w:w="991"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992" w:type="dxa"/>
            <w:gridSpan w:val="2"/>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992"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992" w:type="dxa"/>
            <w:tcBorders>
              <w:top w:val="single" w:sz="6"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r>
      <w:tr w:rsidR="00BB67AF" w:rsidRPr="00A120C4" w:rsidTr="003E6750">
        <w:tc>
          <w:tcPr>
            <w:tcW w:w="567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Items that will not be reclassified to net result</w:t>
            </w:r>
          </w:p>
        </w:tc>
        <w:tc>
          <w:tcPr>
            <w:tcW w:w="991"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99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r>
      <w:tr w:rsidR="00BB67AF" w:rsidRPr="00A120C4" w:rsidTr="003E6750">
        <w:tc>
          <w:tcPr>
            <w:tcW w:w="567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Changes in non-financial assets revaluation surplus</w:t>
            </w:r>
          </w:p>
        </w:tc>
        <w:tc>
          <w:tcPr>
            <w:tcW w:w="991"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8</w:t>
            </w:r>
          </w:p>
        </w:tc>
        <w:tc>
          <w:tcPr>
            <w:tcW w:w="99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59</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(8)</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3</w:t>
            </w:r>
          </w:p>
        </w:tc>
      </w:tr>
      <w:tr w:rsidR="00BB67AF" w:rsidRPr="00A120C4" w:rsidTr="003E6750">
        <w:tc>
          <w:tcPr>
            <w:tcW w:w="567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proofErr w:type="spellStart"/>
            <w:r w:rsidRPr="00A120C4">
              <w:rPr>
                <w:rFonts w:ascii="Calibri" w:eastAsiaTheme="minorEastAsia" w:hAnsi="Calibri" w:cs="Calibri"/>
                <w:color w:val="000000"/>
                <w:sz w:val="20"/>
                <w:lang w:eastAsia="en-AU"/>
              </w:rPr>
              <w:t>Remeasurement</w:t>
            </w:r>
            <w:proofErr w:type="spellEnd"/>
            <w:r w:rsidRPr="00A120C4">
              <w:rPr>
                <w:rFonts w:ascii="Calibri" w:eastAsiaTheme="minorEastAsia" w:hAnsi="Calibri" w:cs="Calibri"/>
                <w:color w:val="000000"/>
                <w:sz w:val="20"/>
                <w:lang w:eastAsia="en-AU"/>
              </w:rPr>
              <w:t xml:space="preserve"> of superannuation defined benefits plans</w:t>
            </w:r>
          </w:p>
        </w:tc>
        <w:tc>
          <w:tcPr>
            <w:tcW w:w="991"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(704)</w:t>
            </w:r>
          </w:p>
        </w:tc>
        <w:tc>
          <w:tcPr>
            <w:tcW w:w="99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(2 464)</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(3)</w:t>
            </w:r>
          </w:p>
        </w:tc>
      </w:tr>
      <w:tr w:rsidR="00BB67AF" w:rsidRPr="00A120C4" w:rsidTr="003E6750">
        <w:tc>
          <w:tcPr>
            <w:tcW w:w="567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Net gain/(loss) on equity investments in other sector entities at proportional share of the carrying amount of net assets</w:t>
            </w:r>
          </w:p>
        </w:tc>
        <w:tc>
          <w:tcPr>
            <w:tcW w:w="991"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(246)</w:t>
            </w:r>
          </w:p>
        </w:tc>
        <w:tc>
          <w:tcPr>
            <w:tcW w:w="99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3</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w:t>
            </w:r>
          </w:p>
        </w:tc>
      </w:tr>
      <w:tr w:rsidR="00BB67AF" w:rsidRPr="00A120C4" w:rsidTr="003E6750">
        <w:tc>
          <w:tcPr>
            <w:tcW w:w="567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Other movements in equity</w:t>
            </w:r>
          </w:p>
        </w:tc>
        <w:tc>
          <w:tcPr>
            <w:tcW w:w="991"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(25)</w:t>
            </w:r>
          </w:p>
        </w:tc>
        <w:tc>
          <w:tcPr>
            <w:tcW w:w="99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(7)</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78</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3</w:t>
            </w:r>
          </w:p>
        </w:tc>
      </w:tr>
      <w:tr w:rsidR="00BB67AF" w:rsidRPr="00A120C4" w:rsidTr="003E6750">
        <w:tc>
          <w:tcPr>
            <w:tcW w:w="567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Items that may be reclassified subsequently to net result</w:t>
            </w:r>
          </w:p>
        </w:tc>
        <w:tc>
          <w:tcPr>
            <w:tcW w:w="991"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99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r>
      <w:tr w:rsidR="00BB67AF" w:rsidRPr="00A120C4" w:rsidTr="003E6750">
        <w:tc>
          <w:tcPr>
            <w:tcW w:w="5670"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Net gain/(loss) on financial assets at fair value</w:t>
            </w:r>
          </w:p>
        </w:tc>
        <w:tc>
          <w:tcPr>
            <w:tcW w:w="991"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(26)</w:t>
            </w:r>
          </w:p>
        </w:tc>
        <w:tc>
          <w:tcPr>
            <w:tcW w:w="992" w:type="dxa"/>
            <w:gridSpan w:val="2"/>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(34)</w:t>
            </w:r>
          </w:p>
        </w:tc>
        <w:tc>
          <w:tcPr>
            <w:tcW w:w="992"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(4)</w:t>
            </w:r>
          </w:p>
        </w:tc>
        <w:tc>
          <w:tcPr>
            <w:tcW w:w="992"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(20)</w:t>
            </w:r>
          </w:p>
        </w:tc>
      </w:tr>
      <w:tr w:rsidR="00BB67AF" w:rsidRPr="00A120C4" w:rsidTr="003E6750">
        <w:tc>
          <w:tcPr>
            <w:tcW w:w="5670"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Total other economic flows – other comprehensive income</w:t>
            </w:r>
          </w:p>
        </w:tc>
        <w:tc>
          <w:tcPr>
            <w:tcW w:w="991"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(993)</w:t>
            </w:r>
          </w:p>
        </w:tc>
        <w:tc>
          <w:tcPr>
            <w:tcW w:w="992" w:type="dxa"/>
            <w:gridSpan w:val="2"/>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(2 444)</w:t>
            </w:r>
          </w:p>
        </w:tc>
        <w:tc>
          <w:tcPr>
            <w:tcW w:w="992"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65</w:t>
            </w:r>
          </w:p>
        </w:tc>
        <w:tc>
          <w:tcPr>
            <w:tcW w:w="992" w:type="dxa"/>
            <w:tcBorders>
              <w:top w:val="single" w:sz="6" w:space="0" w:color="000000"/>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(16)</w:t>
            </w:r>
          </w:p>
        </w:tc>
      </w:tr>
      <w:tr w:rsidR="00BB67AF" w:rsidRPr="00A120C4" w:rsidTr="003E6750">
        <w:tc>
          <w:tcPr>
            <w:tcW w:w="5670"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Comprehensive result – total change in net worth</w:t>
            </w:r>
          </w:p>
        </w:tc>
        <w:tc>
          <w:tcPr>
            <w:tcW w:w="991"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246</w:t>
            </w:r>
          </w:p>
        </w:tc>
        <w:tc>
          <w:tcPr>
            <w:tcW w:w="992" w:type="dxa"/>
            <w:gridSpan w:val="2"/>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(2 253)</w:t>
            </w:r>
          </w:p>
        </w:tc>
        <w:tc>
          <w:tcPr>
            <w:tcW w:w="992"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152</w:t>
            </w:r>
          </w:p>
        </w:tc>
        <w:tc>
          <w:tcPr>
            <w:tcW w:w="992" w:type="dxa"/>
            <w:tcBorders>
              <w:top w:val="single" w:sz="6" w:space="0" w:color="000000"/>
              <w:left w:val="nil"/>
              <w:bottom w:val="single" w:sz="12"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47</w:t>
            </w:r>
          </w:p>
        </w:tc>
      </w:tr>
      <w:tr w:rsidR="00BB67AF" w:rsidRPr="00A120C4" w:rsidTr="003E6750">
        <w:trPr>
          <w:trHeight w:hRule="exact" w:val="120"/>
        </w:trPr>
        <w:tc>
          <w:tcPr>
            <w:tcW w:w="5670"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 xml:space="preserve"> </w:t>
            </w:r>
          </w:p>
        </w:tc>
        <w:tc>
          <w:tcPr>
            <w:tcW w:w="991"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 xml:space="preserve"> </w:t>
            </w:r>
          </w:p>
        </w:tc>
        <w:tc>
          <w:tcPr>
            <w:tcW w:w="992" w:type="dxa"/>
            <w:gridSpan w:val="2"/>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 xml:space="preserve"> </w:t>
            </w:r>
          </w:p>
        </w:tc>
        <w:tc>
          <w:tcPr>
            <w:tcW w:w="992"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 xml:space="preserve"> </w:t>
            </w:r>
          </w:p>
        </w:tc>
        <w:tc>
          <w:tcPr>
            <w:tcW w:w="992" w:type="dxa"/>
            <w:tcBorders>
              <w:top w:val="single" w:sz="12" w:space="0" w:color="000000"/>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 xml:space="preserve"> </w:t>
            </w:r>
          </w:p>
        </w:tc>
      </w:tr>
      <w:tr w:rsidR="00BB67AF" w:rsidRPr="00A120C4" w:rsidTr="003E6750">
        <w:tc>
          <w:tcPr>
            <w:tcW w:w="567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FISCAL AGGREGRATES</w:t>
            </w:r>
          </w:p>
        </w:tc>
        <w:tc>
          <w:tcPr>
            <w:tcW w:w="991"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99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r>
      <w:tr w:rsidR="00BB67AF" w:rsidRPr="00A120C4" w:rsidTr="003E6750">
        <w:tc>
          <w:tcPr>
            <w:tcW w:w="567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A120C4">
              <w:rPr>
                <w:rFonts w:ascii="Calibri" w:eastAsiaTheme="minorEastAsia" w:hAnsi="Calibri" w:cs="Calibri"/>
                <w:b/>
                <w:bCs/>
                <w:color w:val="000000"/>
                <w:sz w:val="20"/>
                <w:lang w:eastAsia="en-AU"/>
              </w:rPr>
              <w:t>Net operating balance</w:t>
            </w:r>
            <w:r w:rsidRPr="00A120C4">
              <w:rPr>
                <w:rFonts w:ascii="Calibri" w:eastAsiaTheme="minorEastAsia" w:hAnsi="Calibri" w:cs="Calibri"/>
                <w:b/>
                <w:iCs/>
                <w:color w:val="000000" w:themeColor="text1"/>
                <w:sz w:val="20"/>
                <w:vertAlign w:val="superscript"/>
                <w:lang w:eastAsia="en-AU"/>
              </w:rPr>
              <w:t xml:space="preserve"> (a</w:t>
            </w:r>
            <w:r w:rsidRPr="00A120C4">
              <w:rPr>
                <w:rFonts w:ascii="Calibri" w:eastAsiaTheme="minorEastAsia" w:hAnsi="Calibri" w:cs="Calibri"/>
                <w:b/>
                <w:bCs/>
                <w:color w:val="000000" w:themeColor="text1"/>
                <w:sz w:val="20"/>
                <w:vertAlign w:val="superscript"/>
                <w:lang w:eastAsia="en-AU"/>
              </w:rPr>
              <w:t>)</w:t>
            </w:r>
          </w:p>
        </w:tc>
        <w:tc>
          <w:tcPr>
            <w:tcW w:w="991"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1 507</w:t>
            </w:r>
          </w:p>
        </w:tc>
        <w:tc>
          <w:tcPr>
            <w:tcW w:w="99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463</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14</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(26)</w:t>
            </w:r>
          </w:p>
        </w:tc>
      </w:tr>
      <w:tr w:rsidR="00BB67AF" w:rsidRPr="00A120C4" w:rsidTr="003E6750">
        <w:tc>
          <w:tcPr>
            <w:tcW w:w="567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Net acquisition of non-financial assets from transactions</w:t>
            </w:r>
          </w:p>
        </w:tc>
        <w:tc>
          <w:tcPr>
            <w:tcW w:w="991"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99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 xml:space="preserve"> </w:t>
            </w:r>
          </w:p>
        </w:tc>
      </w:tr>
      <w:tr w:rsidR="00BB67AF" w:rsidRPr="00A120C4" w:rsidTr="003E6750">
        <w:tc>
          <w:tcPr>
            <w:tcW w:w="567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Purchases of non-financial assets (including change in inventories)</w:t>
            </w:r>
          </w:p>
        </w:tc>
        <w:tc>
          <w:tcPr>
            <w:tcW w:w="991"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2 037</w:t>
            </w:r>
          </w:p>
        </w:tc>
        <w:tc>
          <w:tcPr>
            <w:tcW w:w="99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2 118</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1 130</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1 116</w:t>
            </w:r>
          </w:p>
        </w:tc>
      </w:tr>
      <w:tr w:rsidR="00BB67AF" w:rsidRPr="00A120C4" w:rsidTr="003E6750">
        <w:tc>
          <w:tcPr>
            <w:tcW w:w="567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Less: Sales of non-financial assets</w:t>
            </w:r>
          </w:p>
        </w:tc>
        <w:tc>
          <w:tcPr>
            <w:tcW w:w="991"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(73)</w:t>
            </w:r>
          </w:p>
        </w:tc>
        <w:tc>
          <w:tcPr>
            <w:tcW w:w="99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(122)</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(147)</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(115)</w:t>
            </w:r>
          </w:p>
        </w:tc>
      </w:tr>
      <w:tr w:rsidR="00BB67AF" w:rsidRPr="00A120C4" w:rsidTr="003E6750">
        <w:tc>
          <w:tcPr>
            <w:tcW w:w="567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A120C4">
              <w:rPr>
                <w:rFonts w:ascii="Calibri" w:eastAsiaTheme="minorEastAsia" w:hAnsi="Calibri" w:cs="Calibri"/>
                <w:color w:val="000000"/>
                <w:sz w:val="20"/>
                <w:lang w:eastAsia="en-AU"/>
              </w:rPr>
              <w:t xml:space="preserve">Less: Depreciation and amortisation </w:t>
            </w:r>
            <w:r w:rsidRPr="00A120C4">
              <w:rPr>
                <w:rFonts w:ascii="Calibri" w:eastAsiaTheme="minorEastAsia" w:hAnsi="Calibri" w:cs="Calibri"/>
                <w:iCs/>
                <w:color w:val="000000" w:themeColor="text1"/>
                <w:sz w:val="20"/>
                <w:vertAlign w:val="superscript"/>
                <w:lang w:eastAsia="en-AU"/>
              </w:rPr>
              <w:t>(a)</w:t>
            </w:r>
          </w:p>
        </w:tc>
        <w:tc>
          <w:tcPr>
            <w:tcW w:w="991"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(1 200)</w:t>
            </w:r>
          </w:p>
        </w:tc>
        <w:tc>
          <w:tcPr>
            <w:tcW w:w="99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(1 198)</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(1 099)</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(976)</w:t>
            </w:r>
          </w:p>
        </w:tc>
      </w:tr>
      <w:tr w:rsidR="00BB67AF" w:rsidRPr="00A120C4" w:rsidTr="003E6750">
        <w:tc>
          <w:tcPr>
            <w:tcW w:w="5670" w:type="dxa"/>
            <w:tcBorders>
              <w:top w:val="nil"/>
              <w:left w:val="nil"/>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Plus: Other movements in non-financial assets</w:t>
            </w:r>
          </w:p>
        </w:tc>
        <w:tc>
          <w:tcPr>
            <w:tcW w:w="991"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(405)</w:t>
            </w:r>
          </w:p>
        </w:tc>
        <w:tc>
          <w:tcPr>
            <w:tcW w:w="992" w:type="dxa"/>
            <w:gridSpan w:val="2"/>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(353)</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499</w:t>
            </w:r>
          </w:p>
        </w:tc>
        <w:tc>
          <w:tcPr>
            <w:tcW w:w="992" w:type="dxa"/>
            <w:tcBorders>
              <w:top w:val="nil"/>
              <w:left w:val="nil"/>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A120C4">
              <w:rPr>
                <w:rFonts w:ascii="Calibri" w:eastAsiaTheme="minorEastAsia" w:hAnsi="Calibri" w:cs="Calibri"/>
                <w:color w:val="000000"/>
                <w:sz w:val="20"/>
                <w:lang w:eastAsia="en-AU"/>
              </w:rPr>
              <w:t>410</w:t>
            </w:r>
          </w:p>
        </w:tc>
      </w:tr>
      <w:tr w:rsidR="00BB67AF" w:rsidRPr="00A120C4" w:rsidTr="003E6750">
        <w:tc>
          <w:tcPr>
            <w:tcW w:w="5670"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A120C4">
              <w:rPr>
                <w:rFonts w:ascii="Calibri" w:eastAsiaTheme="minorEastAsia" w:hAnsi="Calibri" w:cs="Calibri"/>
                <w:b/>
                <w:bCs/>
                <w:color w:val="000000"/>
                <w:sz w:val="20"/>
                <w:lang w:eastAsia="en-AU"/>
              </w:rPr>
              <w:t>Less: Net acquisition of non-financial assets from transactions</w:t>
            </w:r>
            <w:r w:rsidRPr="00A120C4">
              <w:rPr>
                <w:rFonts w:ascii="Calibri" w:eastAsiaTheme="minorEastAsia" w:hAnsi="Calibri" w:cs="Calibri"/>
                <w:b/>
                <w:iCs/>
                <w:color w:val="000000" w:themeColor="text1"/>
                <w:sz w:val="20"/>
                <w:vertAlign w:val="superscript"/>
                <w:lang w:eastAsia="en-AU"/>
              </w:rPr>
              <w:t xml:space="preserve"> (a</w:t>
            </w:r>
            <w:r w:rsidRPr="00A120C4">
              <w:rPr>
                <w:rFonts w:ascii="Calibri" w:eastAsiaTheme="minorEastAsia" w:hAnsi="Calibri" w:cs="Calibri"/>
                <w:b/>
                <w:bCs/>
                <w:color w:val="000000"/>
                <w:sz w:val="20"/>
                <w:vertAlign w:val="superscript"/>
                <w:lang w:eastAsia="en-AU"/>
              </w:rPr>
              <w:t>)</w:t>
            </w:r>
          </w:p>
        </w:tc>
        <w:tc>
          <w:tcPr>
            <w:tcW w:w="991"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359</w:t>
            </w:r>
          </w:p>
        </w:tc>
        <w:tc>
          <w:tcPr>
            <w:tcW w:w="992" w:type="dxa"/>
            <w:gridSpan w:val="2"/>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445</w:t>
            </w:r>
          </w:p>
        </w:tc>
        <w:tc>
          <w:tcPr>
            <w:tcW w:w="992"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384</w:t>
            </w:r>
          </w:p>
        </w:tc>
        <w:tc>
          <w:tcPr>
            <w:tcW w:w="992" w:type="dxa"/>
            <w:tcBorders>
              <w:top w:val="nil"/>
              <w:left w:val="nil"/>
              <w:bottom w:val="single" w:sz="6" w:space="0" w:color="000000"/>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436</w:t>
            </w:r>
          </w:p>
        </w:tc>
      </w:tr>
      <w:tr w:rsidR="00BB67AF" w:rsidRPr="00A120C4" w:rsidTr="003E6750">
        <w:tc>
          <w:tcPr>
            <w:tcW w:w="5670" w:type="dxa"/>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A120C4">
              <w:rPr>
                <w:rFonts w:ascii="Calibri" w:eastAsiaTheme="minorEastAsia" w:hAnsi="Calibri" w:cs="Calibri"/>
                <w:b/>
                <w:bCs/>
                <w:color w:val="000000"/>
                <w:sz w:val="20"/>
                <w:lang w:eastAsia="en-AU"/>
              </w:rPr>
              <w:t>Net lending/(borrowing)</w:t>
            </w:r>
            <w:r w:rsidRPr="00A120C4">
              <w:rPr>
                <w:rFonts w:ascii="Calibri" w:eastAsiaTheme="minorEastAsia" w:hAnsi="Calibri" w:cs="Calibri"/>
                <w:b/>
                <w:iCs/>
                <w:color w:val="000000" w:themeColor="text1"/>
                <w:sz w:val="20"/>
                <w:vertAlign w:val="superscript"/>
                <w:lang w:eastAsia="en-AU"/>
              </w:rPr>
              <w:t xml:space="preserve"> (a</w:t>
            </w:r>
            <w:r w:rsidRPr="00A120C4">
              <w:rPr>
                <w:rFonts w:ascii="Calibri" w:eastAsiaTheme="minorEastAsia" w:hAnsi="Calibri" w:cs="Calibri"/>
                <w:b/>
                <w:bCs/>
                <w:color w:val="000000" w:themeColor="text1"/>
                <w:sz w:val="20"/>
                <w:vertAlign w:val="superscript"/>
                <w:lang w:eastAsia="en-AU"/>
              </w:rPr>
              <w:t>)</w:t>
            </w:r>
          </w:p>
        </w:tc>
        <w:tc>
          <w:tcPr>
            <w:tcW w:w="991" w:type="dxa"/>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1 148</w:t>
            </w:r>
          </w:p>
        </w:tc>
        <w:tc>
          <w:tcPr>
            <w:tcW w:w="992" w:type="dxa"/>
            <w:gridSpan w:val="2"/>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18</w:t>
            </w:r>
          </w:p>
        </w:tc>
        <w:tc>
          <w:tcPr>
            <w:tcW w:w="992" w:type="dxa"/>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(370)</w:t>
            </w:r>
          </w:p>
        </w:tc>
        <w:tc>
          <w:tcPr>
            <w:tcW w:w="992" w:type="dxa"/>
            <w:tcBorders>
              <w:top w:val="single" w:sz="6" w:space="0" w:color="000000"/>
              <w:left w:val="nil"/>
              <w:bottom w:val="single" w:sz="12" w:space="0" w:color="auto"/>
              <w:right w:val="nil"/>
            </w:tcBorders>
            <w:shd w:val="clear" w:color="auto" w:fill="FFFFFF"/>
          </w:tcPr>
          <w:p w:rsidR="00BB67AF" w:rsidRPr="00A120C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A120C4">
              <w:rPr>
                <w:rFonts w:ascii="Calibri" w:eastAsiaTheme="minorEastAsia" w:hAnsi="Calibri" w:cs="Calibri"/>
                <w:b/>
                <w:bCs/>
                <w:color w:val="000000"/>
                <w:sz w:val="20"/>
                <w:lang w:eastAsia="en-AU"/>
              </w:rPr>
              <w:t>(461)</w:t>
            </w:r>
          </w:p>
        </w:tc>
      </w:tr>
    </w:tbl>
    <w:p w:rsidR="00BB67AF" w:rsidRDefault="00BB67AF" w:rsidP="003E6750">
      <w:pPr>
        <w:pStyle w:val="Notes"/>
      </w:pPr>
      <w:r>
        <w:t>Note:</w:t>
      </w:r>
    </w:p>
    <w:p w:rsidR="00BB67AF" w:rsidRPr="00717E8D" w:rsidRDefault="00BB67AF" w:rsidP="003E6750">
      <w:pPr>
        <w:pStyle w:val="Notes"/>
      </w:pPr>
      <w:r>
        <w:t>(a)</w:t>
      </w:r>
      <w:r>
        <w:tab/>
        <w:t xml:space="preserve">The December 2014 comparative figures have been restated to reflect more current information, mainly including adjustments outlined in Note 37 of the </w:t>
      </w:r>
      <w:r>
        <w:rPr>
          <w:i w:val="0"/>
        </w:rPr>
        <w:t>2014</w:t>
      </w:r>
      <w:r>
        <w:rPr>
          <w:i w:val="0"/>
        </w:rPr>
        <w:noBreakHyphen/>
        <w:t>15 Financial Report</w:t>
      </w:r>
      <w:r>
        <w:t>.</w:t>
      </w:r>
    </w:p>
    <w:p w:rsidR="00BB67AF" w:rsidRDefault="00BB67AF">
      <w:pPr>
        <w:spacing w:after="0"/>
      </w:pPr>
      <w:r>
        <w:br w:type="page"/>
      </w:r>
    </w:p>
    <w:p w:rsidR="00BB67AF" w:rsidRDefault="00BB67AF" w:rsidP="003E6750">
      <w:pPr>
        <w:pStyle w:val="Heading2NotesContd"/>
      </w:pPr>
    </w:p>
    <w:p w:rsidR="00BB67AF" w:rsidRDefault="00BB67AF" w:rsidP="003E6750">
      <w:pPr>
        <w:pStyle w:val="Tableheading"/>
      </w:pPr>
    </w:p>
    <w:p w:rsidR="00BB67AF" w:rsidRPr="00385099" w:rsidRDefault="00BB67AF" w:rsidP="003E6750">
      <w:pPr>
        <w:pStyle w:val="million"/>
        <w:rPr>
          <w:b/>
          <w:bCs/>
          <w:lang w:val="en-US"/>
        </w:rPr>
      </w:pPr>
    </w:p>
    <w:tbl>
      <w:tblPr>
        <w:tblW w:w="9639" w:type="dxa"/>
        <w:tblInd w:w="45" w:type="dxa"/>
        <w:tblLayout w:type="fixed"/>
        <w:tblCellMar>
          <w:left w:w="45" w:type="dxa"/>
          <w:right w:w="45" w:type="dxa"/>
        </w:tblCellMar>
        <w:tblLook w:val="0000" w:firstRow="0" w:lastRow="0" w:firstColumn="0" w:lastColumn="0" w:noHBand="0" w:noVBand="0"/>
      </w:tblPr>
      <w:tblGrid>
        <w:gridCol w:w="1602"/>
        <w:gridCol w:w="1603"/>
        <w:gridCol w:w="1602"/>
        <w:gridCol w:w="1605"/>
        <w:gridCol w:w="1602"/>
        <w:gridCol w:w="1625"/>
      </w:tblGrid>
      <w:tr w:rsidR="00897890" w:rsidRPr="00645124" w:rsidTr="00BC768E">
        <w:trPr>
          <w:tblHeader/>
        </w:trPr>
        <w:tc>
          <w:tcPr>
            <w:tcW w:w="3205" w:type="dxa"/>
            <w:gridSpan w:val="2"/>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 xml:space="preserve">Public </w:t>
            </w:r>
            <w:r w:rsidRPr="00645124">
              <w:rPr>
                <w:rFonts w:ascii="Calibri" w:eastAsiaTheme="minorEastAsia" w:hAnsi="Calibri" w:cs="Calibri"/>
                <w:i/>
                <w:iCs/>
                <w:color w:val="FFFFFF"/>
                <w:sz w:val="20"/>
                <w:lang w:eastAsia="en-AU"/>
              </w:rPr>
              <w:br/>
              <w:t>financial corporations</w:t>
            </w:r>
          </w:p>
        </w:tc>
        <w:tc>
          <w:tcPr>
            <w:tcW w:w="3207" w:type="dxa"/>
            <w:gridSpan w:val="2"/>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Inter-sector eliminations</w:t>
            </w:r>
          </w:p>
        </w:tc>
        <w:tc>
          <w:tcPr>
            <w:tcW w:w="3227" w:type="dxa"/>
            <w:gridSpan w:val="2"/>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State of Victoria</w:t>
            </w:r>
          </w:p>
        </w:tc>
      </w:tr>
      <w:tr w:rsidR="00BB67AF" w:rsidRPr="00645124" w:rsidTr="00BC768E">
        <w:trPr>
          <w:tblHeader/>
        </w:trPr>
        <w:tc>
          <w:tcPr>
            <w:tcW w:w="1602"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2015</w:t>
            </w:r>
          </w:p>
        </w:tc>
        <w:tc>
          <w:tcPr>
            <w:tcW w:w="1603"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0"/>
                <w:vertAlign w:val="superscript"/>
                <w:lang w:eastAsia="en-AU"/>
              </w:rPr>
            </w:pPr>
            <w:r w:rsidRPr="00645124">
              <w:rPr>
                <w:rFonts w:ascii="Calibri" w:eastAsiaTheme="minorEastAsia" w:hAnsi="Calibri" w:cs="Calibri"/>
                <w:i/>
                <w:iCs/>
                <w:color w:val="FFFFFF"/>
                <w:sz w:val="20"/>
                <w:lang w:eastAsia="en-AU"/>
              </w:rPr>
              <w:t xml:space="preserve">2014 </w:t>
            </w:r>
            <w:r w:rsidRPr="00645124">
              <w:rPr>
                <w:rFonts w:ascii="Calibri" w:eastAsiaTheme="minorEastAsia" w:hAnsi="Calibri" w:cs="Calibri"/>
                <w:i/>
                <w:iCs/>
                <w:color w:val="FFFFFF"/>
                <w:sz w:val="20"/>
                <w:vertAlign w:val="superscript"/>
                <w:lang w:eastAsia="en-AU"/>
              </w:rPr>
              <w:t>(a)</w:t>
            </w:r>
          </w:p>
        </w:tc>
        <w:tc>
          <w:tcPr>
            <w:tcW w:w="1602"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2015</w:t>
            </w:r>
          </w:p>
        </w:tc>
        <w:tc>
          <w:tcPr>
            <w:tcW w:w="1605"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0"/>
                <w:vertAlign w:val="superscript"/>
                <w:lang w:eastAsia="en-AU"/>
              </w:rPr>
            </w:pPr>
            <w:r w:rsidRPr="00645124">
              <w:rPr>
                <w:rFonts w:ascii="Calibri" w:eastAsiaTheme="minorEastAsia" w:hAnsi="Calibri" w:cs="Calibri"/>
                <w:i/>
                <w:iCs/>
                <w:color w:val="FFFFFF"/>
                <w:sz w:val="20"/>
                <w:lang w:eastAsia="en-AU"/>
              </w:rPr>
              <w:t xml:space="preserve">2014 </w:t>
            </w:r>
            <w:r w:rsidRPr="00645124">
              <w:rPr>
                <w:rFonts w:ascii="Calibri" w:eastAsiaTheme="minorEastAsia" w:hAnsi="Calibri" w:cs="Calibri"/>
                <w:i/>
                <w:iCs/>
                <w:color w:val="FFFFFF"/>
                <w:sz w:val="20"/>
                <w:vertAlign w:val="superscript"/>
                <w:lang w:eastAsia="en-AU"/>
              </w:rPr>
              <w:t>(a)</w:t>
            </w:r>
          </w:p>
        </w:tc>
        <w:tc>
          <w:tcPr>
            <w:tcW w:w="1602"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2015</w:t>
            </w:r>
          </w:p>
        </w:tc>
        <w:tc>
          <w:tcPr>
            <w:tcW w:w="1625"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0"/>
                <w:vertAlign w:val="superscript"/>
                <w:lang w:eastAsia="en-AU"/>
              </w:rPr>
            </w:pPr>
            <w:r w:rsidRPr="00645124">
              <w:rPr>
                <w:rFonts w:ascii="Calibri" w:eastAsiaTheme="minorEastAsia" w:hAnsi="Calibri" w:cs="Calibri"/>
                <w:i/>
                <w:iCs/>
                <w:color w:val="FFFFFF"/>
                <w:sz w:val="20"/>
                <w:lang w:eastAsia="en-AU"/>
              </w:rPr>
              <w:t xml:space="preserve">2014 </w:t>
            </w:r>
            <w:r w:rsidRPr="00645124">
              <w:rPr>
                <w:rFonts w:ascii="Calibri" w:eastAsiaTheme="minorEastAsia" w:hAnsi="Calibri" w:cs="Calibri"/>
                <w:i/>
                <w:iCs/>
                <w:color w:val="FFFFFF"/>
                <w:sz w:val="20"/>
                <w:vertAlign w:val="superscript"/>
                <w:lang w:eastAsia="en-AU"/>
              </w:rPr>
              <w:t>(a)</w:t>
            </w:r>
          </w:p>
        </w:tc>
      </w:tr>
      <w:tr w:rsidR="00BB67AF" w:rsidRPr="00645124" w:rsidTr="00BC768E">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0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2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r>
      <w:tr w:rsidR="00BB67AF" w:rsidRPr="00645124" w:rsidTr="00BC768E">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(233)</w:t>
            </w:r>
          </w:p>
        </w:tc>
        <w:tc>
          <w:tcPr>
            <w:tcW w:w="160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(209)</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9 443</w:t>
            </w:r>
          </w:p>
        </w:tc>
        <w:tc>
          <w:tcPr>
            <w:tcW w:w="162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8 555</w:t>
            </w:r>
          </w:p>
        </w:tc>
      </w:tr>
      <w:tr w:rsidR="00BB67AF" w:rsidRPr="00645124" w:rsidTr="00BC768E">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1 079</w:t>
            </w:r>
          </w:p>
        </w:tc>
        <w:tc>
          <w:tcPr>
            <w:tcW w:w="16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1 247</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(1 183)</w:t>
            </w:r>
          </w:p>
        </w:tc>
        <w:tc>
          <w:tcPr>
            <w:tcW w:w="160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(1 214)</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308</w:t>
            </w:r>
          </w:p>
        </w:tc>
        <w:tc>
          <w:tcPr>
            <w:tcW w:w="162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462</w:t>
            </w:r>
          </w:p>
        </w:tc>
      </w:tr>
      <w:tr w:rsidR="00BB67AF" w:rsidRPr="00645124" w:rsidTr="00BC768E">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746</w:t>
            </w:r>
          </w:p>
        </w:tc>
        <w:tc>
          <w:tcPr>
            <w:tcW w:w="16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488</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(435)</w:t>
            </w:r>
          </w:p>
        </w:tc>
        <w:tc>
          <w:tcPr>
            <w:tcW w:w="160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(657)</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766</w:t>
            </w:r>
          </w:p>
        </w:tc>
        <w:tc>
          <w:tcPr>
            <w:tcW w:w="162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502</w:t>
            </w:r>
          </w:p>
        </w:tc>
      </w:tr>
      <w:tr w:rsidR="00BB67AF" w:rsidRPr="00645124" w:rsidTr="00BC768E">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2 104</w:t>
            </w:r>
          </w:p>
        </w:tc>
        <w:tc>
          <w:tcPr>
            <w:tcW w:w="16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1 984</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(1 408)</w:t>
            </w:r>
          </w:p>
        </w:tc>
        <w:tc>
          <w:tcPr>
            <w:tcW w:w="160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(1 328)</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7 017</w:t>
            </w:r>
          </w:p>
        </w:tc>
        <w:tc>
          <w:tcPr>
            <w:tcW w:w="162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6 854</w:t>
            </w:r>
          </w:p>
        </w:tc>
      </w:tr>
      <w:tr w:rsidR="00BB67AF" w:rsidRPr="00645124" w:rsidTr="00BC768E">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(1 542)</w:t>
            </w:r>
          </w:p>
        </w:tc>
        <w:tc>
          <w:tcPr>
            <w:tcW w:w="160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(1 491)</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12 258</w:t>
            </w:r>
          </w:p>
        </w:tc>
        <w:tc>
          <w:tcPr>
            <w:tcW w:w="162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11 664</w:t>
            </w:r>
          </w:p>
        </w:tc>
      </w:tr>
      <w:tr w:rsidR="00BB67AF" w:rsidRPr="00645124" w:rsidTr="00BC768E">
        <w:tc>
          <w:tcPr>
            <w:tcW w:w="160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11</w:t>
            </w:r>
          </w:p>
        </w:tc>
        <w:tc>
          <w:tcPr>
            <w:tcW w:w="1603"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13</w:t>
            </w:r>
          </w:p>
        </w:tc>
        <w:tc>
          <w:tcPr>
            <w:tcW w:w="160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2 065</w:t>
            </w:r>
          </w:p>
        </w:tc>
        <w:tc>
          <w:tcPr>
            <w:tcW w:w="162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1 415</w:t>
            </w:r>
          </w:p>
        </w:tc>
      </w:tr>
      <w:tr w:rsidR="00BB67AF" w:rsidRPr="00645124" w:rsidTr="00BC768E">
        <w:tc>
          <w:tcPr>
            <w:tcW w:w="1602"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3 940</w:t>
            </w:r>
          </w:p>
        </w:tc>
        <w:tc>
          <w:tcPr>
            <w:tcW w:w="1603"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3 733</w:t>
            </w:r>
          </w:p>
        </w:tc>
        <w:tc>
          <w:tcPr>
            <w:tcW w:w="1602"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(4 802)</w:t>
            </w:r>
          </w:p>
        </w:tc>
        <w:tc>
          <w:tcPr>
            <w:tcW w:w="1605"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(4 899)</w:t>
            </w:r>
          </w:p>
        </w:tc>
        <w:tc>
          <w:tcPr>
            <w:tcW w:w="1602"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31 857</w:t>
            </w:r>
          </w:p>
        </w:tc>
        <w:tc>
          <w:tcPr>
            <w:tcW w:w="1625"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29 452</w:t>
            </w:r>
          </w:p>
        </w:tc>
      </w:tr>
      <w:tr w:rsidR="00BB67AF" w:rsidRPr="00645124" w:rsidTr="00BC768E">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0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2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r>
      <w:tr w:rsidR="00BB67AF" w:rsidRPr="00645124" w:rsidTr="00BC768E">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140</w:t>
            </w:r>
          </w:p>
        </w:tc>
        <w:tc>
          <w:tcPr>
            <w:tcW w:w="16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138</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(200)</w:t>
            </w:r>
          </w:p>
        </w:tc>
        <w:tc>
          <w:tcPr>
            <w:tcW w:w="160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(183)</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10 261</w:t>
            </w:r>
          </w:p>
        </w:tc>
        <w:tc>
          <w:tcPr>
            <w:tcW w:w="162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9 803</w:t>
            </w:r>
          </w:p>
        </w:tc>
      </w:tr>
      <w:tr w:rsidR="00BB67AF" w:rsidRPr="00645124" w:rsidTr="00BC768E">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441</w:t>
            </w:r>
          </w:p>
        </w:tc>
        <w:tc>
          <w:tcPr>
            <w:tcW w:w="162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512</w:t>
            </w:r>
          </w:p>
        </w:tc>
      </w:tr>
      <w:tr w:rsidR="00BB67AF" w:rsidRPr="00645124" w:rsidTr="00BC768E">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12</w:t>
            </w:r>
          </w:p>
        </w:tc>
        <w:tc>
          <w:tcPr>
            <w:tcW w:w="16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12</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1 223</w:t>
            </w:r>
          </w:p>
        </w:tc>
        <w:tc>
          <w:tcPr>
            <w:tcW w:w="162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1 094</w:t>
            </w:r>
          </w:p>
        </w:tc>
      </w:tr>
      <w:tr w:rsidR="00BB67AF" w:rsidRPr="00645124" w:rsidTr="00BC768E">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22</w:t>
            </w:r>
          </w:p>
        </w:tc>
        <w:tc>
          <w:tcPr>
            <w:tcW w:w="16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24</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2 322</w:t>
            </w:r>
          </w:p>
        </w:tc>
        <w:tc>
          <w:tcPr>
            <w:tcW w:w="162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2 198</w:t>
            </w:r>
          </w:p>
        </w:tc>
      </w:tr>
      <w:tr w:rsidR="00BB67AF" w:rsidRPr="00645124" w:rsidTr="00BC768E">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968</w:t>
            </w:r>
          </w:p>
        </w:tc>
        <w:tc>
          <w:tcPr>
            <w:tcW w:w="16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1 019</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(1 183)</w:t>
            </w:r>
          </w:p>
        </w:tc>
        <w:tc>
          <w:tcPr>
            <w:tcW w:w="160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(1 214)</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1 356</w:t>
            </w:r>
          </w:p>
        </w:tc>
        <w:tc>
          <w:tcPr>
            <w:tcW w:w="162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1 424</w:t>
            </w:r>
          </w:p>
        </w:tc>
      </w:tr>
      <w:tr w:rsidR="00BB67AF" w:rsidRPr="00645124" w:rsidTr="00BC768E">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(1 595)</w:t>
            </w:r>
          </w:p>
        </w:tc>
        <w:tc>
          <w:tcPr>
            <w:tcW w:w="160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(1 527)</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2 841</w:t>
            </w:r>
          </w:p>
        </w:tc>
        <w:tc>
          <w:tcPr>
            <w:tcW w:w="162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2 721</w:t>
            </w:r>
          </w:p>
        </w:tc>
      </w:tr>
      <w:tr w:rsidR="00BB67AF" w:rsidRPr="00645124" w:rsidTr="00BC768E">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2 859</w:t>
            </w:r>
          </w:p>
        </w:tc>
        <w:tc>
          <w:tcPr>
            <w:tcW w:w="16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2 768</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(1 389)</w:t>
            </w:r>
          </w:p>
        </w:tc>
        <w:tc>
          <w:tcPr>
            <w:tcW w:w="160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(1 318)</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12 267</w:t>
            </w:r>
          </w:p>
        </w:tc>
        <w:tc>
          <w:tcPr>
            <w:tcW w:w="162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12 090</w:t>
            </w:r>
          </w:p>
        </w:tc>
      </w:tr>
      <w:tr w:rsidR="00BB67AF" w:rsidRPr="00645124" w:rsidTr="00BC768E">
        <w:tc>
          <w:tcPr>
            <w:tcW w:w="160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3</w:t>
            </w:r>
          </w:p>
        </w:tc>
        <w:tc>
          <w:tcPr>
            <w:tcW w:w="1603"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25</w:t>
            </w:r>
          </w:p>
        </w:tc>
        <w:tc>
          <w:tcPr>
            <w:tcW w:w="160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(125)</w:t>
            </w:r>
          </w:p>
        </w:tc>
        <w:tc>
          <w:tcPr>
            <w:tcW w:w="160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(82)</w:t>
            </w:r>
          </w:p>
        </w:tc>
        <w:tc>
          <w:tcPr>
            <w:tcW w:w="160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2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r>
      <w:tr w:rsidR="00BB67AF" w:rsidRPr="00645124" w:rsidTr="00BC768E">
        <w:tc>
          <w:tcPr>
            <w:tcW w:w="160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4 005</w:t>
            </w:r>
          </w:p>
        </w:tc>
        <w:tc>
          <w:tcPr>
            <w:tcW w:w="1603"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3 985</w:t>
            </w:r>
          </w:p>
        </w:tc>
        <w:tc>
          <w:tcPr>
            <w:tcW w:w="160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(4 492)</w:t>
            </w:r>
          </w:p>
        </w:tc>
        <w:tc>
          <w:tcPr>
            <w:tcW w:w="1605"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(4 324)</w:t>
            </w:r>
          </w:p>
        </w:tc>
        <w:tc>
          <w:tcPr>
            <w:tcW w:w="160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30 711</w:t>
            </w:r>
          </w:p>
        </w:tc>
        <w:tc>
          <w:tcPr>
            <w:tcW w:w="1625"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29 841</w:t>
            </w:r>
          </w:p>
        </w:tc>
      </w:tr>
      <w:tr w:rsidR="00BB67AF" w:rsidRPr="00645124" w:rsidTr="00BC768E">
        <w:tc>
          <w:tcPr>
            <w:tcW w:w="1602"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(65)</w:t>
            </w:r>
          </w:p>
        </w:tc>
        <w:tc>
          <w:tcPr>
            <w:tcW w:w="1603"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(252)</w:t>
            </w:r>
          </w:p>
        </w:tc>
        <w:tc>
          <w:tcPr>
            <w:tcW w:w="1602"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(310)</w:t>
            </w:r>
          </w:p>
        </w:tc>
        <w:tc>
          <w:tcPr>
            <w:tcW w:w="1605"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(575)</w:t>
            </w:r>
          </w:p>
        </w:tc>
        <w:tc>
          <w:tcPr>
            <w:tcW w:w="1602"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1 146</w:t>
            </w:r>
          </w:p>
        </w:tc>
        <w:tc>
          <w:tcPr>
            <w:tcW w:w="1625"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(389)</w:t>
            </w:r>
          </w:p>
        </w:tc>
      </w:tr>
      <w:tr w:rsidR="00BB67AF" w:rsidRPr="00645124" w:rsidTr="00BC768E">
        <w:tc>
          <w:tcPr>
            <w:tcW w:w="1602"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03"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02"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05"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02"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25"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r>
      <w:tr w:rsidR="00BB67AF" w:rsidRPr="00645124" w:rsidTr="00BC768E">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8</w:t>
            </w:r>
          </w:p>
        </w:tc>
        <w:tc>
          <w:tcPr>
            <w:tcW w:w="162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28</w:t>
            </w:r>
          </w:p>
        </w:tc>
      </w:tr>
      <w:tr w:rsidR="00BB67AF" w:rsidRPr="00645124" w:rsidTr="00BC768E">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(318)</w:t>
            </w:r>
          </w:p>
        </w:tc>
        <w:tc>
          <w:tcPr>
            <w:tcW w:w="16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(254)</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(289)</w:t>
            </w:r>
          </w:p>
        </w:tc>
        <w:tc>
          <w:tcPr>
            <w:tcW w:w="162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(174)</w:t>
            </w:r>
          </w:p>
        </w:tc>
      </w:tr>
      <w:tr w:rsidR="00BB67AF" w:rsidRPr="00645124" w:rsidTr="00BC768E">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28</w:t>
            </w:r>
          </w:p>
        </w:tc>
        <w:tc>
          <w:tcPr>
            <w:tcW w:w="162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22</w:t>
            </w:r>
          </w:p>
        </w:tc>
      </w:tr>
      <w:tr w:rsidR="00BB67AF" w:rsidRPr="00645124" w:rsidTr="00BC768E">
        <w:tc>
          <w:tcPr>
            <w:tcW w:w="160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126</w:t>
            </w:r>
          </w:p>
        </w:tc>
        <w:tc>
          <w:tcPr>
            <w:tcW w:w="1603"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(775)</w:t>
            </w:r>
          </w:p>
        </w:tc>
        <w:tc>
          <w:tcPr>
            <w:tcW w:w="160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(218)</w:t>
            </w:r>
          </w:p>
        </w:tc>
        <w:tc>
          <w:tcPr>
            <w:tcW w:w="160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(179)</w:t>
            </w:r>
          </w:p>
        </w:tc>
        <w:tc>
          <w:tcPr>
            <w:tcW w:w="160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(351)</w:t>
            </w:r>
          </w:p>
        </w:tc>
        <w:tc>
          <w:tcPr>
            <w:tcW w:w="162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(1 266)</w:t>
            </w:r>
          </w:p>
        </w:tc>
      </w:tr>
      <w:tr w:rsidR="00BB67AF" w:rsidRPr="00645124" w:rsidTr="00BC768E">
        <w:tc>
          <w:tcPr>
            <w:tcW w:w="160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(191)</w:t>
            </w:r>
          </w:p>
        </w:tc>
        <w:tc>
          <w:tcPr>
            <w:tcW w:w="1603"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(1 028)</w:t>
            </w:r>
          </w:p>
        </w:tc>
        <w:tc>
          <w:tcPr>
            <w:tcW w:w="160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(218)</w:t>
            </w:r>
          </w:p>
        </w:tc>
        <w:tc>
          <w:tcPr>
            <w:tcW w:w="1605"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(179)</w:t>
            </w:r>
          </w:p>
        </w:tc>
        <w:tc>
          <w:tcPr>
            <w:tcW w:w="160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(604)</w:t>
            </w:r>
          </w:p>
        </w:tc>
        <w:tc>
          <w:tcPr>
            <w:tcW w:w="1625"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(1 390)</w:t>
            </w:r>
          </w:p>
        </w:tc>
      </w:tr>
      <w:tr w:rsidR="00BB67AF" w:rsidRPr="00645124" w:rsidTr="00BC768E">
        <w:tc>
          <w:tcPr>
            <w:tcW w:w="160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(256)</w:t>
            </w:r>
          </w:p>
        </w:tc>
        <w:tc>
          <w:tcPr>
            <w:tcW w:w="1603"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(1 280)</w:t>
            </w:r>
          </w:p>
        </w:tc>
        <w:tc>
          <w:tcPr>
            <w:tcW w:w="160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(529)</w:t>
            </w:r>
          </w:p>
        </w:tc>
        <w:tc>
          <w:tcPr>
            <w:tcW w:w="1605"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(753)</w:t>
            </w:r>
          </w:p>
        </w:tc>
        <w:tc>
          <w:tcPr>
            <w:tcW w:w="160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542</w:t>
            </w:r>
          </w:p>
        </w:tc>
        <w:tc>
          <w:tcPr>
            <w:tcW w:w="1625"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(1 779)</w:t>
            </w:r>
          </w:p>
        </w:tc>
      </w:tr>
      <w:tr w:rsidR="00BB67AF" w:rsidRPr="00645124" w:rsidTr="00BC768E">
        <w:tc>
          <w:tcPr>
            <w:tcW w:w="1602"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03"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02"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05"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02"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25"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r>
      <w:tr w:rsidR="00BB67AF" w:rsidRPr="00645124" w:rsidTr="00BC768E">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0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2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r>
      <w:tr w:rsidR="00BB67AF" w:rsidRPr="00645124" w:rsidTr="00BC768E">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(81)</w:t>
            </w:r>
          </w:p>
        </w:tc>
        <w:tc>
          <w:tcPr>
            <w:tcW w:w="160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12</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(82)</w:t>
            </w:r>
          </w:p>
        </w:tc>
        <w:tc>
          <w:tcPr>
            <w:tcW w:w="162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74</w:t>
            </w:r>
          </w:p>
        </w:tc>
      </w:tr>
      <w:tr w:rsidR="00BB67AF" w:rsidRPr="00645124" w:rsidTr="00BC768E">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(704)</w:t>
            </w:r>
          </w:p>
        </w:tc>
        <w:tc>
          <w:tcPr>
            <w:tcW w:w="162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(2 467)</w:t>
            </w:r>
          </w:p>
        </w:tc>
      </w:tr>
      <w:tr w:rsidR="00BB67AF" w:rsidRPr="00645124" w:rsidTr="00BC768E">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r w:rsidRPr="00645124">
              <w:rPr>
                <w:rFonts w:ascii="Calibri" w:eastAsiaTheme="minorEastAsia" w:hAnsi="Calibri" w:cs="Calibri"/>
                <w:color w:val="000000"/>
                <w:sz w:val="20"/>
                <w:lang w:eastAsia="en-AU"/>
              </w:rPr>
              <w:br/>
            </w:r>
          </w:p>
        </w:tc>
        <w:tc>
          <w:tcPr>
            <w:tcW w:w="16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246</w:t>
            </w:r>
          </w:p>
        </w:tc>
        <w:tc>
          <w:tcPr>
            <w:tcW w:w="160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(3)</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2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r>
      <w:tr w:rsidR="00BB67AF" w:rsidRPr="00645124" w:rsidTr="00BC768E">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(268)</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245</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53</w:t>
            </w:r>
          </w:p>
        </w:tc>
        <w:tc>
          <w:tcPr>
            <w:tcW w:w="162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(26)</w:t>
            </w:r>
          </w:p>
        </w:tc>
      </w:tr>
      <w:tr w:rsidR="00BB67AF" w:rsidRPr="00645124" w:rsidTr="00BC768E">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0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2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r>
      <w:tr w:rsidR="00BB67AF" w:rsidRPr="00645124" w:rsidTr="00BC768E">
        <w:tc>
          <w:tcPr>
            <w:tcW w:w="160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3"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(30)</w:t>
            </w:r>
          </w:p>
        </w:tc>
        <w:tc>
          <w:tcPr>
            <w:tcW w:w="162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(54)</w:t>
            </w:r>
          </w:p>
        </w:tc>
      </w:tr>
      <w:tr w:rsidR="00BB67AF" w:rsidRPr="00645124" w:rsidTr="00BC768E">
        <w:tc>
          <w:tcPr>
            <w:tcW w:w="160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w:t>
            </w:r>
          </w:p>
        </w:tc>
        <w:tc>
          <w:tcPr>
            <w:tcW w:w="1603"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(268)</w:t>
            </w:r>
          </w:p>
        </w:tc>
        <w:tc>
          <w:tcPr>
            <w:tcW w:w="160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165</w:t>
            </w:r>
          </w:p>
        </w:tc>
        <w:tc>
          <w:tcPr>
            <w:tcW w:w="1605"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255</w:t>
            </w:r>
          </w:p>
        </w:tc>
        <w:tc>
          <w:tcPr>
            <w:tcW w:w="160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(763)</w:t>
            </w:r>
          </w:p>
        </w:tc>
        <w:tc>
          <w:tcPr>
            <w:tcW w:w="1625"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(2 473)</w:t>
            </w:r>
          </w:p>
        </w:tc>
      </w:tr>
      <w:tr w:rsidR="00BB67AF" w:rsidRPr="00645124" w:rsidTr="00BC768E">
        <w:tc>
          <w:tcPr>
            <w:tcW w:w="1602"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(256)</w:t>
            </w:r>
          </w:p>
        </w:tc>
        <w:tc>
          <w:tcPr>
            <w:tcW w:w="1603"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(1 548)</w:t>
            </w:r>
          </w:p>
        </w:tc>
        <w:tc>
          <w:tcPr>
            <w:tcW w:w="1602"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(364)</w:t>
            </w:r>
          </w:p>
        </w:tc>
        <w:tc>
          <w:tcPr>
            <w:tcW w:w="1605"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(498)</w:t>
            </w:r>
          </w:p>
        </w:tc>
        <w:tc>
          <w:tcPr>
            <w:tcW w:w="1602"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(221)</w:t>
            </w:r>
          </w:p>
        </w:tc>
        <w:tc>
          <w:tcPr>
            <w:tcW w:w="1625"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(4 253)</w:t>
            </w:r>
          </w:p>
        </w:tc>
      </w:tr>
      <w:tr w:rsidR="00BB67AF" w:rsidRPr="00645124" w:rsidTr="00176D29">
        <w:trPr>
          <w:trHeight w:hRule="exact" w:val="120"/>
        </w:trPr>
        <w:tc>
          <w:tcPr>
            <w:tcW w:w="1602"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 xml:space="preserve"> </w:t>
            </w:r>
          </w:p>
        </w:tc>
        <w:tc>
          <w:tcPr>
            <w:tcW w:w="1603"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 xml:space="preserve"> </w:t>
            </w:r>
          </w:p>
        </w:tc>
        <w:tc>
          <w:tcPr>
            <w:tcW w:w="1602"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 xml:space="preserve"> </w:t>
            </w:r>
          </w:p>
        </w:tc>
        <w:tc>
          <w:tcPr>
            <w:tcW w:w="1605"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 xml:space="preserve"> </w:t>
            </w:r>
          </w:p>
        </w:tc>
        <w:tc>
          <w:tcPr>
            <w:tcW w:w="1602"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 xml:space="preserve"> </w:t>
            </w:r>
          </w:p>
        </w:tc>
        <w:tc>
          <w:tcPr>
            <w:tcW w:w="1625"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 xml:space="preserve"> </w:t>
            </w:r>
          </w:p>
        </w:tc>
      </w:tr>
      <w:tr w:rsidR="00BB67AF" w:rsidRPr="00645124" w:rsidTr="00BC768E">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0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2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r>
      <w:tr w:rsidR="00BB67AF" w:rsidRPr="00645124" w:rsidTr="00BC768E">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(65)</w:t>
            </w:r>
          </w:p>
        </w:tc>
        <w:tc>
          <w:tcPr>
            <w:tcW w:w="16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(252)</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(310)</w:t>
            </w:r>
          </w:p>
        </w:tc>
        <w:tc>
          <w:tcPr>
            <w:tcW w:w="160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(575)</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1 146</w:t>
            </w:r>
          </w:p>
        </w:tc>
        <w:tc>
          <w:tcPr>
            <w:tcW w:w="162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(389)</w:t>
            </w:r>
          </w:p>
        </w:tc>
      </w:tr>
      <w:tr w:rsidR="00BB67AF" w:rsidRPr="00645124" w:rsidTr="00BC768E">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0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162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r>
      <w:tr w:rsidR="00BB67AF" w:rsidRPr="00645124" w:rsidTr="00BC768E">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18</w:t>
            </w:r>
          </w:p>
        </w:tc>
        <w:tc>
          <w:tcPr>
            <w:tcW w:w="16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13</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81</w:t>
            </w:r>
          </w:p>
        </w:tc>
        <w:tc>
          <w:tcPr>
            <w:tcW w:w="160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(21)</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3 266</w:t>
            </w:r>
          </w:p>
        </w:tc>
        <w:tc>
          <w:tcPr>
            <w:tcW w:w="162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3 226</w:t>
            </w:r>
          </w:p>
        </w:tc>
      </w:tr>
      <w:tr w:rsidR="00BB67AF" w:rsidRPr="00645124" w:rsidTr="00BC768E">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(220)</w:t>
            </w:r>
          </w:p>
        </w:tc>
        <w:tc>
          <w:tcPr>
            <w:tcW w:w="162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(238)</w:t>
            </w:r>
          </w:p>
        </w:tc>
      </w:tr>
      <w:tr w:rsidR="00BB67AF" w:rsidRPr="00645124" w:rsidTr="00BC768E">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(22)</w:t>
            </w:r>
          </w:p>
        </w:tc>
        <w:tc>
          <w:tcPr>
            <w:tcW w:w="16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(24)</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 xml:space="preserve">.. </w:t>
            </w:r>
          </w:p>
        </w:tc>
        <w:tc>
          <w:tcPr>
            <w:tcW w:w="160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 xml:space="preserve">.. </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(2 322)</w:t>
            </w:r>
          </w:p>
        </w:tc>
        <w:tc>
          <w:tcPr>
            <w:tcW w:w="162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(2 198)</w:t>
            </w:r>
          </w:p>
        </w:tc>
      </w:tr>
      <w:tr w:rsidR="00BB67AF" w:rsidRPr="00645124" w:rsidTr="00BC768E">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16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95</w:t>
            </w:r>
          </w:p>
        </w:tc>
        <w:tc>
          <w:tcPr>
            <w:tcW w:w="162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57</w:t>
            </w:r>
          </w:p>
        </w:tc>
      </w:tr>
      <w:tr w:rsidR="00BB67AF" w:rsidRPr="00645124" w:rsidTr="00BC768E">
        <w:tc>
          <w:tcPr>
            <w:tcW w:w="160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(5)</w:t>
            </w:r>
          </w:p>
        </w:tc>
        <w:tc>
          <w:tcPr>
            <w:tcW w:w="1603"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(12)</w:t>
            </w:r>
          </w:p>
        </w:tc>
        <w:tc>
          <w:tcPr>
            <w:tcW w:w="160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81</w:t>
            </w:r>
          </w:p>
        </w:tc>
        <w:tc>
          <w:tcPr>
            <w:tcW w:w="160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(21)</w:t>
            </w:r>
          </w:p>
        </w:tc>
        <w:tc>
          <w:tcPr>
            <w:tcW w:w="160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819</w:t>
            </w:r>
          </w:p>
        </w:tc>
        <w:tc>
          <w:tcPr>
            <w:tcW w:w="162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848</w:t>
            </w:r>
          </w:p>
        </w:tc>
      </w:tr>
      <w:tr w:rsidR="00BB67AF" w:rsidRPr="00645124" w:rsidTr="00BC768E">
        <w:tc>
          <w:tcPr>
            <w:tcW w:w="1602"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(60)</w:t>
            </w:r>
          </w:p>
        </w:tc>
        <w:tc>
          <w:tcPr>
            <w:tcW w:w="1603"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(240)</w:t>
            </w:r>
          </w:p>
        </w:tc>
        <w:tc>
          <w:tcPr>
            <w:tcW w:w="1602"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(391)</w:t>
            </w:r>
          </w:p>
        </w:tc>
        <w:tc>
          <w:tcPr>
            <w:tcW w:w="1605"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(554)</w:t>
            </w:r>
          </w:p>
        </w:tc>
        <w:tc>
          <w:tcPr>
            <w:tcW w:w="1602"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327</w:t>
            </w:r>
          </w:p>
        </w:tc>
        <w:tc>
          <w:tcPr>
            <w:tcW w:w="1625"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(1 237)</w:t>
            </w:r>
          </w:p>
        </w:tc>
      </w:tr>
    </w:tbl>
    <w:p w:rsidR="00BB67AF" w:rsidRDefault="00BB67AF" w:rsidP="003E6750"/>
    <w:p w:rsidR="00BB67AF" w:rsidRDefault="00BB67AF" w:rsidP="003E6750">
      <w:pPr>
        <w:pStyle w:val="Heading2NotesContd"/>
      </w:pPr>
      <w:r>
        <w:lastRenderedPageBreak/>
        <w:t xml:space="preserve">Note 2: </w:t>
      </w:r>
      <w:r>
        <w:tab/>
        <w:t xml:space="preserve">Disaggregated information </w:t>
      </w:r>
      <w:r w:rsidRPr="00C0294D">
        <w:rPr>
          <w:i/>
        </w:rPr>
        <w:t>(continued)</w:t>
      </w:r>
    </w:p>
    <w:p w:rsidR="00BB67AF" w:rsidRDefault="00BB67AF" w:rsidP="003E6750">
      <w:pPr>
        <w:pStyle w:val="Tableheading"/>
      </w:pPr>
      <w:r>
        <w:t>Disaggregated balance sheet as at 31 December</w:t>
      </w:r>
    </w:p>
    <w:p w:rsidR="00BB67AF" w:rsidRPr="00385099" w:rsidRDefault="00BB67AF" w:rsidP="003E6750">
      <w:pPr>
        <w:pStyle w:val="million"/>
        <w:rPr>
          <w:b/>
          <w:bCs/>
          <w:lang w:val="en-US"/>
        </w:rPr>
      </w:pPr>
      <w:r>
        <w:t>($ million)</w:t>
      </w:r>
    </w:p>
    <w:tbl>
      <w:tblPr>
        <w:tblW w:w="9638" w:type="dxa"/>
        <w:tblInd w:w="45" w:type="dxa"/>
        <w:tblLayout w:type="fixed"/>
        <w:tblCellMar>
          <w:left w:w="45" w:type="dxa"/>
          <w:right w:w="45" w:type="dxa"/>
        </w:tblCellMar>
        <w:tblLook w:val="0000" w:firstRow="0" w:lastRow="0" w:firstColumn="0" w:lastColumn="0" w:noHBand="0" w:noVBand="0"/>
      </w:tblPr>
      <w:tblGrid>
        <w:gridCol w:w="5102"/>
        <w:gridCol w:w="1134"/>
        <w:gridCol w:w="1134"/>
        <w:gridCol w:w="1134"/>
        <w:gridCol w:w="1134"/>
      </w:tblGrid>
      <w:tr w:rsidR="00897890" w:rsidRPr="00645124" w:rsidTr="00897890">
        <w:trPr>
          <w:tblHeader/>
        </w:trPr>
        <w:tc>
          <w:tcPr>
            <w:tcW w:w="5102" w:type="dxa"/>
            <w:tcBorders>
              <w:top w:val="nil"/>
              <w:left w:val="nil"/>
              <w:bottom w:val="nil"/>
              <w:right w:val="nil"/>
            </w:tcBorders>
            <w:shd w:val="solid" w:color="000000" w:fill="auto"/>
            <w:vAlign w:val="bottom"/>
          </w:tcPr>
          <w:p w:rsidR="00897890" w:rsidRPr="00645124" w:rsidRDefault="00897890"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2268" w:type="dxa"/>
            <w:gridSpan w:val="2"/>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General </w:t>
            </w:r>
            <w:r w:rsidRPr="00645124">
              <w:rPr>
                <w:rFonts w:ascii="Calibri" w:eastAsiaTheme="minorEastAsia" w:hAnsi="Calibri" w:cs="Calibri"/>
                <w:i/>
                <w:iCs/>
                <w:color w:val="FFFFFF"/>
                <w:sz w:val="22"/>
                <w:szCs w:val="22"/>
                <w:lang w:eastAsia="en-AU"/>
              </w:rPr>
              <w:br/>
              <w:t>government sector</w:t>
            </w:r>
          </w:p>
        </w:tc>
        <w:tc>
          <w:tcPr>
            <w:tcW w:w="2268" w:type="dxa"/>
            <w:gridSpan w:val="2"/>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Public non-financial corporations</w:t>
            </w:r>
          </w:p>
        </w:tc>
      </w:tr>
      <w:tr w:rsidR="00897890" w:rsidRPr="00645124" w:rsidTr="00897890">
        <w:trPr>
          <w:trHeight w:val="537"/>
          <w:tblHeader/>
        </w:trPr>
        <w:tc>
          <w:tcPr>
            <w:tcW w:w="5102" w:type="dxa"/>
            <w:tcBorders>
              <w:top w:val="nil"/>
              <w:left w:val="nil"/>
              <w:right w:val="nil"/>
            </w:tcBorders>
            <w:shd w:val="solid" w:color="000000" w:fill="auto"/>
            <w:vAlign w:val="bottom"/>
          </w:tcPr>
          <w:p w:rsidR="00897890" w:rsidRPr="00645124" w:rsidRDefault="00897890"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p w:rsidR="00897890" w:rsidRPr="00645124" w:rsidRDefault="00897890"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1134" w:type="dxa"/>
            <w:tcBorders>
              <w:top w:val="nil"/>
              <w:left w:val="nil"/>
              <w:right w:val="nil"/>
            </w:tcBorders>
            <w:shd w:val="solid" w:color="000000" w:fill="auto"/>
            <w:vAlign w:val="bottom"/>
          </w:tcPr>
          <w:p w:rsidR="00897890" w:rsidRPr="00645124" w:rsidRDefault="00897890"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Dec</w:t>
            </w:r>
          </w:p>
          <w:p w:rsidR="00897890" w:rsidRPr="00645124" w:rsidRDefault="00897890"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4" w:type="dxa"/>
            <w:tcBorders>
              <w:top w:val="nil"/>
              <w:left w:val="nil"/>
              <w:right w:val="nil"/>
            </w:tcBorders>
            <w:shd w:val="solid" w:color="000000" w:fill="auto"/>
            <w:vAlign w:val="bottom"/>
          </w:tcPr>
          <w:p w:rsidR="00897890" w:rsidRPr="00645124" w:rsidRDefault="00897890"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Jun</w:t>
            </w:r>
          </w:p>
          <w:p w:rsidR="00897890" w:rsidRPr="00645124" w:rsidRDefault="00897890"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4" w:type="dxa"/>
            <w:tcBorders>
              <w:top w:val="nil"/>
              <w:left w:val="nil"/>
              <w:right w:val="nil"/>
            </w:tcBorders>
            <w:shd w:val="solid" w:color="000000" w:fill="auto"/>
            <w:vAlign w:val="bottom"/>
          </w:tcPr>
          <w:p w:rsidR="00897890" w:rsidRPr="00645124" w:rsidRDefault="00897890"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Dec</w:t>
            </w:r>
          </w:p>
          <w:p w:rsidR="00897890" w:rsidRPr="00645124" w:rsidRDefault="00897890"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4" w:type="dxa"/>
            <w:tcBorders>
              <w:top w:val="nil"/>
              <w:left w:val="nil"/>
              <w:right w:val="nil"/>
            </w:tcBorders>
            <w:shd w:val="solid" w:color="000000" w:fill="auto"/>
            <w:vAlign w:val="bottom"/>
          </w:tcPr>
          <w:p w:rsidR="00897890" w:rsidRPr="00645124" w:rsidRDefault="00897890"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Jun</w:t>
            </w:r>
          </w:p>
          <w:p w:rsidR="00897890" w:rsidRPr="00645124" w:rsidRDefault="00897890"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Assets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Financial assets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Cash and deposits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4 112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4 282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839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1 092</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Advances paid</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4 550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4 572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54</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Receivables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5 907</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5 555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1 370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1 361</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Investments, loans and placements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3 389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3 406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1 204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989</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 xml:space="preserve">Loans receivable from non-financial public sector </w:t>
            </w:r>
            <w:r w:rsidRPr="00645124">
              <w:rPr>
                <w:rFonts w:ascii="Calibri" w:eastAsiaTheme="minorEastAsia" w:hAnsi="Calibri" w:cs="Calibri"/>
                <w:color w:val="000000"/>
                <w:sz w:val="22"/>
                <w:szCs w:val="22"/>
                <w:vertAlign w:val="superscript"/>
                <w:lang w:eastAsia="en-AU"/>
              </w:rPr>
              <w:t>(a)</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Investments accounted for using the equity method</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1 565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1 565</w:t>
            </w:r>
          </w:p>
        </w:tc>
      </w:tr>
      <w:tr w:rsidR="00BB67AF" w:rsidRPr="00645124" w:rsidTr="003E6750">
        <w:tc>
          <w:tcPr>
            <w:tcW w:w="510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Investments in other sector entities</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82 563</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82 181</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3E6750">
        <w:tc>
          <w:tcPr>
            <w:tcW w:w="510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financial assets</w:t>
            </w:r>
          </w:p>
        </w:tc>
        <w:tc>
          <w:tcPr>
            <w:tcW w:w="113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100 566</w:t>
            </w:r>
          </w:p>
        </w:tc>
        <w:tc>
          <w:tcPr>
            <w:tcW w:w="113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100 040</w:t>
            </w:r>
          </w:p>
        </w:tc>
        <w:tc>
          <w:tcPr>
            <w:tcW w:w="113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5 030</w:t>
            </w:r>
          </w:p>
        </w:tc>
        <w:tc>
          <w:tcPr>
            <w:tcW w:w="113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5 062</w:t>
            </w:r>
          </w:p>
        </w:tc>
      </w:tr>
      <w:tr w:rsidR="00BB67AF" w:rsidRPr="00645124" w:rsidTr="003E6750">
        <w:tc>
          <w:tcPr>
            <w:tcW w:w="5102"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Non-financial assets</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Inventories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154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144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552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565</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Non-financial assets held for sale</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165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175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27</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30</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 xml:space="preserve">Land, buildings, infrastructure, plant and equipment </w:t>
            </w:r>
            <w:r w:rsidRPr="00645124">
              <w:rPr>
                <w:rFonts w:ascii="Calibri" w:eastAsiaTheme="minorEastAsia" w:hAnsi="Calibri" w:cs="Calibri"/>
                <w:color w:val="000000"/>
                <w:sz w:val="22"/>
                <w:szCs w:val="22"/>
                <w:vertAlign w:val="superscript"/>
                <w:lang w:eastAsia="en-AU"/>
              </w:rPr>
              <w:t>(b)</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107 750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107 562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99 630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99 307</w:t>
            </w:r>
          </w:p>
        </w:tc>
      </w:tr>
      <w:tr w:rsidR="00BB67AF" w:rsidRPr="00645124" w:rsidTr="003E6750">
        <w:tc>
          <w:tcPr>
            <w:tcW w:w="510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Other non-financial assets</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1 195</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1 038</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1 320</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1 325</w:t>
            </w:r>
          </w:p>
        </w:tc>
      </w:tr>
      <w:tr w:rsidR="00BB67AF" w:rsidRPr="00645124" w:rsidTr="003E6750">
        <w:tc>
          <w:tcPr>
            <w:tcW w:w="510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vertAlign w:val="superscript"/>
                <w:lang w:eastAsia="en-AU"/>
              </w:rPr>
            </w:pPr>
            <w:r w:rsidRPr="00645124">
              <w:rPr>
                <w:rFonts w:ascii="Calibri" w:eastAsiaTheme="minorEastAsia" w:hAnsi="Calibri" w:cs="Calibri"/>
                <w:b/>
                <w:bCs/>
                <w:color w:val="000000"/>
                <w:sz w:val="22"/>
                <w:szCs w:val="22"/>
                <w:lang w:eastAsia="en-AU"/>
              </w:rPr>
              <w:t xml:space="preserve">Total non-financial assets </w:t>
            </w:r>
            <w:r w:rsidRPr="00645124">
              <w:rPr>
                <w:rFonts w:ascii="Calibri" w:eastAsiaTheme="minorEastAsia" w:hAnsi="Calibri" w:cs="Calibri"/>
                <w:b/>
                <w:color w:val="000000"/>
                <w:sz w:val="22"/>
                <w:szCs w:val="22"/>
                <w:vertAlign w:val="superscript"/>
                <w:lang w:eastAsia="en-AU"/>
              </w:rPr>
              <w:t>(b)</w:t>
            </w:r>
          </w:p>
        </w:tc>
        <w:tc>
          <w:tcPr>
            <w:tcW w:w="113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109 265</w:t>
            </w:r>
          </w:p>
        </w:tc>
        <w:tc>
          <w:tcPr>
            <w:tcW w:w="113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108 920</w:t>
            </w:r>
          </w:p>
        </w:tc>
        <w:tc>
          <w:tcPr>
            <w:tcW w:w="113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101 529</w:t>
            </w:r>
          </w:p>
        </w:tc>
        <w:tc>
          <w:tcPr>
            <w:tcW w:w="113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101 227</w:t>
            </w:r>
          </w:p>
        </w:tc>
      </w:tr>
      <w:tr w:rsidR="00BB67AF" w:rsidRPr="00645124" w:rsidTr="003E6750">
        <w:tc>
          <w:tcPr>
            <w:tcW w:w="5102"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vertAlign w:val="superscript"/>
                <w:lang w:eastAsia="en-AU"/>
              </w:rPr>
            </w:pPr>
            <w:r w:rsidRPr="00645124">
              <w:rPr>
                <w:rFonts w:ascii="Calibri" w:eastAsiaTheme="minorEastAsia" w:hAnsi="Calibri" w:cs="Calibri"/>
                <w:b/>
                <w:bCs/>
                <w:color w:val="000000"/>
                <w:sz w:val="22"/>
                <w:szCs w:val="22"/>
                <w:lang w:eastAsia="en-AU"/>
              </w:rPr>
              <w:t xml:space="preserve">Total assets </w:t>
            </w:r>
            <w:r w:rsidRPr="00645124">
              <w:rPr>
                <w:rFonts w:ascii="Calibri" w:eastAsiaTheme="minorEastAsia" w:hAnsi="Calibri" w:cs="Calibri"/>
                <w:b/>
                <w:color w:val="000000"/>
                <w:sz w:val="22"/>
                <w:szCs w:val="22"/>
                <w:vertAlign w:val="superscript"/>
                <w:lang w:eastAsia="en-AU"/>
              </w:rPr>
              <w:t>(b)</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209 830</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208 960</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106 559</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106 289</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Liabilities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Deposits held and advances received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485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518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420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425</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Payables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5 188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5 704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1 478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1 663</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Borrowings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34 301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34 069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15 897</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15 934</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Employee benefits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5 769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5 605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375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379</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Superannuation</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26 722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25 947</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42</w:t>
            </w:r>
          </w:p>
        </w:tc>
      </w:tr>
      <w:tr w:rsidR="00BB67AF" w:rsidRPr="00645124" w:rsidTr="003E6750">
        <w:tc>
          <w:tcPr>
            <w:tcW w:w="510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Other provisions</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809</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807</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8 721</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8 874</w:t>
            </w:r>
          </w:p>
        </w:tc>
      </w:tr>
      <w:tr w:rsidR="00BB67AF" w:rsidRPr="00645124" w:rsidTr="003E6750">
        <w:tc>
          <w:tcPr>
            <w:tcW w:w="510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liabilities</w:t>
            </w:r>
          </w:p>
        </w:tc>
        <w:tc>
          <w:tcPr>
            <w:tcW w:w="113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73 274</w:t>
            </w:r>
          </w:p>
        </w:tc>
        <w:tc>
          <w:tcPr>
            <w:tcW w:w="113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72 650</w:t>
            </w:r>
          </w:p>
        </w:tc>
        <w:tc>
          <w:tcPr>
            <w:tcW w:w="113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26 930</w:t>
            </w:r>
          </w:p>
        </w:tc>
        <w:tc>
          <w:tcPr>
            <w:tcW w:w="113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27 317</w:t>
            </w:r>
          </w:p>
        </w:tc>
      </w:tr>
      <w:tr w:rsidR="00BB67AF" w:rsidRPr="00645124" w:rsidTr="003E6750">
        <w:tc>
          <w:tcPr>
            <w:tcW w:w="5102"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vertAlign w:val="superscript"/>
                <w:lang w:eastAsia="en-AU"/>
              </w:rPr>
            </w:pPr>
            <w:r w:rsidRPr="00645124">
              <w:rPr>
                <w:rFonts w:ascii="Calibri" w:eastAsiaTheme="minorEastAsia" w:hAnsi="Calibri" w:cs="Calibri"/>
                <w:b/>
                <w:bCs/>
                <w:color w:val="000000"/>
                <w:sz w:val="22"/>
                <w:szCs w:val="22"/>
                <w:lang w:eastAsia="en-AU"/>
              </w:rPr>
              <w:t xml:space="preserve">Net assets </w:t>
            </w:r>
            <w:r w:rsidRPr="00645124">
              <w:rPr>
                <w:rFonts w:ascii="Calibri" w:eastAsiaTheme="minorEastAsia" w:hAnsi="Calibri" w:cs="Calibri"/>
                <w:b/>
                <w:color w:val="000000"/>
                <w:sz w:val="22"/>
                <w:szCs w:val="22"/>
                <w:vertAlign w:val="superscript"/>
                <w:lang w:eastAsia="en-AU"/>
              </w:rPr>
              <w:t>(b)(c)</w:t>
            </w:r>
          </w:p>
        </w:tc>
        <w:tc>
          <w:tcPr>
            <w:tcW w:w="113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136 556</w:t>
            </w:r>
          </w:p>
        </w:tc>
        <w:tc>
          <w:tcPr>
            <w:tcW w:w="113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136 310</w:t>
            </w:r>
          </w:p>
        </w:tc>
        <w:tc>
          <w:tcPr>
            <w:tcW w:w="113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79 629</w:t>
            </w:r>
          </w:p>
        </w:tc>
        <w:tc>
          <w:tcPr>
            <w:tcW w:w="113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78 972</w:t>
            </w:r>
          </w:p>
        </w:tc>
      </w:tr>
      <w:tr w:rsidR="00BB67AF" w:rsidRPr="00645124" w:rsidTr="003E6750">
        <w:tc>
          <w:tcPr>
            <w:tcW w:w="5102"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 xml:space="preserve">Accumulated surplus/(deficit) </w:t>
            </w:r>
            <w:r w:rsidRPr="00645124">
              <w:rPr>
                <w:rFonts w:ascii="Calibri" w:eastAsiaTheme="minorEastAsia" w:hAnsi="Calibri" w:cs="Calibri"/>
                <w:color w:val="000000"/>
                <w:sz w:val="22"/>
                <w:szCs w:val="22"/>
                <w:vertAlign w:val="superscript"/>
                <w:lang w:eastAsia="en-AU"/>
              </w:rPr>
              <w:t>(b)</w:t>
            </w:r>
          </w:p>
        </w:tc>
        <w:tc>
          <w:tcPr>
            <w:tcW w:w="1134"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46 304</w:t>
            </w:r>
          </w:p>
        </w:tc>
        <w:tc>
          <w:tcPr>
            <w:tcW w:w="1134"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45 764</w:t>
            </w:r>
          </w:p>
        </w:tc>
        <w:tc>
          <w:tcPr>
            <w:tcW w:w="1134"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4 459</w:t>
            </w:r>
          </w:p>
        </w:tc>
        <w:tc>
          <w:tcPr>
            <w:tcW w:w="1134"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4 430</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Reserves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90 203</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90 496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75 170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74 542</w:t>
            </w:r>
          </w:p>
        </w:tc>
      </w:tr>
      <w:tr w:rsidR="00BB67AF" w:rsidRPr="00645124" w:rsidTr="003E6750">
        <w:tc>
          <w:tcPr>
            <w:tcW w:w="510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Non-controlling interest</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50</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50</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3E6750">
        <w:tc>
          <w:tcPr>
            <w:tcW w:w="5102"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vertAlign w:val="superscript"/>
                <w:lang w:eastAsia="en-AU"/>
              </w:rPr>
            </w:pPr>
            <w:r w:rsidRPr="00645124">
              <w:rPr>
                <w:rFonts w:ascii="Calibri" w:eastAsiaTheme="minorEastAsia" w:hAnsi="Calibri" w:cs="Calibri"/>
                <w:b/>
                <w:bCs/>
                <w:color w:val="000000"/>
                <w:sz w:val="22"/>
                <w:szCs w:val="22"/>
                <w:lang w:eastAsia="en-AU"/>
              </w:rPr>
              <w:t xml:space="preserve">Net worth </w:t>
            </w:r>
            <w:r w:rsidRPr="00645124">
              <w:rPr>
                <w:rFonts w:ascii="Calibri" w:eastAsiaTheme="minorEastAsia" w:hAnsi="Calibri" w:cs="Calibri"/>
                <w:b/>
                <w:color w:val="000000"/>
                <w:sz w:val="22"/>
                <w:szCs w:val="22"/>
                <w:vertAlign w:val="superscript"/>
                <w:lang w:eastAsia="en-AU"/>
              </w:rPr>
              <w:t>(b)(c)</w:t>
            </w:r>
          </w:p>
        </w:tc>
        <w:tc>
          <w:tcPr>
            <w:tcW w:w="113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136 556</w:t>
            </w:r>
          </w:p>
        </w:tc>
        <w:tc>
          <w:tcPr>
            <w:tcW w:w="113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136 310</w:t>
            </w:r>
          </w:p>
        </w:tc>
        <w:tc>
          <w:tcPr>
            <w:tcW w:w="113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79 629</w:t>
            </w:r>
          </w:p>
        </w:tc>
        <w:tc>
          <w:tcPr>
            <w:tcW w:w="113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78 972</w:t>
            </w:r>
          </w:p>
        </w:tc>
      </w:tr>
      <w:tr w:rsidR="00BB67AF" w:rsidRPr="00645124" w:rsidTr="003E6750">
        <w:trPr>
          <w:trHeight w:hRule="exact" w:val="120"/>
        </w:trPr>
        <w:tc>
          <w:tcPr>
            <w:tcW w:w="5102"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134"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134"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134"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134"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FISCAL AGGREGATES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Net financial worth</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27 292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27 390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(21 901)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(22 256)</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Net financial liabilities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55 271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54 791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21 901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22 256</w:t>
            </w:r>
          </w:p>
        </w:tc>
      </w:tr>
      <w:tr w:rsidR="00BB67AF" w:rsidRPr="00645124" w:rsidTr="003E6750">
        <w:tc>
          <w:tcPr>
            <w:tcW w:w="5102"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Net debt</w:t>
            </w:r>
          </w:p>
        </w:tc>
        <w:tc>
          <w:tcPr>
            <w:tcW w:w="1134"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22 735</w:t>
            </w:r>
          </w:p>
        </w:tc>
        <w:tc>
          <w:tcPr>
            <w:tcW w:w="1134"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22 327</w:t>
            </w:r>
          </w:p>
        </w:tc>
        <w:tc>
          <w:tcPr>
            <w:tcW w:w="1134"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14 223</w:t>
            </w:r>
          </w:p>
        </w:tc>
        <w:tc>
          <w:tcPr>
            <w:tcW w:w="1134"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14 223</w:t>
            </w:r>
          </w:p>
        </w:tc>
      </w:tr>
    </w:tbl>
    <w:p w:rsidR="00BB67AF" w:rsidRDefault="00BB67AF" w:rsidP="003E6750">
      <w:pPr>
        <w:pStyle w:val="Notes"/>
      </w:pPr>
      <w:r>
        <w:t>Notes:</w:t>
      </w:r>
    </w:p>
    <w:p w:rsidR="00BB67AF" w:rsidRDefault="00BB67AF" w:rsidP="003E6750">
      <w:pPr>
        <w:pStyle w:val="Notes"/>
      </w:pPr>
      <w:r>
        <w:t>(a)</w:t>
      </w:r>
      <w:r>
        <w:tab/>
        <w:t>Loans receivable from the non</w:t>
      </w:r>
      <w:r>
        <w:noBreakHyphen/>
        <w:t xml:space="preserve">financial public sector are reported at amortised cost. </w:t>
      </w:r>
    </w:p>
    <w:p w:rsidR="00BB67AF" w:rsidRDefault="00BB67AF" w:rsidP="003E6750">
      <w:pPr>
        <w:pStyle w:val="Notes"/>
      </w:pPr>
      <w:r>
        <w:t>(b)</w:t>
      </w:r>
      <w:r>
        <w:tab/>
        <w:t>Certain June 2015 comparative figures have been restated to reflect more current information.</w:t>
      </w:r>
    </w:p>
    <w:p w:rsidR="00BB67AF" w:rsidRDefault="00BB67AF" w:rsidP="003E6750">
      <w:pPr>
        <w:pStyle w:val="Notes"/>
      </w:pPr>
      <w:r>
        <w:t>(c)</w:t>
      </w:r>
      <w:r>
        <w:tab/>
        <w:t>The net assets and net worth of the public financial corporations sector incorporates the impact of Treasury Corporation of Victoria’s external loan liabilities being reported at market value while the corresponding assets, that is lending to the non</w:t>
      </w:r>
      <w:r>
        <w:noBreakHyphen/>
        <w:t>financial public sector, being reported at amortised cost. This mismatch has contributed to the negative net asset position of the sector.</w:t>
      </w:r>
    </w:p>
    <w:p w:rsidR="00BB67AF" w:rsidRDefault="00BB67AF" w:rsidP="003E6750"/>
    <w:p w:rsidR="00BB67AF" w:rsidRDefault="00BB67AF">
      <w:pPr>
        <w:spacing w:after="0"/>
      </w:pPr>
      <w:r>
        <w:br w:type="page"/>
      </w:r>
    </w:p>
    <w:p w:rsidR="00BB67AF" w:rsidRDefault="00BB67AF" w:rsidP="003E6750">
      <w:pPr>
        <w:pStyle w:val="Heading2NotesContd"/>
      </w:pPr>
    </w:p>
    <w:p w:rsidR="00BB67AF" w:rsidRDefault="00BB67AF" w:rsidP="003E6750">
      <w:pPr>
        <w:pStyle w:val="Tableheading"/>
      </w:pPr>
    </w:p>
    <w:p w:rsidR="00BB67AF" w:rsidRPr="00385099" w:rsidRDefault="00BB67AF" w:rsidP="003E6750">
      <w:pPr>
        <w:pStyle w:val="million"/>
        <w:rPr>
          <w:b/>
          <w:bCs/>
          <w:lang w:val="en-US"/>
        </w:rPr>
      </w:pPr>
    </w:p>
    <w:tbl>
      <w:tblPr>
        <w:tblW w:w="9639" w:type="dxa"/>
        <w:tblInd w:w="45" w:type="dxa"/>
        <w:tblLayout w:type="fixed"/>
        <w:tblCellMar>
          <w:left w:w="45" w:type="dxa"/>
          <w:right w:w="45" w:type="dxa"/>
        </w:tblCellMar>
        <w:tblLook w:val="0000" w:firstRow="0" w:lastRow="0" w:firstColumn="0" w:lastColumn="0" w:noHBand="0" w:noVBand="0"/>
      </w:tblPr>
      <w:tblGrid>
        <w:gridCol w:w="1604"/>
        <w:gridCol w:w="1604"/>
        <w:gridCol w:w="6"/>
        <w:gridCol w:w="1598"/>
        <w:gridCol w:w="1604"/>
        <w:gridCol w:w="12"/>
        <w:gridCol w:w="1592"/>
        <w:gridCol w:w="1619"/>
      </w:tblGrid>
      <w:tr w:rsidR="00897890" w:rsidRPr="00645124" w:rsidTr="00AC25A6">
        <w:trPr>
          <w:tblHeader/>
        </w:trPr>
        <w:tc>
          <w:tcPr>
            <w:tcW w:w="3214" w:type="dxa"/>
            <w:gridSpan w:val="3"/>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Public </w:t>
            </w:r>
            <w:r w:rsidRPr="00645124">
              <w:rPr>
                <w:rFonts w:ascii="Calibri" w:eastAsiaTheme="minorEastAsia" w:hAnsi="Calibri" w:cs="Calibri"/>
                <w:i/>
                <w:iCs/>
                <w:color w:val="FFFFFF"/>
                <w:sz w:val="22"/>
                <w:szCs w:val="22"/>
                <w:lang w:eastAsia="en-AU"/>
              </w:rPr>
              <w:br/>
              <w:t>financial corporations</w:t>
            </w:r>
          </w:p>
        </w:tc>
        <w:tc>
          <w:tcPr>
            <w:tcW w:w="3214" w:type="dxa"/>
            <w:gridSpan w:val="3"/>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Inter-sector eliminations</w:t>
            </w:r>
          </w:p>
        </w:tc>
        <w:tc>
          <w:tcPr>
            <w:tcW w:w="3211" w:type="dxa"/>
            <w:gridSpan w:val="2"/>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State of Victoria </w:t>
            </w:r>
          </w:p>
        </w:tc>
      </w:tr>
      <w:tr w:rsidR="00897890" w:rsidRPr="00645124" w:rsidTr="00AC25A6">
        <w:trPr>
          <w:trHeight w:val="537"/>
          <w:tblHeader/>
        </w:trPr>
        <w:tc>
          <w:tcPr>
            <w:tcW w:w="1604" w:type="dxa"/>
            <w:tcBorders>
              <w:top w:val="nil"/>
              <w:left w:val="nil"/>
              <w:right w:val="nil"/>
            </w:tcBorders>
            <w:shd w:val="solid" w:color="000000" w:fill="auto"/>
            <w:vAlign w:val="bottom"/>
          </w:tcPr>
          <w:p w:rsidR="00897890" w:rsidRPr="00645124" w:rsidRDefault="00897890"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Dec</w:t>
            </w:r>
          </w:p>
          <w:p w:rsidR="00897890" w:rsidRPr="00645124" w:rsidRDefault="00897890"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604" w:type="dxa"/>
            <w:tcBorders>
              <w:top w:val="nil"/>
              <w:left w:val="nil"/>
              <w:right w:val="nil"/>
            </w:tcBorders>
            <w:shd w:val="solid" w:color="000000" w:fill="auto"/>
            <w:vAlign w:val="bottom"/>
          </w:tcPr>
          <w:p w:rsidR="00897890" w:rsidRPr="00645124" w:rsidRDefault="00897890"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Jun</w:t>
            </w:r>
          </w:p>
          <w:p w:rsidR="00897890" w:rsidRPr="00645124" w:rsidRDefault="00897890"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604" w:type="dxa"/>
            <w:gridSpan w:val="2"/>
            <w:tcBorders>
              <w:top w:val="nil"/>
              <w:left w:val="nil"/>
              <w:right w:val="nil"/>
            </w:tcBorders>
            <w:shd w:val="solid" w:color="000000" w:fill="auto"/>
            <w:vAlign w:val="bottom"/>
          </w:tcPr>
          <w:p w:rsidR="00897890" w:rsidRPr="00645124" w:rsidRDefault="00897890"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Dec</w:t>
            </w:r>
          </w:p>
          <w:p w:rsidR="00897890" w:rsidRPr="00645124" w:rsidRDefault="00897890"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604" w:type="dxa"/>
            <w:tcBorders>
              <w:top w:val="nil"/>
              <w:left w:val="nil"/>
              <w:right w:val="nil"/>
            </w:tcBorders>
            <w:shd w:val="solid" w:color="000000" w:fill="auto"/>
            <w:vAlign w:val="bottom"/>
          </w:tcPr>
          <w:p w:rsidR="00897890" w:rsidRPr="00645124" w:rsidRDefault="00897890"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Jun</w:t>
            </w:r>
          </w:p>
          <w:p w:rsidR="00897890" w:rsidRPr="00645124" w:rsidRDefault="00897890"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604" w:type="dxa"/>
            <w:gridSpan w:val="2"/>
            <w:tcBorders>
              <w:top w:val="nil"/>
              <w:left w:val="nil"/>
              <w:right w:val="nil"/>
            </w:tcBorders>
            <w:shd w:val="solid" w:color="000000" w:fill="auto"/>
            <w:vAlign w:val="bottom"/>
          </w:tcPr>
          <w:p w:rsidR="00897890" w:rsidRPr="00645124" w:rsidRDefault="00897890"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Dec</w:t>
            </w:r>
          </w:p>
          <w:p w:rsidR="00897890" w:rsidRPr="00645124" w:rsidRDefault="00897890"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619" w:type="dxa"/>
            <w:tcBorders>
              <w:top w:val="nil"/>
              <w:left w:val="nil"/>
              <w:right w:val="nil"/>
            </w:tcBorders>
            <w:shd w:val="solid" w:color="000000" w:fill="auto"/>
            <w:vAlign w:val="bottom"/>
          </w:tcPr>
          <w:p w:rsidR="00897890" w:rsidRPr="00645124" w:rsidRDefault="00897890"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Jun</w:t>
            </w:r>
          </w:p>
          <w:p w:rsidR="00897890" w:rsidRPr="00645124" w:rsidRDefault="00897890"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61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61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3 725</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4 719</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(2 729)</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(3 572)</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5 946</w:t>
            </w:r>
          </w:p>
        </w:tc>
        <w:tc>
          <w:tcPr>
            <w:tcW w:w="161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6 521</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69</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46</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(4 527)</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(4 550)</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143</w:t>
            </w:r>
          </w:p>
        </w:tc>
        <w:tc>
          <w:tcPr>
            <w:tcW w:w="161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121</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2 040</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1 601</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(1 582)</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(1 728)</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7 735</w:t>
            </w:r>
          </w:p>
        </w:tc>
        <w:tc>
          <w:tcPr>
            <w:tcW w:w="161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6 789</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33 020</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32 122</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(2 324)</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(2 200)</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35 289</w:t>
            </w:r>
          </w:p>
        </w:tc>
        <w:tc>
          <w:tcPr>
            <w:tcW w:w="161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34 317</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36 667</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36 048</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(36 667)</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(36 048)</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61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411</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411</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2 020</w:t>
            </w:r>
          </w:p>
        </w:tc>
        <w:tc>
          <w:tcPr>
            <w:tcW w:w="161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2 021</w:t>
            </w:r>
          </w:p>
        </w:tc>
      </w:tr>
      <w:tr w:rsidR="00BB67AF" w:rsidRPr="00645124" w:rsidTr="00AC25A6">
        <w:tc>
          <w:tcPr>
            <w:tcW w:w="160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60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604"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(82 563)</w:t>
            </w:r>
          </w:p>
        </w:tc>
        <w:tc>
          <w:tcPr>
            <w:tcW w:w="160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(82 181)</w:t>
            </w:r>
          </w:p>
        </w:tc>
        <w:tc>
          <w:tcPr>
            <w:tcW w:w="1604"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619"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AC25A6">
        <w:tc>
          <w:tcPr>
            <w:tcW w:w="160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75 521</w:t>
            </w:r>
          </w:p>
        </w:tc>
        <w:tc>
          <w:tcPr>
            <w:tcW w:w="160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74 535</w:t>
            </w:r>
          </w:p>
        </w:tc>
        <w:tc>
          <w:tcPr>
            <w:tcW w:w="1604" w:type="dxa"/>
            <w:gridSpan w:val="2"/>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(129 982)</w:t>
            </w:r>
          </w:p>
        </w:tc>
        <w:tc>
          <w:tcPr>
            <w:tcW w:w="160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(129 868)</w:t>
            </w:r>
          </w:p>
        </w:tc>
        <w:tc>
          <w:tcPr>
            <w:tcW w:w="1604" w:type="dxa"/>
            <w:gridSpan w:val="2"/>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51 134</w:t>
            </w:r>
          </w:p>
        </w:tc>
        <w:tc>
          <w:tcPr>
            <w:tcW w:w="1619"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49 770</w:t>
            </w:r>
          </w:p>
        </w:tc>
      </w:tr>
      <w:tr w:rsidR="00BB67AF" w:rsidRPr="00645124" w:rsidTr="00AC25A6">
        <w:tc>
          <w:tcPr>
            <w:tcW w:w="160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60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604" w:type="dxa"/>
            <w:gridSpan w:val="2"/>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60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604" w:type="dxa"/>
            <w:gridSpan w:val="2"/>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619"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706</w:t>
            </w:r>
          </w:p>
        </w:tc>
        <w:tc>
          <w:tcPr>
            <w:tcW w:w="161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710</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192</w:t>
            </w:r>
          </w:p>
        </w:tc>
        <w:tc>
          <w:tcPr>
            <w:tcW w:w="161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205</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79</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80</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207 459</w:t>
            </w:r>
          </w:p>
        </w:tc>
        <w:tc>
          <w:tcPr>
            <w:tcW w:w="161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206 949</w:t>
            </w:r>
          </w:p>
        </w:tc>
      </w:tr>
      <w:tr w:rsidR="00BB67AF" w:rsidRPr="00645124" w:rsidTr="00AC25A6">
        <w:tc>
          <w:tcPr>
            <w:tcW w:w="160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1 151</w:t>
            </w:r>
          </w:p>
        </w:tc>
        <w:tc>
          <w:tcPr>
            <w:tcW w:w="160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1 036</w:t>
            </w:r>
          </w:p>
        </w:tc>
        <w:tc>
          <w:tcPr>
            <w:tcW w:w="1604"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(1 380)</w:t>
            </w:r>
          </w:p>
        </w:tc>
        <w:tc>
          <w:tcPr>
            <w:tcW w:w="160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(1 272)</w:t>
            </w:r>
          </w:p>
        </w:tc>
        <w:tc>
          <w:tcPr>
            <w:tcW w:w="1604"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2 287</w:t>
            </w:r>
          </w:p>
        </w:tc>
        <w:tc>
          <w:tcPr>
            <w:tcW w:w="1619"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2 127</w:t>
            </w:r>
          </w:p>
        </w:tc>
      </w:tr>
      <w:tr w:rsidR="00BB67AF" w:rsidRPr="00645124" w:rsidTr="00AC25A6">
        <w:tc>
          <w:tcPr>
            <w:tcW w:w="160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1 230</w:t>
            </w:r>
          </w:p>
        </w:tc>
        <w:tc>
          <w:tcPr>
            <w:tcW w:w="160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1 116</w:t>
            </w:r>
          </w:p>
        </w:tc>
        <w:tc>
          <w:tcPr>
            <w:tcW w:w="1604" w:type="dxa"/>
            <w:gridSpan w:val="2"/>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(1 380)</w:t>
            </w:r>
          </w:p>
        </w:tc>
        <w:tc>
          <w:tcPr>
            <w:tcW w:w="160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(1 272)</w:t>
            </w:r>
          </w:p>
        </w:tc>
        <w:tc>
          <w:tcPr>
            <w:tcW w:w="1604" w:type="dxa"/>
            <w:gridSpan w:val="2"/>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210 644</w:t>
            </w:r>
          </w:p>
        </w:tc>
        <w:tc>
          <w:tcPr>
            <w:tcW w:w="1619"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209 991</w:t>
            </w:r>
          </w:p>
        </w:tc>
      </w:tr>
      <w:tr w:rsidR="00BB67AF" w:rsidRPr="00645124" w:rsidTr="00AC25A6">
        <w:tc>
          <w:tcPr>
            <w:tcW w:w="160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76 751</w:t>
            </w:r>
          </w:p>
        </w:tc>
        <w:tc>
          <w:tcPr>
            <w:tcW w:w="160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75 651</w:t>
            </w:r>
          </w:p>
        </w:tc>
        <w:tc>
          <w:tcPr>
            <w:tcW w:w="1604" w:type="dxa"/>
            <w:gridSpan w:val="2"/>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(131 362)</w:t>
            </w:r>
          </w:p>
        </w:tc>
        <w:tc>
          <w:tcPr>
            <w:tcW w:w="160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(131 140)</w:t>
            </w:r>
          </w:p>
        </w:tc>
        <w:tc>
          <w:tcPr>
            <w:tcW w:w="1604" w:type="dxa"/>
            <w:gridSpan w:val="2"/>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261 778</w:t>
            </w:r>
          </w:p>
        </w:tc>
        <w:tc>
          <w:tcPr>
            <w:tcW w:w="1619"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259 760</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61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6 487</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6 745</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(4 929)</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(5 368)</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2 464</w:t>
            </w:r>
          </w:p>
        </w:tc>
        <w:tc>
          <w:tcPr>
            <w:tcW w:w="161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2 320</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2 643</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1 719</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(1 341)</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(1 496)</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7 967</w:t>
            </w:r>
          </w:p>
        </w:tc>
        <w:tc>
          <w:tcPr>
            <w:tcW w:w="161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7 591</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42 749</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42 721</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(41 354)</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(41 036)</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51 593</w:t>
            </w:r>
          </w:p>
        </w:tc>
        <w:tc>
          <w:tcPr>
            <w:tcW w:w="161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51 688</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79</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91</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6 223</w:t>
            </w:r>
          </w:p>
        </w:tc>
        <w:tc>
          <w:tcPr>
            <w:tcW w:w="161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6 076</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26 762</w:t>
            </w:r>
          </w:p>
        </w:tc>
        <w:tc>
          <w:tcPr>
            <w:tcW w:w="161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25 988</w:t>
            </w:r>
          </w:p>
        </w:tc>
      </w:tr>
      <w:tr w:rsidR="00BB67AF" w:rsidRPr="00645124" w:rsidTr="00AC25A6">
        <w:tc>
          <w:tcPr>
            <w:tcW w:w="160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26 064</w:t>
            </w:r>
          </w:p>
        </w:tc>
        <w:tc>
          <w:tcPr>
            <w:tcW w:w="160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25 169</w:t>
            </w:r>
          </w:p>
        </w:tc>
        <w:tc>
          <w:tcPr>
            <w:tcW w:w="1604"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(8 489)</w:t>
            </w:r>
          </w:p>
        </w:tc>
        <w:tc>
          <w:tcPr>
            <w:tcW w:w="160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(8 637)</w:t>
            </w:r>
          </w:p>
        </w:tc>
        <w:tc>
          <w:tcPr>
            <w:tcW w:w="1604"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27 104</w:t>
            </w:r>
          </w:p>
        </w:tc>
        <w:tc>
          <w:tcPr>
            <w:tcW w:w="1619"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26 213</w:t>
            </w:r>
          </w:p>
        </w:tc>
      </w:tr>
      <w:tr w:rsidR="00BB67AF" w:rsidRPr="00645124" w:rsidTr="00AC25A6">
        <w:tc>
          <w:tcPr>
            <w:tcW w:w="160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78 023</w:t>
            </w:r>
          </w:p>
        </w:tc>
        <w:tc>
          <w:tcPr>
            <w:tcW w:w="160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76 445</w:t>
            </w:r>
          </w:p>
        </w:tc>
        <w:tc>
          <w:tcPr>
            <w:tcW w:w="1604" w:type="dxa"/>
            <w:gridSpan w:val="2"/>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(56 113)</w:t>
            </w:r>
          </w:p>
        </w:tc>
        <w:tc>
          <w:tcPr>
            <w:tcW w:w="160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(56 537)</w:t>
            </w:r>
          </w:p>
        </w:tc>
        <w:tc>
          <w:tcPr>
            <w:tcW w:w="1604" w:type="dxa"/>
            <w:gridSpan w:val="2"/>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122 114</w:t>
            </w:r>
          </w:p>
        </w:tc>
        <w:tc>
          <w:tcPr>
            <w:tcW w:w="1619"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119 876</w:t>
            </w:r>
          </w:p>
        </w:tc>
      </w:tr>
      <w:tr w:rsidR="00BB67AF" w:rsidRPr="00645124" w:rsidTr="00AC25A6">
        <w:tc>
          <w:tcPr>
            <w:tcW w:w="160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(1 273)</w:t>
            </w:r>
          </w:p>
        </w:tc>
        <w:tc>
          <w:tcPr>
            <w:tcW w:w="160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(794)</w:t>
            </w:r>
          </w:p>
        </w:tc>
        <w:tc>
          <w:tcPr>
            <w:tcW w:w="1604" w:type="dxa"/>
            <w:gridSpan w:val="2"/>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(75 249)</w:t>
            </w:r>
          </w:p>
        </w:tc>
        <w:tc>
          <w:tcPr>
            <w:tcW w:w="160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(74 603)</w:t>
            </w:r>
          </w:p>
        </w:tc>
        <w:tc>
          <w:tcPr>
            <w:tcW w:w="1604" w:type="dxa"/>
            <w:gridSpan w:val="2"/>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139 664</w:t>
            </w:r>
          </w:p>
        </w:tc>
        <w:tc>
          <w:tcPr>
            <w:tcW w:w="1619"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139 885</w:t>
            </w:r>
          </w:p>
        </w:tc>
      </w:tr>
      <w:tr w:rsidR="00BB67AF" w:rsidRPr="00645124" w:rsidTr="00AC25A6">
        <w:tc>
          <w:tcPr>
            <w:tcW w:w="1604"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(1 491)</w:t>
            </w:r>
          </w:p>
        </w:tc>
        <w:tc>
          <w:tcPr>
            <w:tcW w:w="1604"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(1 009)</w:t>
            </w:r>
          </w:p>
        </w:tc>
        <w:tc>
          <w:tcPr>
            <w:tcW w:w="1604" w:type="dxa"/>
            <w:gridSpan w:val="2"/>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11 837</w:t>
            </w:r>
          </w:p>
        </w:tc>
        <w:tc>
          <w:tcPr>
            <w:tcW w:w="1604"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12 019</w:t>
            </w:r>
          </w:p>
        </w:tc>
        <w:tc>
          <w:tcPr>
            <w:tcW w:w="1604" w:type="dxa"/>
            <w:gridSpan w:val="2"/>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61 108</w:t>
            </w:r>
          </w:p>
        </w:tc>
        <w:tc>
          <w:tcPr>
            <w:tcW w:w="1619"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61 204</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218</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215</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(87 085)</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(86 622)</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78 506</w:t>
            </w:r>
          </w:p>
        </w:tc>
        <w:tc>
          <w:tcPr>
            <w:tcW w:w="161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78 630</w:t>
            </w:r>
          </w:p>
        </w:tc>
      </w:tr>
      <w:tr w:rsidR="00BB67AF" w:rsidRPr="00645124" w:rsidTr="00AC25A6">
        <w:tc>
          <w:tcPr>
            <w:tcW w:w="160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60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604"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60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604"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50</w:t>
            </w:r>
          </w:p>
        </w:tc>
        <w:tc>
          <w:tcPr>
            <w:tcW w:w="1619"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50</w:t>
            </w:r>
          </w:p>
        </w:tc>
      </w:tr>
      <w:tr w:rsidR="00BB67AF" w:rsidRPr="00645124" w:rsidTr="00AC25A6">
        <w:tc>
          <w:tcPr>
            <w:tcW w:w="160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(1 273)</w:t>
            </w:r>
          </w:p>
        </w:tc>
        <w:tc>
          <w:tcPr>
            <w:tcW w:w="160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(794)</w:t>
            </w:r>
          </w:p>
        </w:tc>
        <w:tc>
          <w:tcPr>
            <w:tcW w:w="1604" w:type="dxa"/>
            <w:gridSpan w:val="2"/>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(75 249)</w:t>
            </w:r>
          </w:p>
        </w:tc>
        <w:tc>
          <w:tcPr>
            <w:tcW w:w="160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(74 603)</w:t>
            </w:r>
          </w:p>
        </w:tc>
        <w:tc>
          <w:tcPr>
            <w:tcW w:w="1604" w:type="dxa"/>
            <w:gridSpan w:val="2"/>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139 664</w:t>
            </w:r>
          </w:p>
        </w:tc>
        <w:tc>
          <w:tcPr>
            <w:tcW w:w="1619"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139 885</w:t>
            </w:r>
          </w:p>
        </w:tc>
      </w:tr>
      <w:tr w:rsidR="00BB67AF" w:rsidRPr="00645124" w:rsidTr="00AC25A6">
        <w:trPr>
          <w:trHeight w:hRule="exact" w:val="120"/>
        </w:trPr>
        <w:tc>
          <w:tcPr>
            <w:tcW w:w="1604"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604"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604" w:type="dxa"/>
            <w:gridSpan w:val="2"/>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604"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604" w:type="dxa"/>
            <w:gridSpan w:val="2"/>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619"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61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(2 503)</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(1 910)</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(73 869)</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(73 331)</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(70 980)</w:t>
            </w:r>
          </w:p>
        </w:tc>
        <w:tc>
          <w:tcPr>
            <w:tcW w:w="161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(70 106)</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2 503</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1 910</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(8 694)</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(8 850)</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70 980</w:t>
            </w:r>
          </w:p>
        </w:tc>
        <w:tc>
          <w:tcPr>
            <w:tcW w:w="161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70 106</w:t>
            </w:r>
          </w:p>
        </w:tc>
      </w:tr>
      <w:tr w:rsidR="00BB67AF" w:rsidRPr="00645124" w:rsidTr="00AC25A6">
        <w:tc>
          <w:tcPr>
            <w:tcW w:w="1604"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(24 244)</w:t>
            </w:r>
          </w:p>
        </w:tc>
        <w:tc>
          <w:tcPr>
            <w:tcW w:w="1604"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(23 469)</w:t>
            </w:r>
          </w:p>
        </w:tc>
        <w:tc>
          <w:tcPr>
            <w:tcW w:w="1604" w:type="dxa"/>
            <w:gridSpan w:val="2"/>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(35)</w:t>
            </w:r>
          </w:p>
        </w:tc>
        <w:tc>
          <w:tcPr>
            <w:tcW w:w="1604"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(34)</w:t>
            </w:r>
          </w:p>
        </w:tc>
        <w:tc>
          <w:tcPr>
            <w:tcW w:w="1604" w:type="dxa"/>
            <w:gridSpan w:val="2"/>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12 679</w:t>
            </w:r>
          </w:p>
        </w:tc>
        <w:tc>
          <w:tcPr>
            <w:tcW w:w="1619"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13 048</w:t>
            </w:r>
          </w:p>
        </w:tc>
      </w:tr>
    </w:tbl>
    <w:p w:rsidR="00BB67AF" w:rsidRDefault="00BB67AF" w:rsidP="003E6750"/>
    <w:p w:rsidR="00BB67AF" w:rsidRDefault="00BB67AF">
      <w:pPr>
        <w:spacing w:after="0"/>
      </w:pPr>
      <w:r>
        <w:br w:type="page"/>
      </w:r>
    </w:p>
    <w:p w:rsidR="00BB67AF" w:rsidRDefault="00BB67AF" w:rsidP="003E6750">
      <w:pPr>
        <w:pStyle w:val="Heading2NotesContd"/>
      </w:pPr>
      <w:r>
        <w:lastRenderedPageBreak/>
        <w:t xml:space="preserve">Note 2: </w:t>
      </w:r>
      <w:r>
        <w:tab/>
        <w:t xml:space="preserve">Disaggregated information </w:t>
      </w:r>
      <w:r w:rsidRPr="00D75DA0">
        <w:rPr>
          <w:i/>
        </w:rPr>
        <w:t>(continued)</w:t>
      </w:r>
    </w:p>
    <w:p w:rsidR="00BB67AF" w:rsidRDefault="00BB67AF" w:rsidP="003E6750">
      <w:pPr>
        <w:pStyle w:val="Tableheading"/>
      </w:pPr>
      <w:r>
        <w:t>Disaggregated cash flow statement for the six months ended 31 December</w:t>
      </w:r>
    </w:p>
    <w:p w:rsidR="00BB67AF" w:rsidRPr="00C27862" w:rsidRDefault="00BB67AF" w:rsidP="003E6750">
      <w:pPr>
        <w:pStyle w:val="million"/>
        <w:rPr>
          <w:rFonts w:eastAsiaTheme="minorEastAsia"/>
          <w:b/>
          <w:bCs/>
          <w:vertAlign w:val="superscript"/>
          <w:lang w:val="en-US" w:eastAsia="en-AU"/>
        </w:rPr>
      </w:pPr>
      <w:r>
        <w:t>($ million)</w:t>
      </w:r>
    </w:p>
    <w:tbl>
      <w:tblPr>
        <w:tblW w:w="9639" w:type="dxa"/>
        <w:tblInd w:w="45" w:type="dxa"/>
        <w:tblLayout w:type="fixed"/>
        <w:tblCellMar>
          <w:left w:w="45" w:type="dxa"/>
          <w:right w:w="45" w:type="dxa"/>
        </w:tblCellMar>
        <w:tblLook w:val="0000" w:firstRow="0" w:lastRow="0" w:firstColumn="0" w:lastColumn="0" w:noHBand="0" w:noVBand="0"/>
      </w:tblPr>
      <w:tblGrid>
        <w:gridCol w:w="5381"/>
        <w:gridCol w:w="6"/>
        <w:gridCol w:w="844"/>
        <w:gridCol w:w="6"/>
        <w:gridCol w:w="1128"/>
        <w:gridCol w:w="6"/>
        <w:gridCol w:w="1128"/>
        <w:gridCol w:w="6"/>
        <w:gridCol w:w="1134"/>
      </w:tblGrid>
      <w:tr w:rsidR="00897890" w:rsidRPr="00645124" w:rsidTr="00897890">
        <w:trPr>
          <w:cantSplit/>
          <w:trHeight w:val="169"/>
          <w:tblHeader/>
        </w:trPr>
        <w:tc>
          <w:tcPr>
            <w:tcW w:w="5387" w:type="dxa"/>
            <w:gridSpan w:val="2"/>
            <w:tcBorders>
              <w:top w:val="nil"/>
              <w:left w:val="nil"/>
              <w:bottom w:val="nil"/>
              <w:right w:val="nil"/>
            </w:tcBorders>
            <w:shd w:val="solid" w:color="000000" w:fill="auto"/>
            <w:vAlign w:val="bottom"/>
          </w:tcPr>
          <w:p w:rsidR="00897890" w:rsidRPr="00645124" w:rsidRDefault="00897890" w:rsidP="003E6750">
            <w:pPr>
              <w:pStyle w:val="Notes"/>
              <w:rPr>
                <w:rFonts w:eastAsiaTheme="minorEastAsia" w:cs="Calibri"/>
                <w:iCs/>
                <w:color w:val="FFFFFF"/>
                <w:sz w:val="17"/>
                <w:szCs w:val="17"/>
                <w:lang w:eastAsia="en-AU"/>
              </w:rPr>
            </w:pPr>
            <w:r w:rsidRPr="00645124">
              <w:rPr>
                <w:rFonts w:eastAsiaTheme="minorEastAsia" w:cs="Calibri"/>
                <w:iCs/>
                <w:color w:val="FFFFFF"/>
                <w:sz w:val="17"/>
                <w:szCs w:val="17"/>
                <w:lang w:eastAsia="en-AU"/>
              </w:rPr>
              <w:t xml:space="preserve"> </w:t>
            </w:r>
          </w:p>
        </w:tc>
        <w:tc>
          <w:tcPr>
            <w:tcW w:w="1984" w:type="dxa"/>
            <w:gridSpan w:val="4"/>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17"/>
                <w:szCs w:val="17"/>
                <w:lang w:eastAsia="en-AU"/>
              </w:rPr>
            </w:pPr>
            <w:r w:rsidRPr="00645124">
              <w:rPr>
                <w:rFonts w:ascii="Calibri" w:eastAsiaTheme="minorEastAsia" w:hAnsi="Calibri" w:cs="Calibri"/>
                <w:i/>
                <w:iCs/>
                <w:color w:val="FFFFFF"/>
                <w:sz w:val="17"/>
                <w:szCs w:val="17"/>
                <w:lang w:eastAsia="en-AU"/>
              </w:rPr>
              <w:t xml:space="preserve">General </w:t>
            </w:r>
            <w:r w:rsidRPr="00645124">
              <w:rPr>
                <w:rFonts w:ascii="Calibri" w:eastAsiaTheme="minorEastAsia" w:hAnsi="Calibri" w:cs="Calibri"/>
                <w:i/>
                <w:iCs/>
                <w:color w:val="FFFFFF"/>
                <w:sz w:val="17"/>
                <w:szCs w:val="17"/>
                <w:lang w:eastAsia="en-AU"/>
              </w:rPr>
              <w:br/>
              <w:t>government sector</w:t>
            </w:r>
          </w:p>
        </w:tc>
        <w:tc>
          <w:tcPr>
            <w:tcW w:w="2268" w:type="dxa"/>
            <w:gridSpan w:val="3"/>
            <w:tcBorders>
              <w:top w:val="nil"/>
              <w:left w:val="nil"/>
              <w:bottom w:val="nil"/>
              <w:right w:val="nil"/>
            </w:tcBorders>
            <w:shd w:val="solid" w:color="000000" w:fill="auto"/>
            <w:vAlign w:val="bottom"/>
          </w:tcPr>
          <w:p w:rsidR="00897890" w:rsidRPr="00645124" w:rsidRDefault="00897890" w:rsidP="003E6750">
            <w:pPr>
              <w:autoSpaceDE w:val="0"/>
              <w:autoSpaceDN w:val="0"/>
              <w:adjustRightInd w:val="0"/>
              <w:spacing w:after="0"/>
              <w:jc w:val="center"/>
              <w:rPr>
                <w:rFonts w:ascii="Calibri" w:eastAsiaTheme="minorEastAsia" w:hAnsi="Calibri" w:cs="Calibri"/>
                <w:i/>
                <w:iCs/>
                <w:color w:val="FFFFFF"/>
                <w:sz w:val="17"/>
                <w:szCs w:val="17"/>
                <w:lang w:eastAsia="en-AU"/>
              </w:rPr>
            </w:pPr>
            <w:r w:rsidRPr="00645124">
              <w:rPr>
                <w:rFonts w:ascii="Calibri" w:eastAsiaTheme="minorEastAsia" w:hAnsi="Calibri" w:cs="Calibri"/>
                <w:i/>
                <w:iCs/>
                <w:color w:val="FFFFFF"/>
                <w:sz w:val="17"/>
                <w:szCs w:val="17"/>
                <w:lang w:eastAsia="en-AU"/>
              </w:rPr>
              <w:t>Public non</w:t>
            </w:r>
            <w:r w:rsidRPr="00645124">
              <w:rPr>
                <w:rFonts w:ascii="Calibri" w:eastAsiaTheme="minorEastAsia" w:hAnsi="Calibri" w:cs="Calibri"/>
                <w:i/>
                <w:iCs/>
                <w:color w:val="FFFFFF"/>
                <w:sz w:val="17"/>
                <w:szCs w:val="17"/>
                <w:lang w:eastAsia="en-AU"/>
              </w:rPr>
              <w:noBreakHyphen/>
              <w:t>financial corporations</w:t>
            </w:r>
          </w:p>
        </w:tc>
      </w:tr>
      <w:tr w:rsidR="00BB67AF" w:rsidRPr="00645124" w:rsidTr="00897890">
        <w:trPr>
          <w:cantSplit/>
          <w:tblHeader/>
        </w:trPr>
        <w:tc>
          <w:tcPr>
            <w:tcW w:w="5387" w:type="dxa"/>
            <w:gridSpan w:val="2"/>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rPr>
                <w:rFonts w:ascii="Calibri" w:eastAsiaTheme="minorEastAsia" w:hAnsi="Calibri" w:cs="Calibri"/>
                <w:i/>
                <w:iCs/>
                <w:color w:val="FFFFFF"/>
                <w:sz w:val="17"/>
                <w:szCs w:val="17"/>
                <w:lang w:eastAsia="en-AU"/>
              </w:rPr>
            </w:pPr>
            <w:r w:rsidRPr="00645124">
              <w:rPr>
                <w:rFonts w:ascii="Calibri" w:eastAsiaTheme="minorEastAsia" w:hAnsi="Calibri" w:cs="Calibri"/>
                <w:i/>
                <w:iCs/>
                <w:color w:val="FFFFFF"/>
                <w:sz w:val="17"/>
                <w:szCs w:val="17"/>
                <w:lang w:eastAsia="en-AU"/>
              </w:rPr>
              <w:t xml:space="preserve"> </w:t>
            </w:r>
          </w:p>
        </w:tc>
        <w:tc>
          <w:tcPr>
            <w:tcW w:w="84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17"/>
                <w:szCs w:val="17"/>
                <w:lang w:eastAsia="en-AU"/>
              </w:rPr>
            </w:pPr>
            <w:r w:rsidRPr="00645124">
              <w:rPr>
                <w:rFonts w:ascii="Calibri" w:eastAsiaTheme="minorEastAsia" w:hAnsi="Calibri" w:cs="Calibri"/>
                <w:i/>
                <w:iCs/>
                <w:color w:val="FFFFFF"/>
                <w:sz w:val="17"/>
                <w:szCs w:val="17"/>
                <w:lang w:eastAsia="en-AU"/>
              </w:rPr>
              <w:t>2015</w:t>
            </w:r>
          </w:p>
        </w:tc>
        <w:tc>
          <w:tcPr>
            <w:tcW w:w="1134" w:type="dxa"/>
            <w:gridSpan w:val="2"/>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17"/>
                <w:szCs w:val="17"/>
                <w:vertAlign w:val="superscript"/>
                <w:lang w:eastAsia="en-AU"/>
              </w:rPr>
            </w:pPr>
            <w:r w:rsidRPr="00645124">
              <w:rPr>
                <w:rFonts w:ascii="Calibri" w:eastAsiaTheme="minorEastAsia" w:hAnsi="Calibri" w:cs="Calibri"/>
                <w:i/>
                <w:iCs/>
                <w:color w:val="FFFFFF"/>
                <w:sz w:val="17"/>
                <w:szCs w:val="17"/>
                <w:lang w:eastAsia="en-AU"/>
              </w:rPr>
              <w:t xml:space="preserve">2014 </w:t>
            </w:r>
            <w:r w:rsidRPr="00645124">
              <w:rPr>
                <w:rFonts w:ascii="Calibri" w:eastAsiaTheme="minorEastAsia" w:hAnsi="Calibri" w:cs="Calibri"/>
                <w:i/>
                <w:iCs/>
                <w:color w:val="FFFFFF"/>
                <w:sz w:val="17"/>
                <w:szCs w:val="17"/>
                <w:vertAlign w:val="superscript"/>
                <w:lang w:eastAsia="en-AU"/>
              </w:rPr>
              <w:t>(a)</w:t>
            </w:r>
          </w:p>
        </w:tc>
        <w:tc>
          <w:tcPr>
            <w:tcW w:w="1134" w:type="dxa"/>
            <w:gridSpan w:val="2"/>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17"/>
                <w:szCs w:val="17"/>
                <w:lang w:eastAsia="en-AU"/>
              </w:rPr>
            </w:pPr>
            <w:r w:rsidRPr="00645124">
              <w:rPr>
                <w:rFonts w:ascii="Calibri" w:eastAsiaTheme="minorEastAsia" w:hAnsi="Calibri" w:cs="Calibri"/>
                <w:i/>
                <w:iCs/>
                <w:color w:val="FFFFFF"/>
                <w:sz w:val="17"/>
                <w:szCs w:val="17"/>
                <w:lang w:eastAsia="en-AU"/>
              </w:rPr>
              <w:t>2015</w:t>
            </w:r>
          </w:p>
        </w:tc>
        <w:tc>
          <w:tcPr>
            <w:tcW w:w="1140" w:type="dxa"/>
            <w:gridSpan w:val="2"/>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17"/>
                <w:szCs w:val="17"/>
                <w:vertAlign w:val="superscript"/>
                <w:lang w:eastAsia="en-AU"/>
              </w:rPr>
            </w:pPr>
            <w:r w:rsidRPr="00645124">
              <w:rPr>
                <w:rFonts w:ascii="Calibri" w:eastAsiaTheme="minorEastAsia" w:hAnsi="Calibri" w:cs="Calibri"/>
                <w:i/>
                <w:iCs/>
                <w:color w:val="FFFFFF"/>
                <w:sz w:val="17"/>
                <w:szCs w:val="17"/>
                <w:lang w:eastAsia="en-AU"/>
              </w:rPr>
              <w:t xml:space="preserve">2014 </w:t>
            </w:r>
            <w:r w:rsidRPr="00645124">
              <w:rPr>
                <w:rFonts w:ascii="Calibri" w:eastAsiaTheme="minorEastAsia" w:hAnsi="Calibri" w:cs="Calibri"/>
                <w:i/>
                <w:iCs/>
                <w:color w:val="FFFFFF"/>
                <w:sz w:val="17"/>
                <w:szCs w:val="17"/>
                <w:vertAlign w:val="superscript"/>
                <w:lang w:eastAsia="en-AU"/>
              </w:rPr>
              <w:t>(a)</w:t>
            </w:r>
          </w:p>
        </w:tc>
      </w:tr>
      <w:tr w:rsidR="00BB67AF" w:rsidRPr="00645124" w:rsidTr="00897890">
        <w:trPr>
          <w:cantSplit/>
        </w:trPr>
        <w:tc>
          <w:tcPr>
            <w:tcW w:w="538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Cash flows from operating activities</w:t>
            </w:r>
          </w:p>
        </w:tc>
        <w:tc>
          <w:tcPr>
            <w:tcW w:w="84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i/>
                <w:iCs/>
                <w:color w:val="000000"/>
                <w:sz w:val="17"/>
                <w:szCs w:val="17"/>
                <w:lang w:eastAsia="en-AU"/>
              </w:rPr>
            </w:pPr>
            <w:r w:rsidRPr="00645124">
              <w:rPr>
                <w:rFonts w:ascii="Calibri" w:eastAsiaTheme="minorEastAsia" w:hAnsi="Calibri" w:cs="Calibri"/>
                <w:i/>
                <w:iCs/>
                <w:color w:val="000000"/>
                <w:sz w:val="17"/>
                <w:szCs w:val="17"/>
                <w:lang w:eastAsia="en-AU"/>
              </w:rPr>
              <w:t xml:space="preserve"> </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i/>
                <w:iCs/>
                <w:color w:val="000000"/>
                <w:sz w:val="17"/>
                <w:szCs w:val="17"/>
                <w:lang w:eastAsia="en-AU"/>
              </w:rPr>
            </w:pPr>
            <w:r w:rsidRPr="00645124">
              <w:rPr>
                <w:rFonts w:ascii="Calibri" w:eastAsiaTheme="minorEastAsia" w:hAnsi="Calibri" w:cs="Calibri"/>
                <w:i/>
                <w:iCs/>
                <w:color w:val="000000"/>
                <w:sz w:val="17"/>
                <w:szCs w:val="17"/>
                <w:lang w:eastAsia="en-AU"/>
              </w:rPr>
              <w:t xml:space="preserve"> </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r>
      <w:tr w:rsidR="00BB67AF" w:rsidRPr="00645124" w:rsidTr="00897890">
        <w:trPr>
          <w:cantSplit/>
        </w:trPr>
        <w:tc>
          <w:tcPr>
            <w:tcW w:w="538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Receipts</w:t>
            </w:r>
          </w:p>
        </w:tc>
        <w:tc>
          <w:tcPr>
            <w:tcW w:w="84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i/>
                <w:iCs/>
                <w:color w:val="000000"/>
                <w:sz w:val="17"/>
                <w:szCs w:val="17"/>
                <w:lang w:eastAsia="en-AU"/>
              </w:rPr>
            </w:pPr>
            <w:r w:rsidRPr="00645124">
              <w:rPr>
                <w:rFonts w:ascii="Calibri" w:eastAsiaTheme="minorEastAsia" w:hAnsi="Calibri" w:cs="Calibri"/>
                <w:i/>
                <w:iCs/>
                <w:color w:val="000000"/>
                <w:sz w:val="17"/>
                <w:szCs w:val="17"/>
                <w:lang w:eastAsia="en-AU"/>
              </w:rPr>
              <w:t xml:space="preserve"> </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i/>
                <w:iCs/>
                <w:color w:val="000000"/>
                <w:sz w:val="17"/>
                <w:szCs w:val="17"/>
                <w:lang w:eastAsia="en-AU"/>
              </w:rPr>
            </w:pPr>
            <w:r w:rsidRPr="00645124">
              <w:rPr>
                <w:rFonts w:ascii="Calibri" w:eastAsiaTheme="minorEastAsia" w:hAnsi="Calibri" w:cs="Calibri"/>
                <w:i/>
                <w:iCs/>
                <w:color w:val="000000"/>
                <w:sz w:val="17"/>
                <w:szCs w:val="17"/>
                <w:lang w:eastAsia="en-AU"/>
              </w:rPr>
              <w:t xml:space="preserve"> </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r>
      <w:tr w:rsidR="00BB67AF" w:rsidRPr="00645124" w:rsidTr="00897890">
        <w:trPr>
          <w:cantSplit/>
        </w:trPr>
        <w:tc>
          <w:tcPr>
            <w:tcW w:w="538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Taxes received</w:t>
            </w:r>
          </w:p>
        </w:tc>
        <w:tc>
          <w:tcPr>
            <w:tcW w:w="84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9 935</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9 366</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r>
      <w:tr w:rsidR="00BB67AF" w:rsidRPr="00645124" w:rsidTr="00897890">
        <w:trPr>
          <w:cantSplit/>
        </w:trPr>
        <w:tc>
          <w:tcPr>
            <w:tcW w:w="538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Grants</w:t>
            </w:r>
          </w:p>
        </w:tc>
        <w:tc>
          <w:tcPr>
            <w:tcW w:w="84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12 300</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11 720</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1 511</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1 465</w:t>
            </w:r>
          </w:p>
        </w:tc>
      </w:tr>
      <w:tr w:rsidR="00BB67AF" w:rsidRPr="00645124" w:rsidTr="00897890">
        <w:trPr>
          <w:cantSplit/>
        </w:trPr>
        <w:tc>
          <w:tcPr>
            <w:tcW w:w="538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vertAlign w:val="superscript"/>
                <w:lang w:eastAsia="en-AU"/>
              </w:rPr>
            </w:pPr>
            <w:r w:rsidRPr="00645124">
              <w:rPr>
                <w:rFonts w:ascii="Calibri" w:eastAsiaTheme="minorEastAsia" w:hAnsi="Calibri" w:cs="Calibri"/>
                <w:color w:val="000000"/>
                <w:sz w:val="17"/>
                <w:szCs w:val="17"/>
                <w:lang w:eastAsia="en-AU"/>
              </w:rPr>
              <w:t xml:space="preserve">Sales of goods and services </w:t>
            </w:r>
            <w:r w:rsidRPr="00645124">
              <w:rPr>
                <w:rFonts w:ascii="Calibri" w:eastAsiaTheme="minorEastAsia" w:hAnsi="Calibri" w:cs="Calibri"/>
                <w:color w:val="000000"/>
                <w:sz w:val="17"/>
                <w:szCs w:val="17"/>
                <w:vertAlign w:val="superscript"/>
                <w:lang w:eastAsia="en-AU"/>
              </w:rPr>
              <w:t>(b)</w:t>
            </w:r>
          </w:p>
        </w:tc>
        <w:tc>
          <w:tcPr>
            <w:tcW w:w="84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3 527</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3 489</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3 275</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3 302</w:t>
            </w:r>
          </w:p>
        </w:tc>
      </w:tr>
      <w:tr w:rsidR="00BB67AF" w:rsidRPr="00645124" w:rsidTr="00897890">
        <w:trPr>
          <w:cantSplit/>
        </w:trPr>
        <w:tc>
          <w:tcPr>
            <w:tcW w:w="538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Interest received</w:t>
            </w:r>
          </w:p>
        </w:tc>
        <w:tc>
          <w:tcPr>
            <w:tcW w:w="84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372</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385</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21</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19</w:t>
            </w:r>
          </w:p>
        </w:tc>
      </w:tr>
      <w:tr w:rsidR="00BB67AF" w:rsidRPr="00645124" w:rsidTr="00897890">
        <w:trPr>
          <w:cantSplit/>
        </w:trPr>
        <w:tc>
          <w:tcPr>
            <w:tcW w:w="538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Dividends and income tax equivalent and rate equivalent receipts</w:t>
            </w:r>
          </w:p>
        </w:tc>
        <w:tc>
          <w:tcPr>
            <w:tcW w:w="84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605</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676</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4</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4</w:t>
            </w:r>
          </w:p>
        </w:tc>
      </w:tr>
      <w:tr w:rsidR="00BB67AF" w:rsidRPr="00645124" w:rsidTr="00897890">
        <w:trPr>
          <w:cantSplit/>
        </w:trPr>
        <w:tc>
          <w:tcPr>
            <w:tcW w:w="5387"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Other receipts</w:t>
            </w:r>
          </w:p>
        </w:tc>
        <w:tc>
          <w:tcPr>
            <w:tcW w:w="84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939</w:t>
            </w:r>
          </w:p>
        </w:tc>
        <w:tc>
          <w:tcPr>
            <w:tcW w:w="1134"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1 004</w:t>
            </w:r>
          </w:p>
        </w:tc>
        <w:tc>
          <w:tcPr>
            <w:tcW w:w="1134"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183</w:t>
            </w:r>
          </w:p>
        </w:tc>
        <w:tc>
          <w:tcPr>
            <w:tcW w:w="1140"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129</w:t>
            </w:r>
          </w:p>
        </w:tc>
      </w:tr>
      <w:tr w:rsidR="00BB67AF" w:rsidRPr="00645124" w:rsidTr="00897890">
        <w:trPr>
          <w:cantSplit/>
        </w:trPr>
        <w:tc>
          <w:tcPr>
            <w:tcW w:w="5387"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Total receipts</w:t>
            </w:r>
          </w:p>
        </w:tc>
        <w:tc>
          <w:tcPr>
            <w:tcW w:w="84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27 677</w:t>
            </w:r>
          </w:p>
        </w:tc>
        <w:tc>
          <w:tcPr>
            <w:tcW w:w="1134"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26 640</w:t>
            </w:r>
          </w:p>
        </w:tc>
        <w:tc>
          <w:tcPr>
            <w:tcW w:w="1134"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4 994</w:t>
            </w:r>
          </w:p>
        </w:tc>
        <w:tc>
          <w:tcPr>
            <w:tcW w:w="1140"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4 919</w:t>
            </w:r>
          </w:p>
        </w:tc>
      </w:tr>
      <w:tr w:rsidR="00BB67AF" w:rsidRPr="00645124" w:rsidTr="00897890">
        <w:trPr>
          <w:cantSplit/>
        </w:trPr>
        <w:tc>
          <w:tcPr>
            <w:tcW w:w="538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Payments</w:t>
            </w:r>
          </w:p>
        </w:tc>
        <w:tc>
          <w:tcPr>
            <w:tcW w:w="84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r>
      <w:tr w:rsidR="00BB67AF" w:rsidRPr="00645124" w:rsidTr="00897890">
        <w:trPr>
          <w:cantSplit/>
        </w:trPr>
        <w:tc>
          <w:tcPr>
            <w:tcW w:w="538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Payments for employees</w:t>
            </w:r>
          </w:p>
        </w:tc>
        <w:tc>
          <w:tcPr>
            <w:tcW w:w="84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(9 622)</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(9 230)</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(560)</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(541)</w:t>
            </w:r>
          </w:p>
        </w:tc>
      </w:tr>
      <w:tr w:rsidR="00BB67AF" w:rsidRPr="00645124" w:rsidTr="00897890">
        <w:trPr>
          <w:cantSplit/>
        </w:trPr>
        <w:tc>
          <w:tcPr>
            <w:tcW w:w="538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Superannuation</w:t>
            </w:r>
          </w:p>
        </w:tc>
        <w:tc>
          <w:tcPr>
            <w:tcW w:w="84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(1 530)</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(1 420)</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(53)</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(49)</w:t>
            </w:r>
          </w:p>
        </w:tc>
      </w:tr>
      <w:tr w:rsidR="00BB67AF" w:rsidRPr="00645124" w:rsidTr="00897890">
        <w:trPr>
          <w:cantSplit/>
        </w:trPr>
        <w:tc>
          <w:tcPr>
            <w:tcW w:w="538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Interest paid</w:t>
            </w:r>
          </w:p>
        </w:tc>
        <w:tc>
          <w:tcPr>
            <w:tcW w:w="84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(1 031)</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(1 020)</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(517)</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(544)</w:t>
            </w:r>
          </w:p>
        </w:tc>
      </w:tr>
      <w:tr w:rsidR="00BB67AF" w:rsidRPr="00645124" w:rsidTr="00897890">
        <w:trPr>
          <w:cantSplit/>
        </w:trPr>
        <w:tc>
          <w:tcPr>
            <w:tcW w:w="538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Grants and subsidies </w:t>
            </w:r>
          </w:p>
        </w:tc>
        <w:tc>
          <w:tcPr>
            <w:tcW w:w="84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(4 336)</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(4 333)</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(59)</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(40)</w:t>
            </w:r>
          </w:p>
        </w:tc>
      </w:tr>
      <w:tr w:rsidR="00BB67AF" w:rsidRPr="00645124" w:rsidTr="00897890">
        <w:trPr>
          <w:cantSplit/>
        </w:trPr>
        <w:tc>
          <w:tcPr>
            <w:tcW w:w="538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vertAlign w:val="superscript"/>
                <w:lang w:eastAsia="en-AU"/>
              </w:rPr>
            </w:pPr>
            <w:r w:rsidRPr="00645124">
              <w:rPr>
                <w:rFonts w:ascii="Calibri" w:eastAsiaTheme="minorEastAsia" w:hAnsi="Calibri" w:cs="Calibri"/>
                <w:color w:val="000000"/>
                <w:sz w:val="17"/>
                <w:szCs w:val="17"/>
                <w:lang w:eastAsia="en-AU"/>
              </w:rPr>
              <w:t>Goods and services</w:t>
            </w:r>
            <w:r w:rsidRPr="00645124">
              <w:rPr>
                <w:rFonts w:ascii="Calibri" w:eastAsiaTheme="minorEastAsia" w:hAnsi="Calibri" w:cs="Calibri"/>
                <w:color w:val="000000"/>
                <w:sz w:val="17"/>
                <w:szCs w:val="17"/>
                <w:vertAlign w:val="superscript"/>
                <w:lang w:eastAsia="en-AU"/>
              </w:rPr>
              <w:t xml:space="preserve"> (b)</w:t>
            </w:r>
          </w:p>
        </w:tc>
        <w:tc>
          <w:tcPr>
            <w:tcW w:w="84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(8 966)</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(8 966)</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(1 892)</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(1 959)</w:t>
            </w:r>
          </w:p>
        </w:tc>
      </w:tr>
      <w:tr w:rsidR="00BB67AF" w:rsidRPr="00645124" w:rsidTr="00897890">
        <w:trPr>
          <w:cantSplit/>
        </w:trPr>
        <w:tc>
          <w:tcPr>
            <w:tcW w:w="5387"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Other payments</w:t>
            </w:r>
          </w:p>
        </w:tc>
        <w:tc>
          <w:tcPr>
            <w:tcW w:w="84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(371)</w:t>
            </w:r>
          </w:p>
        </w:tc>
        <w:tc>
          <w:tcPr>
            <w:tcW w:w="1134"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(339)</w:t>
            </w:r>
          </w:p>
        </w:tc>
        <w:tc>
          <w:tcPr>
            <w:tcW w:w="1134"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(1 092)</w:t>
            </w:r>
          </w:p>
        </w:tc>
        <w:tc>
          <w:tcPr>
            <w:tcW w:w="1140"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(972)</w:t>
            </w:r>
          </w:p>
        </w:tc>
      </w:tr>
      <w:tr w:rsidR="00BB67AF" w:rsidRPr="00645124" w:rsidTr="00897890">
        <w:trPr>
          <w:cantSplit/>
        </w:trPr>
        <w:tc>
          <w:tcPr>
            <w:tcW w:w="5387" w:type="dxa"/>
            <w:gridSpan w:val="2"/>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Total payments</w:t>
            </w:r>
          </w:p>
        </w:tc>
        <w:tc>
          <w:tcPr>
            <w:tcW w:w="844" w:type="dxa"/>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(25 856)</w:t>
            </w:r>
          </w:p>
        </w:tc>
        <w:tc>
          <w:tcPr>
            <w:tcW w:w="1134" w:type="dxa"/>
            <w:gridSpan w:val="2"/>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(25 308)</w:t>
            </w:r>
          </w:p>
        </w:tc>
        <w:tc>
          <w:tcPr>
            <w:tcW w:w="1134" w:type="dxa"/>
            <w:gridSpan w:val="2"/>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(4 174)</w:t>
            </w:r>
          </w:p>
        </w:tc>
        <w:tc>
          <w:tcPr>
            <w:tcW w:w="1140" w:type="dxa"/>
            <w:gridSpan w:val="2"/>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(4 105)</w:t>
            </w:r>
          </w:p>
        </w:tc>
      </w:tr>
      <w:tr w:rsidR="00BB67AF" w:rsidRPr="00645124" w:rsidTr="00897890">
        <w:trPr>
          <w:cantSplit/>
        </w:trPr>
        <w:tc>
          <w:tcPr>
            <w:tcW w:w="5387"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Net cash flows from operating activities</w:t>
            </w:r>
          </w:p>
        </w:tc>
        <w:tc>
          <w:tcPr>
            <w:tcW w:w="84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color w:val="000000"/>
                <w:sz w:val="17"/>
                <w:szCs w:val="17"/>
                <w:lang w:eastAsia="en-AU"/>
              </w:rPr>
            </w:pPr>
            <w:r w:rsidRPr="00645124">
              <w:rPr>
                <w:rFonts w:ascii="Calibri" w:eastAsiaTheme="minorEastAsia" w:hAnsi="Calibri" w:cs="Calibri"/>
                <w:b/>
                <w:color w:val="000000"/>
                <w:sz w:val="17"/>
                <w:szCs w:val="17"/>
                <w:lang w:eastAsia="en-AU"/>
              </w:rPr>
              <w:t>1 821</w:t>
            </w:r>
          </w:p>
        </w:tc>
        <w:tc>
          <w:tcPr>
            <w:tcW w:w="1134"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color w:val="000000"/>
                <w:sz w:val="17"/>
                <w:szCs w:val="17"/>
                <w:lang w:eastAsia="en-AU"/>
              </w:rPr>
            </w:pPr>
            <w:r w:rsidRPr="00645124">
              <w:rPr>
                <w:rFonts w:ascii="Calibri" w:eastAsiaTheme="minorEastAsia" w:hAnsi="Calibri" w:cs="Calibri"/>
                <w:b/>
                <w:color w:val="000000"/>
                <w:sz w:val="17"/>
                <w:szCs w:val="17"/>
                <w:lang w:eastAsia="en-AU"/>
              </w:rPr>
              <w:t>1 332</w:t>
            </w:r>
          </w:p>
        </w:tc>
        <w:tc>
          <w:tcPr>
            <w:tcW w:w="1134"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color w:val="000000"/>
                <w:sz w:val="17"/>
                <w:szCs w:val="17"/>
                <w:lang w:eastAsia="en-AU"/>
              </w:rPr>
            </w:pPr>
            <w:r w:rsidRPr="00645124">
              <w:rPr>
                <w:rFonts w:ascii="Calibri" w:eastAsiaTheme="minorEastAsia" w:hAnsi="Calibri" w:cs="Calibri"/>
                <w:b/>
                <w:color w:val="000000"/>
                <w:sz w:val="17"/>
                <w:szCs w:val="17"/>
                <w:lang w:eastAsia="en-AU"/>
              </w:rPr>
              <w:t>820</w:t>
            </w:r>
          </w:p>
        </w:tc>
        <w:tc>
          <w:tcPr>
            <w:tcW w:w="1140"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color w:val="000000"/>
                <w:sz w:val="17"/>
                <w:szCs w:val="17"/>
                <w:lang w:eastAsia="en-AU"/>
              </w:rPr>
            </w:pPr>
            <w:r w:rsidRPr="00645124">
              <w:rPr>
                <w:rFonts w:ascii="Calibri" w:eastAsiaTheme="minorEastAsia" w:hAnsi="Calibri" w:cs="Calibri"/>
                <w:b/>
                <w:color w:val="000000"/>
                <w:sz w:val="17"/>
                <w:szCs w:val="17"/>
                <w:lang w:eastAsia="en-AU"/>
              </w:rPr>
              <w:t>813</w:t>
            </w:r>
          </w:p>
        </w:tc>
      </w:tr>
      <w:tr w:rsidR="00BB67AF" w:rsidRPr="00645124" w:rsidTr="00897890">
        <w:trPr>
          <w:cantSplit/>
        </w:trPr>
        <w:tc>
          <w:tcPr>
            <w:tcW w:w="538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Cash flows from investing activities</w:t>
            </w:r>
          </w:p>
        </w:tc>
        <w:tc>
          <w:tcPr>
            <w:tcW w:w="84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r>
      <w:tr w:rsidR="00BB67AF" w:rsidRPr="00645124" w:rsidTr="00897890">
        <w:trPr>
          <w:cantSplit/>
        </w:trPr>
        <w:tc>
          <w:tcPr>
            <w:tcW w:w="538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Purchases of non</w:t>
            </w:r>
            <w:r w:rsidRPr="00645124">
              <w:rPr>
                <w:rFonts w:ascii="Calibri" w:eastAsiaTheme="minorEastAsia" w:hAnsi="Calibri" w:cs="Calibri"/>
                <w:color w:val="000000"/>
                <w:sz w:val="17"/>
                <w:szCs w:val="17"/>
                <w:lang w:eastAsia="en-AU"/>
              </w:rPr>
              <w:noBreakHyphen/>
              <w:t>financial assets</w:t>
            </w:r>
          </w:p>
        </w:tc>
        <w:tc>
          <w:tcPr>
            <w:tcW w:w="84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(2 037)</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(2 118)</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(1 130)</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(1 116)</w:t>
            </w:r>
          </w:p>
        </w:tc>
      </w:tr>
      <w:tr w:rsidR="00BB67AF" w:rsidRPr="00645124" w:rsidTr="00897890">
        <w:trPr>
          <w:cantSplit/>
        </w:trPr>
        <w:tc>
          <w:tcPr>
            <w:tcW w:w="5387"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Sales of non</w:t>
            </w:r>
            <w:r w:rsidRPr="00645124">
              <w:rPr>
                <w:rFonts w:ascii="Calibri" w:eastAsiaTheme="minorEastAsia" w:hAnsi="Calibri" w:cs="Calibri"/>
                <w:color w:val="000000"/>
                <w:sz w:val="17"/>
                <w:szCs w:val="17"/>
                <w:lang w:eastAsia="en-AU"/>
              </w:rPr>
              <w:noBreakHyphen/>
              <w:t>financial assets</w:t>
            </w:r>
          </w:p>
        </w:tc>
        <w:tc>
          <w:tcPr>
            <w:tcW w:w="84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73</w:t>
            </w:r>
          </w:p>
        </w:tc>
        <w:tc>
          <w:tcPr>
            <w:tcW w:w="1134"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122</w:t>
            </w:r>
          </w:p>
        </w:tc>
        <w:tc>
          <w:tcPr>
            <w:tcW w:w="1134"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147</w:t>
            </w:r>
          </w:p>
        </w:tc>
        <w:tc>
          <w:tcPr>
            <w:tcW w:w="1140"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115</w:t>
            </w:r>
          </w:p>
        </w:tc>
      </w:tr>
      <w:tr w:rsidR="00BB67AF" w:rsidRPr="00645124" w:rsidTr="00897890">
        <w:trPr>
          <w:cantSplit/>
        </w:trPr>
        <w:tc>
          <w:tcPr>
            <w:tcW w:w="5387"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Cash flows from investments in non</w:t>
            </w:r>
            <w:r w:rsidRPr="00645124">
              <w:rPr>
                <w:rFonts w:ascii="Calibri" w:eastAsiaTheme="minorEastAsia" w:hAnsi="Calibri" w:cs="Calibri"/>
                <w:b/>
                <w:bCs/>
                <w:color w:val="000000"/>
                <w:sz w:val="17"/>
                <w:szCs w:val="17"/>
                <w:lang w:eastAsia="en-AU"/>
              </w:rPr>
              <w:noBreakHyphen/>
              <w:t>financial assets</w:t>
            </w:r>
          </w:p>
        </w:tc>
        <w:tc>
          <w:tcPr>
            <w:tcW w:w="84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(1 964)</w:t>
            </w:r>
          </w:p>
        </w:tc>
        <w:tc>
          <w:tcPr>
            <w:tcW w:w="1134"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(1 996)</w:t>
            </w:r>
          </w:p>
        </w:tc>
        <w:tc>
          <w:tcPr>
            <w:tcW w:w="1134"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(984)</w:t>
            </w:r>
          </w:p>
        </w:tc>
        <w:tc>
          <w:tcPr>
            <w:tcW w:w="1140"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(1 001)</w:t>
            </w:r>
          </w:p>
        </w:tc>
      </w:tr>
      <w:tr w:rsidR="00BB67AF" w:rsidRPr="00645124" w:rsidTr="00897890">
        <w:trPr>
          <w:cantSplit/>
        </w:trPr>
        <w:tc>
          <w:tcPr>
            <w:tcW w:w="538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Cash flows from investments in financial assets for policy purposes</w:t>
            </w:r>
          </w:p>
        </w:tc>
        <w:tc>
          <w:tcPr>
            <w:tcW w:w="85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r>
      <w:tr w:rsidR="00BB67AF" w:rsidRPr="00645124" w:rsidTr="00897890">
        <w:trPr>
          <w:cantSplit/>
        </w:trPr>
        <w:tc>
          <w:tcPr>
            <w:tcW w:w="538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Cash inflows</w:t>
            </w:r>
          </w:p>
        </w:tc>
        <w:tc>
          <w:tcPr>
            <w:tcW w:w="84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52</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333</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35</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25</w:t>
            </w:r>
          </w:p>
        </w:tc>
      </w:tr>
      <w:tr w:rsidR="00BB67AF" w:rsidRPr="00645124" w:rsidTr="00897890">
        <w:trPr>
          <w:cantSplit/>
        </w:trPr>
        <w:tc>
          <w:tcPr>
            <w:tcW w:w="5387" w:type="dxa"/>
            <w:gridSpan w:val="2"/>
            <w:tcBorders>
              <w:top w:val="nil"/>
              <w:left w:val="nil"/>
              <w:bottom w:val="single" w:sz="4"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Cash outflows</w:t>
            </w:r>
          </w:p>
        </w:tc>
        <w:tc>
          <w:tcPr>
            <w:tcW w:w="844" w:type="dxa"/>
            <w:tcBorders>
              <w:top w:val="nil"/>
              <w:left w:val="nil"/>
              <w:bottom w:val="single" w:sz="4"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(241)</w:t>
            </w:r>
          </w:p>
        </w:tc>
        <w:tc>
          <w:tcPr>
            <w:tcW w:w="1134" w:type="dxa"/>
            <w:gridSpan w:val="2"/>
            <w:tcBorders>
              <w:top w:val="nil"/>
              <w:left w:val="nil"/>
              <w:bottom w:val="single" w:sz="4"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(289)</w:t>
            </w:r>
          </w:p>
        </w:tc>
        <w:tc>
          <w:tcPr>
            <w:tcW w:w="1134" w:type="dxa"/>
            <w:gridSpan w:val="2"/>
            <w:tcBorders>
              <w:top w:val="nil"/>
              <w:left w:val="nil"/>
              <w:bottom w:val="single" w:sz="4"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(5)</w:t>
            </w:r>
          </w:p>
        </w:tc>
        <w:tc>
          <w:tcPr>
            <w:tcW w:w="1140" w:type="dxa"/>
            <w:gridSpan w:val="2"/>
            <w:tcBorders>
              <w:top w:val="nil"/>
              <w:left w:val="nil"/>
              <w:bottom w:val="single" w:sz="4"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w:t>
            </w:r>
          </w:p>
        </w:tc>
      </w:tr>
      <w:tr w:rsidR="00BB67AF" w:rsidRPr="00645124" w:rsidTr="00897890">
        <w:trPr>
          <w:cantSplit/>
        </w:trPr>
        <w:tc>
          <w:tcPr>
            <w:tcW w:w="5381" w:type="dxa"/>
            <w:tcBorders>
              <w:top w:val="single" w:sz="4"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vertAlign w:val="superscript"/>
                <w:lang w:eastAsia="en-AU"/>
              </w:rPr>
            </w:pPr>
            <w:r w:rsidRPr="00645124">
              <w:rPr>
                <w:rFonts w:ascii="Calibri" w:eastAsiaTheme="minorEastAsia" w:hAnsi="Calibri" w:cs="Calibri"/>
                <w:color w:val="000000"/>
                <w:sz w:val="17"/>
                <w:szCs w:val="17"/>
                <w:lang w:eastAsia="en-AU"/>
              </w:rPr>
              <w:t xml:space="preserve">Net cash flows from investments in financial assets for policy purposes </w:t>
            </w:r>
            <w:r w:rsidRPr="00645124">
              <w:rPr>
                <w:rFonts w:ascii="Calibri" w:eastAsiaTheme="minorEastAsia" w:hAnsi="Calibri" w:cs="Calibri"/>
                <w:color w:val="000000"/>
                <w:sz w:val="17"/>
                <w:szCs w:val="17"/>
                <w:vertAlign w:val="superscript"/>
                <w:lang w:eastAsia="en-AU"/>
              </w:rPr>
              <w:t>(c)</w:t>
            </w:r>
          </w:p>
        </w:tc>
        <w:tc>
          <w:tcPr>
            <w:tcW w:w="850" w:type="dxa"/>
            <w:gridSpan w:val="2"/>
            <w:tcBorders>
              <w:top w:val="single" w:sz="4"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(190)</w:t>
            </w:r>
          </w:p>
        </w:tc>
        <w:tc>
          <w:tcPr>
            <w:tcW w:w="1134" w:type="dxa"/>
            <w:gridSpan w:val="2"/>
            <w:tcBorders>
              <w:top w:val="single" w:sz="4"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44</w:t>
            </w:r>
          </w:p>
        </w:tc>
        <w:tc>
          <w:tcPr>
            <w:tcW w:w="1134" w:type="dxa"/>
            <w:gridSpan w:val="2"/>
            <w:tcBorders>
              <w:top w:val="single" w:sz="4"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29</w:t>
            </w:r>
          </w:p>
        </w:tc>
        <w:tc>
          <w:tcPr>
            <w:tcW w:w="1140" w:type="dxa"/>
            <w:gridSpan w:val="2"/>
            <w:tcBorders>
              <w:top w:val="single" w:sz="4"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24</w:t>
            </w:r>
          </w:p>
        </w:tc>
      </w:tr>
      <w:tr w:rsidR="00BB67AF" w:rsidRPr="00645124" w:rsidTr="00897890">
        <w:trPr>
          <w:cantSplit/>
        </w:trPr>
        <w:tc>
          <w:tcPr>
            <w:tcW w:w="5387"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Sub</w:t>
            </w:r>
            <w:r w:rsidRPr="00645124">
              <w:rPr>
                <w:rFonts w:ascii="Calibri" w:eastAsiaTheme="minorEastAsia" w:hAnsi="Calibri" w:cs="Calibri"/>
                <w:b/>
                <w:bCs/>
                <w:color w:val="000000"/>
                <w:sz w:val="17"/>
                <w:szCs w:val="17"/>
                <w:lang w:eastAsia="en-AU"/>
              </w:rPr>
              <w:noBreakHyphen/>
              <w:t>total</w:t>
            </w:r>
          </w:p>
        </w:tc>
        <w:tc>
          <w:tcPr>
            <w:tcW w:w="84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(2 153)</w:t>
            </w:r>
          </w:p>
        </w:tc>
        <w:tc>
          <w:tcPr>
            <w:tcW w:w="1134"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(1 952)</w:t>
            </w:r>
          </w:p>
        </w:tc>
        <w:tc>
          <w:tcPr>
            <w:tcW w:w="1134"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(954)</w:t>
            </w:r>
          </w:p>
        </w:tc>
        <w:tc>
          <w:tcPr>
            <w:tcW w:w="1140"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(977)</w:t>
            </w:r>
          </w:p>
        </w:tc>
      </w:tr>
      <w:tr w:rsidR="00BB67AF" w:rsidRPr="00645124" w:rsidTr="00897890">
        <w:trPr>
          <w:cantSplit/>
        </w:trPr>
        <w:tc>
          <w:tcPr>
            <w:tcW w:w="5387"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vertAlign w:val="superscript"/>
                <w:lang w:eastAsia="en-AU"/>
              </w:rPr>
            </w:pPr>
            <w:r w:rsidRPr="00645124">
              <w:rPr>
                <w:rFonts w:ascii="Calibri" w:eastAsiaTheme="minorEastAsia" w:hAnsi="Calibri" w:cs="Calibri"/>
                <w:color w:val="000000"/>
                <w:sz w:val="17"/>
                <w:szCs w:val="17"/>
                <w:lang w:eastAsia="en-AU"/>
              </w:rPr>
              <w:t>Net cash flows from investments in financial assets for liquidity management purposes</w:t>
            </w:r>
            <w:r w:rsidRPr="00645124">
              <w:rPr>
                <w:rFonts w:ascii="Calibri" w:eastAsiaTheme="minorEastAsia" w:hAnsi="Calibri" w:cs="Calibri"/>
                <w:color w:val="000000"/>
                <w:sz w:val="17"/>
                <w:szCs w:val="17"/>
                <w:vertAlign w:val="superscript"/>
                <w:lang w:eastAsia="en-AU"/>
              </w:rPr>
              <w:t xml:space="preserve"> </w:t>
            </w:r>
          </w:p>
        </w:tc>
        <w:tc>
          <w:tcPr>
            <w:tcW w:w="84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(33)</w:t>
            </w:r>
          </w:p>
        </w:tc>
        <w:tc>
          <w:tcPr>
            <w:tcW w:w="1134"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(316)</w:t>
            </w:r>
          </w:p>
        </w:tc>
        <w:tc>
          <w:tcPr>
            <w:tcW w:w="1134"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(169)</w:t>
            </w:r>
          </w:p>
        </w:tc>
        <w:tc>
          <w:tcPr>
            <w:tcW w:w="1140"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(86)</w:t>
            </w:r>
          </w:p>
        </w:tc>
      </w:tr>
      <w:tr w:rsidR="00BB67AF" w:rsidRPr="00645124" w:rsidTr="00897890">
        <w:trPr>
          <w:cantSplit/>
        </w:trPr>
        <w:tc>
          <w:tcPr>
            <w:tcW w:w="5387"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Net cash flows from investing activities</w:t>
            </w:r>
          </w:p>
        </w:tc>
        <w:tc>
          <w:tcPr>
            <w:tcW w:w="84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(2 187)</w:t>
            </w:r>
          </w:p>
        </w:tc>
        <w:tc>
          <w:tcPr>
            <w:tcW w:w="1134"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(2 268)</w:t>
            </w:r>
          </w:p>
        </w:tc>
        <w:tc>
          <w:tcPr>
            <w:tcW w:w="1134"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(1 123)</w:t>
            </w:r>
          </w:p>
        </w:tc>
        <w:tc>
          <w:tcPr>
            <w:tcW w:w="1140"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(1 063)</w:t>
            </w:r>
          </w:p>
        </w:tc>
      </w:tr>
      <w:tr w:rsidR="00BB67AF" w:rsidRPr="00645124" w:rsidTr="00897890">
        <w:trPr>
          <w:cantSplit/>
        </w:trPr>
        <w:tc>
          <w:tcPr>
            <w:tcW w:w="538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Cash flows from financing activities</w:t>
            </w:r>
          </w:p>
        </w:tc>
        <w:tc>
          <w:tcPr>
            <w:tcW w:w="84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r>
      <w:tr w:rsidR="00BB67AF" w:rsidRPr="00645124" w:rsidTr="00897890">
        <w:trPr>
          <w:cantSplit/>
        </w:trPr>
        <w:tc>
          <w:tcPr>
            <w:tcW w:w="538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Advances received</w:t>
            </w:r>
          </w:p>
        </w:tc>
        <w:tc>
          <w:tcPr>
            <w:tcW w:w="84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13</w:t>
            </w:r>
          </w:p>
        </w:tc>
      </w:tr>
      <w:tr w:rsidR="00BB67AF" w:rsidRPr="00645124" w:rsidTr="00897890">
        <w:trPr>
          <w:cantSplit/>
        </w:trPr>
        <w:tc>
          <w:tcPr>
            <w:tcW w:w="5387"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Advances repaid</w:t>
            </w:r>
          </w:p>
        </w:tc>
        <w:tc>
          <w:tcPr>
            <w:tcW w:w="84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c>
          <w:tcPr>
            <w:tcW w:w="1134"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c>
          <w:tcPr>
            <w:tcW w:w="1134"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(7)</w:t>
            </w:r>
          </w:p>
        </w:tc>
        <w:tc>
          <w:tcPr>
            <w:tcW w:w="1140"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(4)</w:t>
            </w:r>
          </w:p>
        </w:tc>
      </w:tr>
      <w:tr w:rsidR="00BB67AF" w:rsidRPr="00645124" w:rsidTr="00897890">
        <w:trPr>
          <w:cantSplit/>
        </w:trPr>
        <w:tc>
          <w:tcPr>
            <w:tcW w:w="5387"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vertAlign w:val="superscript"/>
                <w:lang w:eastAsia="en-AU"/>
              </w:rPr>
            </w:pPr>
            <w:r w:rsidRPr="00645124">
              <w:rPr>
                <w:rFonts w:ascii="Calibri" w:eastAsiaTheme="minorEastAsia" w:hAnsi="Calibri" w:cs="Calibri"/>
                <w:color w:val="000000"/>
                <w:sz w:val="17"/>
                <w:szCs w:val="17"/>
                <w:lang w:eastAsia="en-AU"/>
              </w:rPr>
              <w:t xml:space="preserve">Advances received (net) </w:t>
            </w:r>
            <w:r w:rsidRPr="00645124">
              <w:rPr>
                <w:rFonts w:ascii="Calibri" w:eastAsiaTheme="minorEastAsia" w:hAnsi="Calibri" w:cs="Calibri"/>
                <w:color w:val="000000"/>
                <w:sz w:val="17"/>
                <w:szCs w:val="17"/>
                <w:vertAlign w:val="superscript"/>
                <w:lang w:eastAsia="en-AU"/>
              </w:rPr>
              <w:t>(c)</w:t>
            </w:r>
          </w:p>
        </w:tc>
        <w:tc>
          <w:tcPr>
            <w:tcW w:w="84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c>
          <w:tcPr>
            <w:tcW w:w="1134"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w:t>
            </w:r>
          </w:p>
        </w:tc>
        <w:tc>
          <w:tcPr>
            <w:tcW w:w="1134"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(7)</w:t>
            </w:r>
          </w:p>
        </w:tc>
        <w:tc>
          <w:tcPr>
            <w:tcW w:w="1140"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9</w:t>
            </w:r>
          </w:p>
        </w:tc>
      </w:tr>
      <w:tr w:rsidR="00BB67AF" w:rsidRPr="00645124" w:rsidTr="00897890">
        <w:trPr>
          <w:cantSplit/>
        </w:trPr>
        <w:tc>
          <w:tcPr>
            <w:tcW w:w="538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Borrowings received</w:t>
            </w:r>
          </w:p>
        </w:tc>
        <w:tc>
          <w:tcPr>
            <w:tcW w:w="84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359</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236</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365</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1 279</w:t>
            </w:r>
          </w:p>
        </w:tc>
      </w:tr>
      <w:tr w:rsidR="00BB67AF" w:rsidRPr="00645124" w:rsidTr="00897890">
        <w:trPr>
          <w:cantSplit/>
        </w:trPr>
        <w:tc>
          <w:tcPr>
            <w:tcW w:w="5387"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Borrowings repaid</w:t>
            </w:r>
          </w:p>
        </w:tc>
        <w:tc>
          <w:tcPr>
            <w:tcW w:w="84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(131)</w:t>
            </w:r>
          </w:p>
        </w:tc>
        <w:tc>
          <w:tcPr>
            <w:tcW w:w="1134"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(173)</w:t>
            </w:r>
          </w:p>
        </w:tc>
        <w:tc>
          <w:tcPr>
            <w:tcW w:w="1134"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(409)</w:t>
            </w:r>
          </w:p>
        </w:tc>
        <w:tc>
          <w:tcPr>
            <w:tcW w:w="1140"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(1 193)</w:t>
            </w:r>
          </w:p>
        </w:tc>
      </w:tr>
      <w:tr w:rsidR="00BB67AF" w:rsidRPr="00645124" w:rsidTr="00897890">
        <w:trPr>
          <w:cantSplit/>
        </w:trPr>
        <w:tc>
          <w:tcPr>
            <w:tcW w:w="5387"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vertAlign w:val="superscript"/>
                <w:lang w:eastAsia="en-AU"/>
              </w:rPr>
            </w:pPr>
            <w:r w:rsidRPr="00645124">
              <w:rPr>
                <w:rFonts w:ascii="Calibri" w:eastAsiaTheme="minorEastAsia" w:hAnsi="Calibri" w:cs="Calibri"/>
                <w:color w:val="000000"/>
                <w:sz w:val="17"/>
                <w:szCs w:val="17"/>
                <w:lang w:eastAsia="en-AU"/>
              </w:rPr>
              <w:t xml:space="preserve">Net borrowings </w:t>
            </w:r>
            <w:r w:rsidRPr="00645124">
              <w:rPr>
                <w:rFonts w:ascii="Calibri" w:eastAsiaTheme="minorEastAsia" w:hAnsi="Calibri" w:cs="Calibri"/>
                <w:color w:val="000000"/>
                <w:sz w:val="17"/>
                <w:szCs w:val="17"/>
                <w:vertAlign w:val="superscript"/>
                <w:lang w:eastAsia="en-AU"/>
              </w:rPr>
              <w:t>(c)</w:t>
            </w:r>
          </w:p>
        </w:tc>
        <w:tc>
          <w:tcPr>
            <w:tcW w:w="84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229</w:t>
            </w:r>
          </w:p>
        </w:tc>
        <w:tc>
          <w:tcPr>
            <w:tcW w:w="1134"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62</w:t>
            </w:r>
          </w:p>
        </w:tc>
        <w:tc>
          <w:tcPr>
            <w:tcW w:w="1134"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(44)</w:t>
            </w:r>
          </w:p>
        </w:tc>
        <w:tc>
          <w:tcPr>
            <w:tcW w:w="1140"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86</w:t>
            </w:r>
          </w:p>
        </w:tc>
      </w:tr>
      <w:tr w:rsidR="00BB67AF" w:rsidRPr="00645124" w:rsidTr="00897890">
        <w:trPr>
          <w:cantSplit/>
        </w:trPr>
        <w:tc>
          <w:tcPr>
            <w:tcW w:w="538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vertAlign w:val="superscript"/>
                <w:lang w:eastAsia="en-AU"/>
              </w:rPr>
            </w:pPr>
            <w:r w:rsidRPr="00645124">
              <w:rPr>
                <w:rFonts w:ascii="Calibri" w:eastAsiaTheme="minorEastAsia" w:hAnsi="Calibri" w:cs="Calibri"/>
                <w:color w:val="000000"/>
                <w:sz w:val="17"/>
                <w:szCs w:val="17"/>
                <w:lang w:eastAsia="en-AU"/>
              </w:rPr>
              <w:t xml:space="preserve">Deposits received </w:t>
            </w:r>
          </w:p>
        </w:tc>
        <w:tc>
          <w:tcPr>
            <w:tcW w:w="84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162</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153</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132</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65</w:t>
            </w:r>
          </w:p>
        </w:tc>
      </w:tr>
      <w:tr w:rsidR="00BB67AF" w:rsidRPr="00645124" w:rsidTr="00897890">
        <w:trPr>
          <w:cantSplit/>
        </w:trPr>
        <w:tc>
          <w:tcPr>
            <w:tcW w:w="5387"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vertAlign w:val="superscript"/>
                <w:lang w:eastAsia="en-AU"/>
              </w:rPr>
            </w:pPr>
            <w:r w:rsidRPr="00645124">
              <w:rPr>
                <w:rFonts w:ascii="Calibri" w:eastAsiaTheme="minorEastAsia" w:hAnsi="Calibri" w:cs="Calibri"/>
                <w:color w:val="000000"/>
                <w:sz w:val="17"/>
                <w:szCs w:val="17"/>
                <w:lang w:eastAsia="en-AU"/>
              </w:rPr>
              <w:t xml:space="preserve">Deposits paid </w:t>
            </w:r>
          </w:p>
        </w:tc>
        <w:tc>
          <w:tcPr>
            <w:tcW w:w="84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(194)</w:t>
            </w:r>
          </w:p>
        </w:tc>
        <w:tc>
          <w:tcPr>
            <w:tcW w:w="1134"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(157)</w:t>
            </w:r>
          </w:p>
        </w:tc>
        <w:tc>
          <w:tcPr>
            <w:tcW w:w="1134"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(130)</w:t>
            </w:r>
          </w:p>
        </w:tc>
        <w:tc>
          <w:tcPr>
            <w:tcW w:w="1140"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(37)</w:t>
            </w:r>
          </w:p>
        </w:tc>
      </w:tr>
      <w:tr w:rsidR="00BB67AF" w:rsidRPr="00645124" w:rsidTr="00897890">
        <w:trPr>
          <w:cantSplit/>
        </w:trPr>
        <w:tc>
          <w:tcPr>
            <w:tcW w:w="5387"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vertAlign w:val="superscript"/>
                <w:lang w:eastAsia="en-AU"/>
              </w:rPr>
            </w:pPr>
            <w:r w:rsidRPr="00645124">
              <w:rPr>
                <w:rFonts w:ascii="Calibri" w:eastAsiaTheme="minorEastAsia" w:hAnsi="Calibri" w:cs="Calibri"/>
                <w:color w:val="000000"/>
                <w:sz w:val="17"/>
                <w:szCs w:val="17"/>
                <w:lang w:eastAsia="en-AU"/>
              </w:rPr>
              <w:t xml:space="preserve">Deposits received (net) </w:t>
            </w:r>
            <w:r w:rsidRPr="00645124">
              <w:rPr>
                <w:rFonts w:ascii="Calibri" w:eastAsiaTheme="minorEastAsia" w:hAnsi="Calibri" w:cs="Calibri"/>
                <w:color w:val="000000"/>
                <w:sz w:val="17"/>
                <w:szCs w:val="17"/>
                <w:vertAlign w:val="superscript"/>
                <w:lang w:eastAsia="en-AU"/>
              </w:rPr>
              <w:t>(c)</w:t>
            </w:r>
          </w:p>
        </w:tc>
        <w:tc>
          <w:tcPr>
            <w:tcW w:w="84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(32)</w:t>
            </w:r>
          </w:p>
        </w:tc>
        <w:tc>
          <w:tcPr>
            <w:tcW w:w="1134"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w:t>
            </w:r>
          </w:p>
        </w:tc>
        <w:tc>
          <w:tcPr>
            <w:tcW w:w="1134"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w:t>
            </w:r>
          </w:p>
        </w:tc>
        <w:tc>
          <w:tcPr>
            <w:tcW w:w="1140"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29</w:t>
            </w:r>
          </w:p>
        </w:tc>
      </w:tr>
      <w:tr w:rsidR="00BB67AF" w:rsidRPr="00645124" w:rsidTr="00897890">
        <w:trPr>
          <w:cantSplit/>
        </w:trPr>
        <w:tc>
          <w:tcPr>
            <w:tcW w:w="538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Other financing inflows</w:t>
            </w:r>
          </w:p>
        </w:tc>
        <w:tc>
          <w:tcPr>
            <w:tcW w:w="84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216</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361</w:t>
            </w:r>
          </w:p>
        </w:tc>
      </w:tr>
      <w:tr w:rsidR="00BB67AF" w:rsidRPr="00645124" w:rsidTr="00897890">
        <w:trPr>
          <w:cantSplit/>
        </w:trPr>
        <w:tc>
          <w:tcPr>
            <w:tcW w:w="5387"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Other financing outflows</w:t>
            </w:r>
          </w:p>
        </w:tc>
        <w:tc>
          <w:tcPr>
            <w:tcW w:w="84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c>
          <w:tcPr>
            <w:tcW w:w="1134"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c>
          <w:tcPr>
            <w:tcW w:w="1134"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(117)</w:t>
            </w:r>
          </w:p>
        </w:tc>
        <w:tc>
          <w:tcPr>
            <w:tcW w:w="1140"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(197)</w:t>
            </w:r>
          </w:p>
        </w:tc>
      </w:tr>
      <w:tr w:rsidR="00BB67AF" w:rsidRPr="00645124" w:rsidTr="00897890">
        <w:trPr>
          <w:cantSplit/>
        </w:trPr>
        <w:tc>
          <w:tcPr>
            <w:tcW w:w="5387" w:type="dxa"/>
            <w:gridSpan w:val="2"/>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vertAlign w:val="superscript"/>
                <w:lang w:eastAsia="en-AU"/>
              </w:rPr>
            </w:pPr>
            <w:r w:rsidRPr="00645124">
              <w:rPr>
                <w:rFonts w:ascii="Calibri" w:eastAsiaTheme="minorEastAsia" w:hAnsi="Calibri" w:cs="Calibri"/>
                <w:color w:val="000000"/>
                <w:sz w:val="17"/>
                <w:szCs w:val="17"/>
                <w:lang w:eastAsia="en-AU"/>
              </w:rPr>
              <w:t xml:space="preserve">Other financing (net) </w:t>
            </w:r>
            <w:r w:rsidRPr="00645124">
              <w:rPr>
                <w:rFonts w:ascii="Calibri" w:eastAsiaTheme="minorEastAsia" w:hAnsi="Calibri" w:cs="Calibri"/>
                <w:color w:val="000000"/>
                <w:sz w:val="17"/>
                <w:szCs w:val="17"/>
                <w:vertAlign w:val="superscript"/>
                <w:lang w:eastAsia="en-AU"/>
              </w:rPr>
              <w:t>(c)</w:t>
            </w:r>
          </w:p>
        </w:tc>
        <w:tc>
          <w:tcPr>
            <w:tcW w:w="844" w:type="dxa"/>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c>
          <w:tcPr>
            <w:tcW w:w="1134" w:type="dxa"/>
            <w:gridSpan w:val="2"/>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c>
          <w:tcPr>
            <w:tcW w:w="1134" w:type="dxa"/>
            <w:gridSpan w:val="2"/>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98</w:t>
            </w:r>
          </w:p>
        </w:tc>
        <w:tc>
          <w:tcPr>
            <w:tcW w:w="1140" w:type="dxa"/>
            <w:gridSpan w:val="2"/>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164</w:t>
            </w:r>
          </w:p>
        </w:tc>
      </w:tr>
      <w:tr w:rsidR="00BB67AF" w:rsidRPr="00645124" w:rsidTr="00897890">
        <w:trPr>
          <w:cantSplit/>
        </w:trPr>
        <w:tc>
          <w:tcPr>
            <w:tcW w:w="5387" w:type="dxa"/>
            <w:gridSpan w:val="2"/>
            <w:tcBorders>
              <w:top w:val="single" w:sz="6" w:space="0" w:color="auto"/>
              <w:left w:val="nil"/>
              <w:bottom w:val="single" w:sz="6" w:space="0" w:color="auto"/>
              <w:right w:val="nil"/>
            </w:tcBorders>
            <w:shd w:val="clear" w:color="000000"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Net cash flows from financing activities</w:t>
            </w:r>
          </w:p>
        </w:tc>
        <w:tc>
          <w:tcPr>
            <w:tcW w:w="844" w:type="dxa"/>
            <w:tcBorders>
              <w:top w:val="single" w:sz="6" w:space="0" w:color="auto"/>
              <w:left w:val="nil"/>
              <w:bottom w:val="single" w:sz="6" w:space="0" w:color="auto"/>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196</w:t>
            </w:r>
          </w:p>
        </w:tc>
        <w:tc>
          <w:tcPr>
            <w:tcW w:w="1134" w:type="dxa"/>
            <w:gridSpan w:val="2"/>
            <w:tcBorders>
              <w:top w:val="single" w:sz="6" w:space="0" w:color="auto"/>
              <w:left w:val="nil"/>
              <w:bottom w:val="single" w:sz="6" w:space="0" w:color="auto"/>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60</w:t>
            </w:r>
          </w:p>
        </w:tc>
        <w:tc>
          <w:tcPr>
            <w:tcW w:w="1134" w:type="dxa"/>
            <w:gridSpan w:val="2"/>
            <w:tcBorders>
              <w:top w:val="single" w:sz="6" w:space="0" w:color="auto"/>
              <w:left w:val="nil"/>
              <w:bottom w:val="single" w:sz="6" w:space="0" w:color="auto"/>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50</w:t>
            </w:r>
          </w:p>
        </w:tc>
        <w:tc>
          <w:tcPr>
            <w:tcW w:w="1140" w:type="dxa"/>
            <w:gridSpan w:val="2"/>
            <w:tcBorders>
              <w:top w:val="single" w:sz="6" w:space="0" w:color="auto"/>
              <w:left w:val="nil"/>
              <w:bottom w:val="single" w:sz="6" w:space="0" w:color="auto"/>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287</w:t>
            </w:r>
          </w:p>
        </w:tc>
      </w:tr>
      <w:tr w:rsidR="00BB67AF" w:rsidRPr="00645124" w:rsidTr="00897890">
        <w:trPr>
          <w:cantSplit/>
        </w:trPr>
        <w:tc>
          <w:tcPr>
            <w:tcW w:w="5387" w:type="dxa"/>
            <w:gridSpan w:val="2"/>
            <w:tcBorders>
              <w:top w:val="single" w:sz="6" w:space="0" w:color="auto"/>
              <w:left w:val="nil"/>
              <w:right w:val="nil"/>
            </w:tcBorders>
            <w:shd w:val="clear" w:color="000000"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Net increase/(decrease) in cash and cash equivalents</w:t>
            </w:r>
          </w:p>
        </w:tc>
        <w:tc>
          <w:tcPr>
            <w:tcW w:w="844" w:type="dxa"/>
            <w:tcBorders>
              <w:top w:val="single" w:sz="6" w:space="0" w:color="auto"/>
              <w:left w:val="nil"/>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(169)</w:t>
            </w:r>
          </w:p>
        </w:tc>
        <w:tc>
          <w:tcPr>
            <w:tcW w:w="1134" w:type="dxa"/>
            <w:gridSpan w:val="2"/>
            <w:tcBorders>
              <w:top w:val="single" w:sz="6" w:space="0" w:color="auto"/>
              <w:left w:val="nil"/>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(876)</w:t>
            </w:r>
          </w:p>
        </w:tc>
        <w:tc>
          <w:tcPr>
            <w:tcW w:w="1134" w:type="dxa"/>
            <w:gridSpan w:val="2"/>
            <w:tcBorders>
              <w:top w:val="single" w:sz="6" w:space="0" w:color="auto"/>
              <w:left w:val="nil"/>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(253)</w:t>
            </w:r>
          </w:p>
        </w:tc>
        <w:tc>
          <w:tcPr>
            <w:tcW w:w="1140" w:type="dxa"/>
            <w:gridSpan w:val="2"/>
            <w:tcBorders>
              <w:top w:val="single" w:sz="6" w:space="0" w:color="auto"/>
              <w:left w:val="nil"/>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37</w:t>
            </w:r>
          </w:p>
        </w:tc>
      </w:tr>
      <w:tr w:rsidR="00BB67AF" w:rsidRPr="00645124" w:rsidTr="00897890">
        <w:trPr>
          <w:cantSplit/>
        </w:trPr>
        <w:tc>
          <w:tcPr>
            <w:tcW w:w="5387" w:type="dxa"/>
            <w:gridSpan w:val="2"/>
            <w:tcBorders>
              <w:top w:val="nil"/>
              <w:left w:val="nil"/>
              <w:bottom w:val="single" w:sz="6" w:space="0" w:color="auto"/>
              <w:right w:val="nil"/>
            </w:tcBorders>
            <w:shd w:val="solid" w:color="FFFFFF"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Cash and cash equivalents at beginning of reporting period </w:t>
            </w:r>
          </w:p>
        </w:tc>
        <w:tc>
          <w:tcPr>
            <w:tcW w:w="844" w:type="dxa"/>
            <w:tcBorders>
              <w:top w:val="nil"/>
              <w:left w:val="nil"/>
              <w:bottom w:val="single" w:sz="6" w:space="0" w:color="auto"/>
              <w:right w:val="nil"/>
            </w:tcBorders>
            <w:shd w:val="solid" w:color="FFFFFF"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4 282</w:t>
            </w:r>
          </w:p>
        </w:tc>
        <w:tc>
          <w:tcPr>
            <w:tcW w:w="1134" w:type="dxa"/>
            <w:gridSpan w:val="2"/>
            <w:tcBorders>
              <w:top w:val="nil"/>
              <w:left w:val="nil"/>
              <w:bottom w:val="single" w:sz="6" w:space="0" w:color="auto"/>
              <w:right w:val="nil"/>
            </w:tcBorders>
            <w:shd w:val="solid" w:color="FFFFFF"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4 582</w:t>
            </w:r>
          </w:p>
        </w:tc>
        <w:tc>
          <w:tcPr>
            <w:tcW w:w="1134" w:type="dxa"/>
            <w:gridSpan w:val="2"/>
            <w:tcBorders>
              <w:top w:val="nil"/>
              <w:left w:val="nil"/>
              <w:bottom w:val="single" w:sz="6" w:space="0" w:color="auto"/>
              <w:right w:val="nil"/>
            </w:tcBorders>
            <w:shd w:val="solid" w:color="FFFFFF"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1 092</w:t>
            </w:r>
          </w:p>
        </w:tc>
        <w:tc>
          <w:tcPr>
            <w:tcW w:w="1140" w:type="dxa"/>
            <w:gridSpan w:val="2"/>
            <w:tcBorders>
              <w:top w:val="nil"/>
              <w:left w:val="nil"/>
              <w:bottom w:val="single" w:sz="6" w:space="0" w:color="auto"/>
              <w:right w:val="nil"/>
            </w:tcBorders>
            <w:shd w:val="solid" w:color="FFFFFF"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984</w:t>
            </w:r>
          </w:p>
        </w:tc>
      </w:tr>
      <w:tr w:rsidR="00BB67AF" w:rsidRPr="00645124" w:rsidTr="00897890">
        <w:trPr>
          <w:cantSplit/>
        </w:trPr>
        <w:tc>
          <w:tcPr>
            <w:tcW w:w="5387" w:type="dxa"/>
            <w:gridSpan w:val="2"/>
            <w:tcBorders>
              <w:top w:val="single" w:sz="6" w:space="0" w:color="auto"/>
              <w:left w:val="nil"/>
              <w:bottom w:val="single" w:sz="12" w:space="0" w:color="auto"/>
              <w:right w:val="nil"/>
            </w:tcBorders>
            <w:shd w:val="clear" w:color="000000"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Cash and cash equival</w:t>
            </w:r>
            <w:r w:rsidR="00897890" w:rsidRPr="00645124">
              <w:rPr>
                <w:rFonts w:ascii="Calibri" w:eastAsiaTheme="minorEastAsia" w:hAnsi="Calibri" w:cs="Calibri"/>
                <w:b/>
                <w:bCs/>
                <w:color w:val="000000"/>
                <w:sz w:val="17"/>
                <w:szCs w:val="17"/>
                <w:lang w:eastAsia="en-AU"/>
              </w:rPr>
              <w:t>ents at end of reporting period</w:t>
            </w:r>
          </w:p>
        </w:tc>
        <w:tc>
          <w:tcPr>
            <w:tcW w:w="844" w:type="dxa"/>
            <w:tcBorders>
              <w:top w:val="single" w:sz="6" w:space="0" w:color="auto"/>
              <w:left w:val="nil"/>
              <w:bottom w:val="single" w:sz="12" w:space="0" w:color="auto"/>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4 112</w:t>
            </w:r>
          </w:p>
        </w:tc>
        <w:tc>
          <w:tcPr>
            <w:tcW w:w="1134" w:type="dxa"/>
            <w:gridSpan w:val="2"/>
            <w:tcBorders>
              <w:top w:val="single" w:sz="6" w:space="0" w:color="auto"/>
              <w:left w:val="nil"/>
              <w:bottom w:val="single" w:sz="12" w:space="0" w:color="auto"/>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3 707</w:t>
            </w:r>
          </w:p>
        </w:tc>
        <w:tc>
          <w:tcPr>
            <w:tcW w:w="1134" w:type="dxa"/>
            <w:gridSpan w:val="2"/>
            <w:tcBorders>
              <w:top w:val="single" w:sz="6" w:space="0" w:color="auto"/>
              <w:left w:val="nil"/>
              <w:bottom w:val="single" w:sz="12" w:space="0" w:color="auto"/>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839</w:t>
            </w:r>
          </w:p>
        </w:tc>
        <w:tc>
          <w:tcPr>
            <w:tcW w:w="1140" w:type="dxa"/>
            <w:gridSpan w:val="2"/>
            <w:tcBorders>
              <w:top w:val="single" w:sz="6" w:space="0" w:color="auto"/>
              <w:left w:val="nil"/>
              <w:bottom w:val="single" w:sz="12" w:space="0" w:color="auto"/>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1 021</w:t>
            </w:r>
          </w:p>
        </w:tc>
      </w:tr>
      <w:tr w:rsidR="00BB67AF" w:rsidRPr="00645124" w:rsidTr="00897890">
        <w:trPr>
          <w:cantSplit/>
          <w:trHeight w:hRule="exact" w:val="120"/>
        </w:trPr>
        <w:tc>
          <w:tcPr>
            <w:tcW w:w="5387" w:type="dxa"/>
            <w:gridSpan w:val="2"/>
            <w:tcBorders>
              <w:top w:val="single" w:sz="12" w:space="0" w:color="auto"/>
              <w:left w:val="nil"/>
              <w:right w:val="nil"/>
            </w:tcBorders>
            <w:shd w:val="clear" w:color="000000"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i/>
                <w:iCs/>
                <w:color w:val="000000"/>
                <w:sz w:val="17"/>
                <w:szCs w:val="17"/>
                <w:lang w:eastAsia="en-AU"/>
              </w:rPr>
            </w:pPr>
            <w:r w:rsidRPr="00645124">
              <w:rPr>
                <w:rFonts w:ascii="Calibri" w:eastAsiaTheme="minorEastAsia" w:hAnsi="Calibri" w:cs="Calibri"/>
                <w:i/>
                <w:iCs/>
                <w:color w:val="000000"/>
                <w:sz w:val="17"/>
                <w:szCs w:val="17"/>
                <w:lang w:eastAsia="en-AU"/>
              </w:rPr>
              <w:t xml:space="preserve"> </w:t>
            </w:r>
          </w:p>
        </w:tc>
        <w:tc>
          <w:tcPr>
            <w:tcW w:w="844" w:type="dxa"/>
            <w:tcBorders>
              <w:top w:val="single" w:sz="12" w:space="0" w:color="auto"/>
              <w:left w:val="nil"/>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i/>
                <w:iCs/>
                <w:color w:val="000000"/>
                <w:sz w:val="17"/>
                <w:szCs w:val="17"/>
                <w:lang w:eastAsia="en-AU"/>
              </w:rPr>
            </w:pPr>
            <w:r w:rsidRPr="00645124">
              <w:rPr>
                <w:rFonts w:ascii="Calibri" w:eastAsiaTheme="minorEastAsia" w:hAnsi="Calibri" w:cs="Calibri"/>
                <w:i/>
                <w:iCs/>
                <w:color w:val="000000"/>
                <w:sz w:val="17"/>
                <w:szCs w:val="17"/>
                <w:lang w:eastAsia="en-AU"/>
              </w:rPr>
              <w:t xml:space="preserve"> </w:t>
            </w:r>
          </w:p>
        </w:tc>
        <w:tc>
          <w:tcPr>
            <w:tcW w:w="1134" w:type="dxa"/>
            <w:gridSpan w:val="2"/>
            <w:tcBorders>
              <w:top w:val="single" w:sz="12" w:space="0" w:color="auto"/>
              <w:left w:val="nil"/>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 xml:space="preserve"> </w:t>
            </w:r>
          </w:p>
        </w:tc>
        <w:tc>
          <w:tcPr>
            <w:tcW w:w="1134" w:type="dxa"/>
            <w:gridSpan w:val="2"/>
            <w:tcBorders>
              <w:top w:val="single" w:sz="12" w:space="0" w:color="auto"/>
              <w:left w:val="nil"/>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i/>
                <w:iCs/>
                <w:color w:val="000000"/>
                <w:sz w:val="17"/>
                <w:szCs w:val="17"/>
                <w:lang w:eastAsia="en-AU"/>
              </w:rPr>
            </w:pPr>
            <w:r w:rsidRPr="00645124">
              <w:rPr>
                <w:rFonts w:ascii="Calibri" w:eastAsiaTheme="minorEastAsia" w:hAnsi="Calibri" w:cs="Calibri"/>
                <w:i/>
                <w:iCs/>
                <w:color w:val="000000"/>
                <w:sz w:val="17"/>
                <w:szCs w:val="17"/>
                <w:lang w:eastAsia="en-AU"/>
              </w:rPr>
              <w:t xml:space="preserve"> </w:t>
            </w:r>
          </w:p>
        </w:tc>
        <w:tc>
          <w:tcPr>
            <w:tcW w:w="1140" w:type="dxa"/>
            <w:gridSpan w:val="2"/>
            <w:tcBorders>
              <w:top w:val="single" w:sz="12" w:space="0" w:color="auto"/>
              <w:left w:val="nil"/>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 xml:space="preserve"> </w:t>
            </w:r>
          </w:p>
        </w:tc>
      </w:tr>
      <w:tr w:rsidR="00BB67AF" w:rsidRPr="00645124" w:rsidTr="00897890">
        <w:trPr>
          <w:cantSplit/>
        </w:trPr>
        <w:tc>
          <w:tcPr>
            <w:tcW w:w="538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FISCAL AGGREGATES</w:t>
            </w:r>
          </w:p>
        </w:tc>
        <w:tc>
          <w:tcPr>
            <w:tcW w:w="84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i/>
                <w:iCs/>
                <w:color w:val="000000"/>
                <w:sz w:val="17"/>
                <w:szCs w:val="17"/>
                <w:lang w:eastAsia="en-AU"/>
              </w:rPr>
            </w:pPr>
            <w:r w:rsidRPr="00645124">
              <w:rPr>
                <w:rFonts w:ascii="Calibri" w:eastAsiaTheme="minorEastAsia" w:hAnsi="Calibri" w:cs="Calibri"/>
                <w:i/>
                <w:iCs/>
                <w:color w:val="000000"/>
                <w:sz w:val="17"/>
                <w:szCs w:val="17"/>
                <w:lang w:eastAsia="en-AU"/>
              </w:rPr>
              <w:t xml:space="preserve"> </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 xml:space="preserve"> </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i/>
                <w:iCs/>
                <w:color w:val="000000"/>
                <w:sz w:val="17"/>
                <w:szCs w:val="17"/>
                <w:lang w:eastAsia="en-AU"/>
              </w:rPr>
            </w:pPr>
            <w:r w:rsidRPr="00645124">
              <w:rPr>
                <w:rFonts w:ascii="Calibri" w:eastAsiaTheme="minorEastAsia" w:hAnsi="Calibri" w:cs="Calibri"/>
                <w:i/>
                <w:iCs/>
                <w:color w:val="000000"/>
                <w:sz w:val="17"/>
                <w:szCs w:val="17"/>
                <w:lang w:eastAsia="en-AU"/>
              </w:rPr>
              <w:t xml:space="preserve"> </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 xml:space="preserve"> </w:t>
            </w:r>
          </w:p>
        </w:tc>
      </w:tr>
      <w:tr w:rsidR="00BB67AF" w:rsidRPr="00645124" w:rsidTr="00897890">
        <w:trPr>
          <w:cantSplit/>
        </w:trPr>
        <w:tc>
          <w:tcPr>
            <w:tcW w:w="538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Net cash flows from operating activities </w:t>
            </w:r>
          </w:p>
        </w:tc>
        <w:tc>
          <w:tcPr>
            <w:tcW w:w="84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1 821</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1 332</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820</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813</w:t>
            </w:r>
          </w:p>
        </w:tc>
      </w:tr>
      <w:tr w:rsidR="00BB67AF" w:rsidRPr="00645124" w:rsidTr="00897890">
        <w:trPr>
          <w:cantSplit/>
        </w:trPr>
        <w:tc>
          <w:tcPr>
            <w:tcW w:w="538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Dividends</w:t>
            </w:r>
          </w:p>
        </w:tc>
        <w:tc>
          <w:tcPr>
            <w:tcW w:w="84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(124)</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(105)</w:t>
            </w:r>
          </w:p>
        </w:tc>
      </w:tr>
      <w:tr w:rsidR="00BB67AF" w:rsidRPr="00645124" w:rsidTr="00897890">
        <w:trPr>
          <w:cantSplit/>
        </w:trPr>
        <w:tc>
          <w:tcPr>
            <w:tcW w:w="5387"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Net cash flows from investments in non</w:t>
            </w:r>
            <w:r w:rsidRPr="00645124">
              <w:rPr>
                <w:rFonts w:ascii="Calibri" w:eastAsiaTheme="minorEastAsia" w:hAnsi="Calibri" w:cs="Calibri"/>
                <w:color w:val="000000"/>
                <w:sz w:val="17"/>
                <w:szCs w:val="17"/>
                <w:lang w:eastAsia="en-AU"/>
              </w:rPr>
              <w:noBreakHyphen/>
              <w:t>financial assets</w:t>
            </w:r>
          </w:p>
        </w:tc>
        <w:tc>
          <w:tcPr>
            <w:tcW w:w="84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(1 964)</w:t>
            </w:r>
          </w:p>
        </w:tc>
        <w:tc>
          <w:tcPr>
            <w:tcW w:w="1134"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(1 996)</w:t>
            </w:r>
          </w:p>
        </w:tc>
        <w:tc>
          <w:tcPr>
            <w:tcW w:w="1134"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(984)</w:t>
            </w:r>
          </w:p>
        </w:tc>
        <w:tc>
          <w:tcPr>
            <w:tcW w:w="1140"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(1 001)</w:t>
            </w:r>
          </w:p>
        </w:tc>
      </w:tr>
      <w:tr w:rsidR="00BB67AF" w:rsidRPr="00645124" w:rsidTr="00897890">
        <w:trPr>
          <w:cantSplit/>
        </w:trPr>
        <w:tc>
          <w:tcPr>
            <w:tcW w:w="5387" w:type="dxa"/>
            <w:gridSpan w:val="2"/>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 xml:space="preserve">Cash surplus/(deficit) </w:t>
            </w:r>
          </w:p>
        </w:tc>
        <w:tc>
          <w:tcPr>
            <w:tcW w:w="844"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(142)</w:t>
            </w:r>
          </w:p>
        </w:tc>
        <w:tc>
          <w:tcPr>
            <w:tcW w:w="1134" w:type="dxa"/>
            <w:gridSpan w:val="2"/>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(663)</w:t>
            </w:r>
          </w:p>
        </w:tc>
        <w:tc>
          <w:tcPr>
            <w:tcW w:w="1134" w:type="dxa"/>
            <w:gridSpan w:val="2"/>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(287)</w:t>
            </w:r>
          </w:p>
        </w:tc>
        <w:tc>
          <w:tcPr>
            <w:tcW w:w="1140" w:type="dxa"/>
            <w:gridSpan w:val="2"/>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(293)</w:t>
            </w:r>
          </w:p>
        </w:tc>
      </w:tr>
    </w:tbl>
    <w:p w:rsidR="00BB67AF" w:rsidRDefault="00BB67AF" w:rsidP="003E6750">
      <w:pPr>
        <w:pStyle w:val="Notes"/>
      </w:pPr>
      <w:r>
        <w:t>Notes:</w:t>
      </w:r>
    </w:p>
    <w:p w:rsidR="00BB67AF" w:rsidRDefault="00BB67AF" w:rsidP="003E6750">
      <w:pPr>
        <w:pStyle w:val="Notes"/>
      </w:pPr>
      <w:r>
        <w:t>(a)</w:t>
      </w:r>
      <w:r>
        <w:tab/>
        <w:t xml:space="preserve">Certain December 2014 comparative figures have been restated to reflect more current information, mainly including adjustments outlined in Note 37 of the </w:t>
      </w:r>
      <w:r>
        <w:rPr>
          <w:i w:val="0"/>
        </w:rPr>
        <w:t>2014</w:t>
      </w:r>
      <w:r>
        <w:rPr>
          <w:i w:val="0"/>
        </w:rPr>
        <w:noBreakHyphen/>
        <w:t>15 Financial Report</w:t>
      </w:r>
      <w:r>
        <w:t>.</w:t>
      </w:r>
    </w:p>
    <w:p w:rsidR="00BB67AF" w:rsidRDefault="00BB67AF" w:rsidP="003E6750">
      <w:pPr>
        <w:pStyle w:val="Notes"/>
      </w:pPr>
      <w:r>
        <w:t>(b)</w:t>
      </w:r>
      <w:r>
        <w:tab/>
        <w:t>These items are inclusive of goods and services tax.</w:t>
      </w:r>
    </w:p>
    <w:p w:rsidR="00BB67AF" w:rsidRDefault="00BB67AF" w:rsidP="003E6750">
      <w:pPr>
        <w:pStyle w:val="Notes"/>
      </w:pPr>
      <w:r>
        <w:t>(c)</w:t>
      </w:r>
      <w:r>
        <w:tab/>
        <w:t>In accordance with AASB 107, Treasury Corporation of Victoria is not required to gross up their cash flow information for whole of government consolidation purposes. The net cash movements for Treasury Corporation of Victoria have been added to cash inflows or outflows for both six months ended 31 December 2015 and 31 December 2014.</w:t>
      </w:r>
    </w:p>
    <w:p w:rsidR="00BB67AF" w:rsidRPr="00C27862" w:rsidRDefault="00BB67AF" w:rsidP="003E6750">
      <w:pPr>
        <w:pStyle w:val="Heading2NotesContd"/>
      </w:pPr>
    </w:p>
    <w:p w:rsidR="00BB67AF" w:rsidRPr="00C27862" w:rsidRDefault="00BB67AF" w:rsidP="003E6750">
      <w:pPr>
        <w:pStyle w:val="Tableheading"/>
      </w:pPr>
    </w:p>
    <w:p w:rsidR="00BB67AF" w:rsidRPr="00C27862" w:rsidRDefault="00BB67AF" w:rsidP="003E6750">
      <w:pPr>
        <w:pStyle w:val="million"/>
        <w:rPr>
          <w:rFonts w:eastAsiaTheme="minorEastAsia"/>
          <w:lang w:val="en-US" w:eastAsia="en-AU"/>
        </w:rPr>
      </w:pPr>
    </w:p>
    <w:tbl>
      <w:tblPr>
        <w:tblW w:w="9639" w:type="dxa"/>
        <w:tblInd w:w="45" w:type="dxa"/>
        <w:tblLayout w:type="fixed"/>
        <w:tblCellMar>
          <w:left w:w="45" w:type="dxa"/>
          <w:right w:w="45" w:type="dxa"/>
        </w:tblCellMar>
        <w:tblLook w:val="0000" w:firstRow="0" w:lastRow="0" w:firstColumn="0" w:lastColumn="0" w:noHBand="0" w:noVBand="0"/>
      </w:tblPr>
      <w:tblGrid>
        <w:gridCol w:w="1604"/>
        <w:gridCol w:w="1604"/>
        <w:gridCol w:w="6"/>
        <w:gridCol w:w="1604"/>
        <w:gridCol w:w="1604"/>
        <w:gridCol w:w="6"/>
        <w:gridCol w:w="1598"/>
        <w:gridCol w:w="6"/>
        <w:gridCol w:w="1607"/>
      </w:tblGrid>
      <w:tr w:rsidR="00897890" w:rsidRPr="00645124" w:rsidTr="00AC25A6">
        <w:trPr>
          <w:tblHeader/>
        </w:trPr>
        <w:tc>
          <w:tcPr>
            <w:tcW w:w="3208" w:type="dxa"/>
            <w:gridSpan w:val="2"/>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17"/>
                <w:szCs w:val="17"/>
                <w:lang w:eastAsia="en-AU"/>
              </w:rPr>
            </w:pPr>
            <w:r w:rsidRPr="00645124">
              <w:rPr>
                <w:rFonts w:ascii="Calibri" w:eastAsiaTheme="minorEastAsia" w:hAnsi="Calibri" w:cs="Calibri"/>
                <w:i/>
                <w:iCs/>
                <w:color w:val="FFFFFF"/>
                <w:sz w:val="17"/>
                <w:szCs w:val="17"/>
                <w:lang w:eastAsia="en-AU"/>
              </w:rPr>
              <w:t xml:space="preserve">Public </w:t>
            </w:r>
            <w:r w:rsidRPr="00645124">
              <w:rPr>
                <w:rFonts w:ascii="Calibri" w:eastAsiaTheme="minorEastAsia" w:hAnsi="Calibri" w:cs="Calibri"/>
                <w:i/>
                <w:iCs/>
                <w:color w:val="FFFFFF"/>
                <w:sz w:val="17"/>
                <w:szCs w:val="17"/>
                <w:lang w:eastAsia="en-AU"/>
              </w:rPr>
              <w:br/>
              <w:t>financial corporations</w:t>
            </w:r>
          </w:p>
        </w:tc>
        <w:tc>
          <w:tcPr>
            <w:tcW w:w="3220" w:type="dxa"/>
            <w:gridSpan w:val="4"/>
            <w:tcBorders>
              <w:top w:val="nil"/>
              <w:left w:val="nil"/>
              <w:bottom w:val="nil"/>
              <w:right w:val="nil"/>
            </w:tcBorders>
            <w:shd w:val="solid" w:color="000000" w:fill="auto"/>
            <w:vAlign w:val="bottom"/>
          </w:tcPr>
          <w:p w:rsidR="00897890" w:rsidRPr="00645124" w:rsidRDefault="00897890" w:rsidP="003E6750">
            <w:pPr>
              <w:autoSpaceDE w:val="0"/>
              <w:autoSpaceDN w:val="0"/>
              <w:adjustRightInd w:val="0"/>
              <w:spacing w:after="0"/>
              <w:jc w:val="center"/>
              <w:rPr>
                <w:rFonts w:ascii="Calibri" w:eastAsiaTheme="minorEastAsia" w:hAnsi="Calibri" w:cs="Calibri"/>
                <w:i/>
                <w:iCs/>
                <w:color w:val="FFFFFF"/>
                <w:sz w:val="17"/>
                <w:szCs w:val="17"/>
                <w:lang w:eastAsia="en-AU"/>
              </w:rPr>
            </w:pPr>
            <w:r w:rsidRPr="00645124">
              <w:rPr>
                <w:rFonts w:ascii="Calibri" w:eastAsiaTheme="minorEastAsia" w:hAnsi="Calibri" w:cs="Calibri"/>
                <w:i/>
                <w:iCs/>
                <w:color w:val="FFFFFF"/>
                <w:sz w:val="17"/>
                <w:szCs w:val="17"/>
                <w:lang w:eastAsia="en-AU"/>
              </w:rPr>
              <w:t>Inter</w:t>
            </w:r>
            <w:r w:rsidRPr="00645124">
              <w:rPr>
                <w:rFonts w:ascii="Calibri" w:eastAsiaTheme="minorEastAsia" w:hAnsi="Calibri" w:cs="Calibri"/>
                <w:i/>
                <w:iCs/>
                <w:color w:val="FFFFFF"/>
                <w:sz w:val="17"/>
                <w:szCs w:val="17"/>
                <w:lang w:eastAsia="en-AU"/>
              </w:rPr>
              <w:noBreakHyphen/>
              <w:t>sector eliminations</w:t>
            </w:r>
          </w:p>
        </w:tc>
        <w:tc>
          <w:tcPr>
            <w:tcW w:w="3211" w:type="dxa"/>
            <w:gridSpan w:val="3"/>
            <w:tcBorders>
              <w:top w:val="nil"/>
              <w:left w:val="nil"/>
              <w:bottom w:val="nil"/>
              <w:right w:val="nil"/>
            </w:tcBorders>
            <w:shd w:val="solid" w:color="000000" w:fill="auto"/>
            <w:vAlign w:val="bottom"/>
          </w:tcPr>
          <w:p w:rsidR="00897890" w:rsidRPr="00645124" w:rsidRDefault="00897890" w:rsidP="003E6750">
            <w:pPr>
              <w:autoSpaceDE w:val="0"/>
              <w:autoSpaceDN w:val="0"/>
              <w:adjustRightInd w:val="0"/>
              <w:spacing w:after="0"/>
              <w:jc w:val="center"/>
              <w:rPr>
                <w:rFonts w:ascii="Calibri" w:eastAsiaTheme="minorEastAsia" w:hAnsi="Calibri" w:cs="Calibri"/>
                <w:i/>
                <w:iCs/>
                <w:color w:val="FFFFFF"/>
                <w:sz w:val="17"/>
                <w:szCs w:val="17"/>
                <w:lang w:eastAsia="en-AU"/>
              </w:rPr>
            </w:pPr>
            <w:r w:rsidRPr="00645124">
              <w:rPr>
                <w:rFonts w:ascii="Calibri" w:eastAsiaTheme="minorEastAsia" w:hAnsi="Calibri" w:cs="Calibri"/>
                <w:i/>
                <w:iCs/>
                <w:color w:val="FFFFFF"/>
                <w:sz w:val="17"/>
                <w:szCs w:val="17"/>
                <w:lang w:eastAsia="en-AU"/>
              </w:rPr>
              <w:t>State of Victoria</w:t>
            </w:r>
          </w:p>
        </w:tc>
      </w:tr>
      <w:tr w:rsidR="00BB67AF" w:rsidRPr="00645124" w:rsidTr="00AC25A6">
        <w:trPr>
          <w:tblHeader/>
        </w:trPr>
        <w:tc>
          <w:tcPr>
            <w:tcW w:w="160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17"/>
                <w:szCs w:val="17"/>
                <w:lang w:eastAsia="en-AU"/>
              </w:rPr>
            </w:pPr>
            <w:r w:rsidRPr="00645124">
              <w:rPr>
                <w:rFonts w:ascii="Calibri" w:eastAsiaTheme="minorEastAsia" w:hAnsi="Calibri" w:cs="Calibri"/>
                <w:i/>
                <w:iCs/>
                <w:color w:val="FFFFFF"/>
                <w:sz w:val="17"/>
                <w:szCs w:val="17"/>
                <w:lang w:eastAsia="en-AU"/>
              </w:rPr>
              <w:t>2015</w:t>
            </w:r>
          </w:p>
        </w:tc>
        <w:tc>
          <w:tcPr>
            <w:tcW w:w="1610" w:type="dxa"/>
            <w:gridSpan w:val="2"/>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17"/>
                <w:szCs w:val="17"/>
                <w:vertAlign w:val="superscript"/>
                <w:lang w:eastAsia="en-AU"/>
              </w:rPr>
            </w:pPr>
            <w:r w:rsidRPr="00645124">
              <w:rPr>
                <w:rFonts w:ascii="Calibri" w:eastAsiaTheme="minorEastAsia" w:hAnsi="Calibri" w:cs="Calibri"/>
                <w:i/>
                <w:iCs/>
                <w:color w:val="FFFFFF"/>
                <w:sz w:val="17"/>
                <w:szCs w:val="17"/>
                <w:lang w:eastAsia="en-AU"/>
              </w:rPr>
              <w:t xml:space="preserve">2014 </w:t>
            </w:r>
            <w:r w:rsidRPr="00645124">
              <w:rPr>
                <w:rFonts w:ascii="Calibri" w:eastAsiaTheme="minorEastAsia" w:hAnsi="Calibri" w:cs="Calibri"/>
                <w:i/>
                <w:iCs/>
                <w:color w:val="FFFFFF"/>
                <w:sz w:val="17"/>
                <w:szCs w:val="17"/>
                <w:vertAlign w:val="superscript"/>
                <w:lang w:eastAsia="en-AU"/>
              </w:rPr>
              <w:t>(a)</w:t>
            </w:r>
          </w:p>
        </w:tc>
        <w:tc>
          <w:tcPr>
            <w:tcW w:w="160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17"/>
                <w:szCs w:val="17"/>
                <w:lang w:eastAsia="en-AU"/>
              </w:rPr>
            </w:pPr>
            <w:r w:rsidRPr="00645124">
              <w:rPr>
                <w:rFonts w:ascii="Calibri" w:eastAsiaTheme="minorEastAsia" w:hAnsi="Calibri" w:cs="Calibri"/>
                <w:i/>
                <w:iCs/>
                <w:color w:val="FFFFFF"/>
                <w:sz w:val="17"/>
                <w:szCs w:val="17"/>
                <w:lang w:eastAsia="en-AU"/>
              </w:rPr>
              <w:t>2015</w:t>
            </w:r>
          </w:p>
        </w:tc>
        <w:tc>
          <w:tcPr>
            <w:tcW w:w="160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17"/>
                <w:szCs w:val="17"/>
                <w:vertAlign w:val="superscript"/>
                <w:lang w:eastAsia="en-AU"/>
              </w:rPr>
            </w:pPr>
            <w:r w:rsidRPr="00645124">
              <w:rPr>
                <w:rFonts w:ascii="Calibri" w:eastAsiaTheme="minorEastAsia" w:hAnsi="Calibri" w:cs="Calibri"/>
                <w:i/>
                <w:iCs/>
                <w:color w:val="FFFFFF"/>
                <w:sz w:val="17"/>
                <w:szCs w:val="17"/>
                <w:lang w:eastAsia="en-AU"/>
              </w:rPr>
              <w:t xml:space="preserve">2014 </w:t>
            </w:r>
            <w:r w:rsidRPr="00645124">
              <w:rPr>
                <w:rFonts w:ascii="Calibri" w:eastAsiaTheme="minorEastAsia" w:hAnsi="Calibri" w:cs="Calibri"/>
                <w:i/>
                <w:iCs/>
                <w:color w:val="FFFFFF"/>
                <w:sz w:val="17"/>
                <w:szCs w:val="17"/>
                <w:vertAlign w:val="superscript"/>
                <w:lang w:eastAsia="en-AU"/>
              </w:rPr>
              <w:t>(a)</w:t>
            </w:r>
          </w:p>
        </w:tc>
        <w:tc>
          <w:tcPr>
            <w:tcW w:w="1604" w:type="dxa"/>
            <w:gridSpan w:val="2"/>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17"/>
                <w:szCs w:val="17"/>
                <w:lang w:eastAsia="en-AU"/>
              </w:rPr>
            </w:pPr>
            <w:r w:rsidRPr="00645124">
              <w:rPr>
                <w:rFonts w:ascii="Calibri" w:eastAsiaTheme="minorEastAsia" w:hAnsi="Calibri" w:cs="Calibri"/>
                <w:i/>
                <w:iCs/>
                <w:color w:val="FFFFFF"/>
                <w:sz w:val="17"/>
                <w:szCs w:val="17"/>
                <w:lang w:eastAsia="en-AU"/>
              </w:rPr>
              <w:t>2015</w:t>
            </w:r>
          </w:p>
        </w:tc>
        <w:tc>
          <w:tcPr>
            <w:tcW w:w="1613" w:type="dxa"/>
            <w:gridSpan w:val="2"/>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17"/>
                <w:szCs w:val="17"/>
                <w:vertAlign w:val="superscript"/>
                <w:lang w:eastAsia="en-AU"/>
              </w:rPr>
            </w:pPr>
            <w:r w:rsidRPr="00645124">
              <w:rPr>
                <w:rFonts w:ascii="Calibri" w:eastAsiaTheme="minorEastAsia" w:hAnsi="Calibri" w:cs="Calibri"/>
                <w:i/>
                <w:iCs/>
                <w:color w:val="FFFFFF"/>
                <w:sz w:val="17"/>
                <w:szCs w:val="17"/>
                <w:lang w:eastAsia="en-AU"/>
              </w:rPr>
              <w:t xml:space="preserve">2014 </w:t>
            </w:r>
            <w:r w:rsidRPr="00645124">
              <w:rPr>
                <w:rFonts w:ascii="Calibri" w:eastAsiaTheme="minorEastAsia" w:hAnsi="Calibri" w:cs="Calibri"/>
                <w:i/>
                <w:iCs/>
                <w:color w:val="FFFFFF"/>
                <w:sz w:val="17"/>
                <w:szCs w:val="17"/>
                <w:vertAlign w:val="superscript"/>
                <w:lang w:eastAsia="en-AU"/>
              </w:rPr>
              <w:t>(a)</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i/>
                <w:iCs/>
                <w:color w:val="000000"/>
                <w:sz w:val="17"/>
                <w:szCs w:val="17"/>
                <w:lang w:eastAsia="en-AU"/>
              </w:rPr>
            </w:pPr>
            <w:r w:rsidRPr="00645124">
              <w:rPr>
                <w:rFonts w:ascii="Calibri" w:eastAsiaTheme="minorEastAsia" w:hAnsi="Calibri" w:cs="Calibri"/>
                <w:i/>
                <w:iCs/>
                <w:color w:val="000000"/>
                <w:sz w:val="17"/>
                <w:szCs w:val="17"/>
                <w:lang w:eastAsia="en-AU"/>
              </w:rPr>
              <w:t xml:space="preserve"> </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i/>
                <w:iCs/>
                <w:color w:val="000000"/>
                <w:sz w:val="17"/>
                <w:szCs w:val="17"/>
                <w:lang w:eastAsia="en-AU"/>
              </w:rPr>
            </w:pPr>
            <w:r w:rsidRPr="00645124">
              <w:rPr>
                <w:rFonts w:ascii="Calibri" w:eastAsiaTheme="minorEastAsia" w:hAnsi="Calibri" w:cs="Calibri"/>
                <w:i/>
                <w:iCs/>
                <w:color w:val="000000"/>
                <w:sz w:val="17"/>
                <w:szCs w:val="17"/>
                <w:lang w:eastAsia="en-AU"/>
              </w:rPr>
              <w:t xml:space="preserve"> </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i/>
                <w:iCs/>
                <w:color w:val="000000"/>
                <w:sz w:val="17"/>
                <w:szCs w:val="17"/>
                <w:lang w:eastAsia="en-AU"/>
              </w:rPr>
            </w:pPr>
            <w:r w:rsidRPr="00645124">
              <w:rPr>
                <w:rFonts w:ascii="Calibri" w:eastAsiaTheme="minorEastAsia" w:hAnsi="Calibri" w:cs="Calibri"/>
                <w:i/>
                <w:iCs/>
                <w:color w:val="000000"/>
                <w:sz w:val="17"/>
                <w:szCs w:val="17"/>
                <w:lang w:eastAsia="en-AU"/>
              </w:rPr>
              <w:t xml:space="preserve"> </w:t>
            </w:r>
          </w:p>
        </w:tc>
        <w:tc>
          <w:tcPr>
            <w:tcW w:w="160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i/>
                <w:iCs/>
                <w:color w:val="000000"/>
                <w:sz w:val="17"/>
                <w:szCs w:val="17"/>
                <w:lang w:eastAsia="en-AU"/>
              </w:rPr>
            </w:pPr>
            <w:r w:rsidRPr="00645124">
              <w:rPr>
                <w:rFonts w:ascii="Calibri" w:eastAsiaTheme="minorEastAsia" w:hAnsi="Calibri" w:cs="Calibri"/>
                <w:i/>
                <w:iCs/>
                <w:color w:val="000000"/>
                <w:sz w:val="17"/>
                <w:szCs w:val="17"/>
                <w:lang w:eastAsia="en-AU"/>
              </w:rPr>
              <w:t xml:space="preserve"> </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i/>
                <w:iCs/>
                <w:color w:val="000000"/>
                <w:sz w:val="17"/>
                <w:szCs w:val="17"/>
                <w:lang w:eastAsia="en-AU"/>
              </w:rPr>
            </w:pPr>
            <w:r w:rsidRPr="00645124">
              <w:rPr>
                <w:rFonts w:ascii="Calibri" w:eastAsiaTheme="minorEastAsia" w:hAnsi="Calibri" w:cs="Calibri"/>
                <w:i/>
                <w:iCs/>
                <w:color w:val="000000"/>
                <w:sz w:val="17"/>
                <w:szCs w:val="17"/>
                <w:lang w:eastAsia="en-AU"/>
              </w:rPr>
              <w:t xml:space="preserve"> </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i/>
                <w:iCs/>
                <w:color w:val="000000"/>
                <w:sz w:val="17"/>
                <w:szCs w:val="17"/>
                <w:lang w:eastAsia="en-AU"/>
              </w:rPr>
            </w:pPr>
            <w:r w:rsidRPr="00645124">
              <w:rPr>
                <w:rFonts w:ascii="Calibri" w:eastAsiaTheme="minorEastAsia" w:hAnsi="Calibri" w:cs="Calibri"/>
                <w:i/>
                <w:iCs/>
                <w:color w:val="000000"/>
                <w:sz w:val="17"/>
                <w:szCs w:val="17"/>
                <w:lang w:eastAsia="en-AU"/>
              </w:rPr>
              <w:t xml:space="preserve"> </w:t>
            </w:r>
          </w:p>
        </w:tc>
        <w:tc>
          <w:tcPr>
            <w:tcW w:w="160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(233)</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(209)</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9 702</w:t>
            </w:r>
          </w:p>
        </w:tc>
        <w:tc>
          <w:tcPr>
            <w:tcW w:w="161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9 157</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(1 560)</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(1 524)</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12 251</w:t>
            </w:r>
          </w:p>
        </w:tc>
        <w:tc>
          <w:tcPr>
            <w:tcW w:w="161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11 660</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3 128</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2 918</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(1 372)</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(1 449)</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8 557</w:t>
            </w:r>
          </w:p>
        </w:tc>
        <w:tc>
          <w:tcPr>
            <w:tcW w:w="161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8 260</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1 038</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1 195</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(1 167)</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(1 192)</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265</w:t>
            </w:r>
          </w:p>
        </w:tc>
        <w:tc>
          <w:tcPr>
            <w:tcW w:w="161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406</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746</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488</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(589)</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(666)</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766</w:t>
            </w:r>
          </w:p>
        </w:tc>
        <w:tc>
          <w:tcPr>
            <w:tcW w:w="161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503</w:t>
            </w:r>
          </w:p>
        </w:tc>
      </w:tr>
      <w:tr w:rsidR="00BB67AF" w:rsidRPr="00645124" w:rsidTr="00AC25A6">
        <w:tc>
          <w:tcPr>
            <w:tcW w:w="160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44</w:t>
            </w:r>
          </w:p>
        </w:tc>
        <w:tc>
          <w:tcPr>
            <w:tcW w:w="1610"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102</w:t>
            </w:r>
          </w:p>
        </w:tc>
        <w:tc>
          <w:tcPr>
            <w:tcW w:w="160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6</w:t>
            </w:r>
          </w:p>
        </w:tc>
        <w:tc>
          <w:tcPr>
            <w:tcW w:w="160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(31)</w:t>
            </w:r>
          </w:p>
        </w:tc>
        <w:tc>
          <w:tcPr>
            <w:tcW w:w="1604"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1 172</w:t>
            </w:r>
          </w:p>
        </w:tc>
        <w:tc>
          <w:tcPr>
            <w:tcW w:w="1613"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1 204</w:t>
            </w:r>
          </w:p>
        </w:tc>
      </w:tr>
      <w:tr w:rsidR="00BB67AF" w:rsidRPr="00645124" w:rsidTr="00AC25A6">
        <w:tc>
          <w:tcPr>
            <w:tcW w:w="160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4 956</w:t>
            </w:r>
          </w:p>
        </w:tc>
        <w:tc>
          <w:tcPr>
            <w:tcW w:w="1610"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4 704</w:t>
            </w:r>
          </w:p>
        </w:tc>
        <w:tc>
          <w:tcPr>
            <w:tcW w:w="160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(4 915)</w:t>
            </w:r>
          </w:p>
        </w:tc>
        <w:tc>
          <w:tcPr>
            <w:tcW w:w="160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(5 072)</w:t>
            </w:r>
          </w:p>
        </w:tc>
        <w:tc>
          <w:tcPr>
            <w:tcW w:w="1604"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32 712</w:t>
            </w:r>
          </w:p>
        </w:tc>
        <w:tc>
          <w:tcPr>
            <w:tcW w:w="1613"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31 191</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60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(152)</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(150)</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200</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183</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(10 135)</w:t>
            </w:r>
          </w:p>
        </w:tc>
        <w:tc>
          <w:tcPr>
            <w:tcW w:w="161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(9 739)</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(12)</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(12)</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(1 595)</w:t>
            </w:r>
          </w:p>
        </w:tc>
        <w:tc>
          <w:tcPr>
            <w:tcW w:w="161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(1 481)</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(984)</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(1 056)</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1 167</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1 192</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(1 365)</w:t>
            </w:r>
          </w:p>
        </w:tc>
        <w:tc>
          <w:tcPr>
            <w:tcW w:w="160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(1 428)</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1 520</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1 468</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(2 875)</w:t>
            </w:r>
          </w:p>
        </w:tc>
        <w:tc>
          <w:tcPr>
            <w:tcW w:w="161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(2 904)</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(2 244)</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(2 286)</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454</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659</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(12 648)</w:t>
            </w:r>
          </w:p>
        </w:tc>
        <w:tc>
          <w:tcPr>
            <w:tcW w:w="161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(12 552)</w:t>
            </w:r>
          </w:p>
        </w:tc>
      </w:tr>
      <w:tr w:rsidR="00BB67AF" w:rsidRPr="00645124" w:rsidTr="00AC25A6">
        <w:tc>
          <w:tcPr>
            <w:tcW w:w="160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(136)</w:t>
            </w:r>
          </w:p>
        </w:tc>
        <w:tc>
          <w:tcPr>
            <w:tcW w:w="1610"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(19)</w:t>
            </w:r>
          </w:p>
        </w:tc>
        <w:tc>
          <w:tcPr>
            <w:tcW w:w="160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1 228</w:t>
            </w:r>
          </w:p>
        </w:tc>
        <w:tc>
          <w:tcPr>
            <w:tcW w:w="160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989</w:t>
            </w:r>
          </w:p>
        </w:tc>
        <w:tc>
          <w:tcPr>
            <w:tcW w:w="1604"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(371)</w:t>
            </w:r>
          </w:p>
        </w:tc>
        <w:tc>
          <w:tcPr>
            <w:tcW w:w="1613"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(341)</w:t>
            </w:r>
          </w:p>
        </w:tc>
      </w:tr>
      <w:tr w:rsidR="00BB67AF" w:rsidRPr="00645124" w:rsidTr="00AC25A6">
        <w:tc>
          <w:tcPr>
            <w:tcW w:w="1604" w:type="dxa"/>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(3 527)</w:t>
            </w:r>
          </w:p>
        </w:tc>
        <w:tc>
          <w:tcPr>
            <w:tcW w:w="1610" w:type="dxa"/>
            <w:gridSpan w:val="2"/>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(3 523)</w:t>
            </w:r>
          </w:p>
        </w:tc>
        <w:tc>
          <w:tcPr>
            <w:tcW w:w="1604" w:type="dxa"/>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4 569</w:t>
            </w:r>
          </w:p>
        </w:tc>
        <w:tc>
          <w:tcPr>
            <w:tcW w:w="1604" w:type="dxa"/>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4 492</w:t>
            </w:r>
          </w:p>
        </w:tc>
        <w:tc>
          <w:tcPr>
            <w:tcW w:w="1604" w:type="dxa"/>
            <w:gridSpan w:val="2"/>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(28 988)</w:t>
            </w:r>
          </w:p>
        </w:tc>
        <w:tc>
          <w:tcPr>
            <w:tcW w:w="1613" w:type="dxa"/>
            <w:gridSpan w:val="2"/>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(28 445)</w:t>
            </w:r>
          </w:p>
        </w:tc>
      </w:tr>
      <w:tr w:rsidR="00BB67AF" w:rsidRPr="00645124" w:rsidTr="00AC25A6">
        <w:tc>
          <w:tcPr>
            <w:tcW w:w="160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color w:val="000000"/>
                <w:sz w:val="17"/>
                <w:szCs w:val="17"/>
                <w:lang w:eastAsia="en-AU"/>
              </w:rPr>
            </w:pPr>
            <w:r w:rsidRPr="00645124">
              <w:rPr>
                <w:rFonts w:ascii="Calibri" w:eastAsiaTheme="minorEastAsia" w:hAnsi="Calibri" w:cs="Calibri"/>
                <w:b/>
                <w:color w:val="000000"/>
                <w:sz w:val="17"/>
                <w:szCs w:val="17"/>
                <w:lang w:eastAsia="en-AU"/>
              </w:rPr>
              <w:t>1 428</w:t>
            </w:r>
          </w:p>
        </w:tc>
        <w:tc>
          <w:tcPr>
            <w:tcW w:w="1610"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color w:val="000000"/>
                <w:sz w:val="17"/>
                <w:szCs w:val="17"/>
                <w:lang w:eastAsia="en-AU"/>
              </w:rPr>
            </w:pPr>
            <w:r w:rsidRPr="00645124">
              <w:rPr>
                <w:rFonts w:ascii="Calibri" w:eastAsiaTheme="minorEastAsia" w:hAnsi="Calibri" w:cs="Calibri"/>
                <w:b/>
                <w:color w:val="000000"/>
                <w:sz w:val="17"/>
                <w:szCs w:val="17"/>
                <w:lang w:eastAsia="en-AU"/>
              </w:rPr>
              <w:t>1 181</w:t>
            </w:r>
          </w:p>
        </w:tc>
        <w:tc>
          <w:tcPr>
            <w:tcW w:w="160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color w:val="000000"/>
                <w:sz w:val="17"/>
                <w:szCs w:val="17"/>
                <w:lang w:eastAsia="en-AU"/>
              </w:rPr>
            </w:pPr>
            <w:r w:rsidRPr="00645124">
              <w:rPr>
                <w:rFonts w:ascii="Calibri" w:eastAsiaTheme="minorEastAsia" w:hAnsi="Calibri" w:cs="Calibri"/>
                <w:b/>
                <w:color w:val="000000"/>
                <w:sz w:val="17"/>
                <w:szCs w:val="17"/>
                <w:lang w:eastAsia="en-AU"/>
              </w:rPr>
              <w:t>(346)</w:t>
            </w:r>
          </w:p>
        </w:tc>
        <w:tc>
          <w:tcPr>
            <w:tcW w:w="160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color w:val="000000"/>
                <w:sz w:val="17"/>
                <w:szCs w:val="17"/>
                <w:lang w:eastAsia="en-AU"/>
              </w:rPr>
            </w:pPr>
            <w:r w:rsidRPr="00645124">
              <w:rPr>
                <w:rFonts w:ascii="Calibri" w:eastAsiaTheme="minorEastAsia" w:hAnsi="Calibri" w:cs="Calibri"/>
                <w:b/>
                <w:color w:val="000000"/>
                <w:sz w:val="17"/>
                <w:szCs w:val="17"/>
                <w:lang w:eastAsia="en-AU"/>
              </w:rPr>
              <w:t>(580)</w:t>
            </w:r>
          </w:p>
        </w:tc>
        <w:tc>
          <w:tcPr>
            <w:tcW w:w="1604"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color w:val="000000"/>
                <w:sz w:val="17"/>
                <w:szCs w:val="17"/>
                <w:lang w:eastAsia="en-AU"/>
              </w:rPr>
            </w:pPr>
            <w:r w:rsidRPr="00645124">
              <w:rPr>
                <w:rFonts w:ascii="Calibri" w:eastAsiaTheme="minorEastAsia" w:hAnsi="Calibri" w:cs="Calibri"/>
                <w:b/>
                <w:color w:val="000000"/>
                <w:sz w:val="17"/>
                <w:szCs w:val="17"/>
                <w:lang w:eastAsia="en-AU"/>
              </w:rPr>
              <w:t>3 724</w:t>
            </w:r>
          </w:p>
        </w:tc>
        <w:tc>
          <w:tcPr>
            <w:tcW w:w="1613"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color w:val="000000"/>
                <w:sz w:val="17"/>
                <w:szCs w:val="17"/>
                <w:lang w:eastAsia="en-AU"/>
              </w:rPr>
            </w:pPr>
            <w:r w:rsidRPr="00645124">
              <w:rPr>
                <w:rFonts w:ascii="Calibri" w:eastAsiaTheme="minorEastAsia" w:hAnsi="Calibri" w:cs="Calibri"/>
                <w:b/>
                <w:color w:val="000000"/>
                <w:sz w:val="17"/>
                <w:szCs w:val="17"/>
                <w:lang w:eastAsia="en-AU"/>
              </w:rPr>
              <w:t>2 746</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60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(18)</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(13)</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(81)</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21</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(3 266)</w:t>
            </w:r>
          </w:p>
        </w:tc>
        <w:tc>
          <w:tcPr>
            <w:tcW w:w="161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(3 226)</w:t>
            </w:r>
          </w:p>
        </w:tc>
      </w:tr>
      <w:tr w:rsidR="00BB67AF" w:rsidRPr="00645124" w:rsidTr="00AC25A6">
        <w:tc>
          <w:tcPr>
            <w:tcW w:w="160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c>
          <w:tcPr>
            <w:tcW w:w="1610"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w:t>
            </w:r>
          </w:p>
        </w:tc>
        <w:tc>
          <w:tcPr>
            <w:tcW w:w="160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c>
          <w:tcPr>
            <w:tcW w:w="160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c>
          <w:tcPr>
            <w:tcW w:w="1604"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220</w:t>
            </w:r>
          </w:p>
        </w:tc>
        <w:tc>
          <w:tcPr>
            <w:tcW w:w="1613"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238</w:t>
            </w:r>
          </w:p>
        </w:tc>
      </w:tr>
      <w:tr w:rsidR="00BB67AF" w:rsidRPr="00E96351" w:rsidTr="00AC25A6">
        <w:tc>
          <w:tcPr>
            <w:tcW w:w="1604" w:type="dxa"/>
            <w:tcBorders>
              <w:top w:val="single" w:sz="6" w:space="0" w:color="auto"/>
              <w:left w:val="nil"/>
              <w:right w:val="nil"/>
            </w:tcBorders>
            <w:shd w:val="clear" w:color="auto" w:fill="FFFFFF"/>
          </w:tcPr>
          <w:p w:rsidR="00BB67AF" w:rsidRPr="00E96351" w:rsidRDefault="00BB67AF" w:rsidP="003E6750">
            <w:pPr>
              <w:autoSpaceDE w:val="0"/>
              <w:autoSpaceDN w:val="0"/>
              <w:adjustRightInd w:val="0"/>
              <w:spacing w:after="0"/>
              <w:ind w:left="227" w:hanging="227"/>
              <w:jc w:val="right"/>
              <w:rPr>
                <w:rFonts w:ascii="Calibri" w:eastAsiaTheme="minorEastAsia" w:hAnsi="Calibri" w:cs="Calibri"/>
                <w:b/>
                <w:bCs/>
                <w:color w:val="000000"/>
                <w:sz w:val="17"/>
                <w:szCs w:val="17"/>
                <w:lang w:eastAsia="en-AU"/>
              </w:rPr>
            </w:pPr>
            <w:r w:rsidRPr="00E96351">
              <w:rPr>
                <w:rFonts w:ascii="Calibri" w:eastAsiaTheme="minorEastAsia" w:hAnsi="Calibri" w:cs="Calibri"/>
                <w:b/>
                <w:color w:val="000000"/>
                <w:sz w:val="17"/>
                <w:szCs w:val="17"/>
                <w:lang w:eastAsia="en-AU"/>
              </w:rPr>
              <w:t>(17)</w:t>
            </w:r>
          </w:p>
        </w:tc>
        <w:tc>
          <w:tcPr>
            <w:tcW w:w="1610" w:type="dxa"/>
            <w:gridSpan w:val="2"/>
            <w:tcBorders>
              <w:top w:val="single" w:sz="6" w:space="0" w:color="auto"/>
              <w:left w:val="nil"/>
              <w:right w:val="nil"/>
            </w:tcBorders>
            <w:shd w:val="clear" w:color="auto" w:fill="FFFFFF"/>
          </w:tcPr>
          <w:p w:rsidR="00BB67AF" w:rsidRPr="00E96351"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E96351">
              <w:rPr>
                <w:rFonts w:ascii="Calibri" w:eastAsiaTheme="minorEastAsia" w:hAnsi="Calibri" w:cs="Calibri"/>
                <w:b/>
                <w:color w:val="000000"/>
                <w:sz w:val="17"/>
                <w:szCs w:val="17"/>
                <w:lang w:eastAsia="en-AU"/>
              </w:rPr>
              <w:t>(12)</w:t>
            </w:r>
          </w:p>
        </w:tc>
        <w:tc>
          <w:tcPr>
            <w:tcW w:w="1604" w:type="dxa"/>
            <w:tcBorders>
              <w:top w:val="single" w:sz="6" w:space="0" w:color="auto"/>
              <w:left w:val="nil"/>
              <w:right w:val="nil"/>
            </w:tcBorders>
            <w:shd w:val="clear" w:color="auto" w:fill="FFFFFF"/>
          </w:tcPr>
          <w:p w:rsidR="00BB67AF" w:rsidRPr="00E96351"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E96351">
              <w:rPr>
                <w:rFonts w:ascii="Calibri" w:eastAsiaTheme="minorEastAsia" w:hAnsi="Calibri" w:cs="Calibri"/>
                <w:b/>
                <w:color w:val="000000"/>
                <w:sz w:val="17"/>
                <w:szCs w:val="17"/>
                <w:lang w:eastAsia="en-AU"/>
              </w:rPr>
              <w:t>(81)</w:t>
            </w:r>
          </w:p>
        </w:tc>
        <w:tc>
          <w:tcPr>
            <w:tcW w:w="1610" w:type="dxa"/>
            <w:gridSpan w:val="2"/>
            <w:tcBorders>
              <w:top w:val="single" w:sz="6" w:space="0" w:color="auto"/>
              <w:left w:val="nil"/>
              <w:right w:val="nil"/>
            </w:tcBorders>
            <w:shd w:val="clear" w:color="auto" w:fill="FFFFFF"/>
          </w:tcPr>
          <w:p w:rsidR="00BB67AF" w:rsidRPr="00E96351"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E96351">
              <w:rPr>
                <w:rFonts w:ascii="Calibri" w:eastAsiaTheme="minorEastAsia" w:hAnsi="Calibri" w:cs="Calibri"/>
                <w:b/>
                <w:color w:val="000000"/>
                <w:sz w:val="17"/>
                <w:szCs w:val="17"/>
                <w:lang w:eastAsia="en-AU"/>
              </w:rPr>
              <w:t>21</w:t>
            </w:r>
          </w:p>
        </w:tc>
        <w:tc>
          <w:tcPr>
            <w:tcW w:w="1604" w:type="dxa"/>
            <w:gridSpan w:val="2"/>
            <w:tcBorders>
              <w:top w:val="single" w:sz="6" w:space="0" w:color="auto"/>
              <w:left w:val="nil"/>
              <w:right w:val="nil"/>
            </w:tcBorders>
            <w:shd w:val="clear" w:color="auto" w:fill="FFFFFF"/>
          </w:tcPr>
          <w:p w:rsidR="00BB67AF" w:rsidRPr="00E96351" w:rsidRDefault="00BB67AF" w:rsidP="003E6750">
            <w:pPr>
              <w:autoSpaceDE w:val="0"/>
              <w:autoSpaceDN w:val="0"/>
              <w:adjustRightInd w:val="0"/>
              <w:spacing w:after="0"/>
              <w:jc w:val="right"/>
              <w:rPr>
                <w:rFonts w:ascii="Calibri" w:eastAsiaTheme="minorEastAsia" w:hAnsi="Calibri" w:cs="Calibri"/>
                <w:b/>
                <w:color w:val="000000"/>
                <w:sz w:val="17"/>
                <w:szCs w:val="17"/>
                <w:lang w:eastAsia="en-AU"/>
              </w:rPr>
            </w:pPr>
            <w:r w:rsidRPr="00E96351">
              <w:rPr>
                <w:rFonts w:ascii="Calibri" w:eastAsiaTheme="minorEastAsia" w:hAnsi="Calibri" w:cs="Calibri"/>
                <w:b/>
                <w:color w:val="000000"/>
                <w:sz w:val="17"/>
                <w:szCs w:val="17"/>
                <w:lang w:eastAsia="en-AU"/>
              </w:rPr>
              <w:t>(3 046)</w:t>
            </w:r>
          </w:p>
        </w:tc>
        <w:tc>
          <w:tcPr>
            <w:tcW w:w="1607" w:type="dxa"/>
            <w:tcBorders>
              <w:top w:val="single" w:sz="6" w:space="0" w:color="auto"/>
              <w:left w:val="nil"/>
              <w:right w:val="nil"/>
            </w:tcBorders>
            <w:shd w:val="clear" w:color="auto" w:fill="FFFFFF"/>
          </w:tcPr>
          <w:p w:rsidR="00BB67AF" w:rsidRPr="00E96351" w:rsidRDefault="00BB67AF" w:rsidP="003E6750">
            <w:pPr>
              <w:autoSpaceDE w:val="0"/>
              <w:autoSpaceDN w:val="0"/>
              <w:adjustRightInd w:val="0"/>
              <w:spacing w:after="0"/>
              <w:jc w:val="right"/>
              <w:rPr>
                <w:rFonts w:ascii="Calibri" w:eastAsiaTheme="minorEastAsia" w:hAnsi="Calibri" w:cs="Calibri"/>
                <w:b/>
                <w:color w:val="000000"/>
                <w:sz w:val="17"/>
                <w:szCs w:val="17"/>
                <w:lang w:eastAsia="en-AU"/>
              </w:rPr>
            </w:pPr>
            <w:r w:rsidRPr="00E96351">
              <w:rPr>
                <w:rFonts w:ascii="Calibri" w:eastAsiaTheme="minorEastAsia" w:hAnsi="Calibri" w:cs="Calibri"/>
                <w:b/>
                <w:color w:val="000000"/>
                <w:sz w:val="17"/>
                <w:szCs w:val="17"/>
                <w:lang w:eastAsia="en-AU"/>
              </w:rPr>
              <w:t>(2 989)</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60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1 684</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10</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(307)</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97</w:t>
            </w:r>
          </w:p>
        </w:tc>
        <w:tc>
          <w:tcPr>
            <w:tcW w:w="161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1 736</w:t>
            </w:r>
          </w:p>
        </w:tc>
      </w:tr>
      <w:tr w:rsidR="00BB67AF" w:rsidRPr="00645124" w:rsidTr="00AC25A6">
        <w:tc>
          <w:tcPr>
            <w:tcW w:w="1604" w:type="dxa"/>
            <w:tcBorders>
              <w:top w:val="nil"/>
              <w:left w:val="nil"/>
              <w:bottom w:val="single" w:sz="4" w:space="0" w:color="auto"/>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(23)</w:t>
            </w:r>
          </w:p>
        </w:tc>
        <w:tc>
          <w:tcPr>
            <w:tcW w:w="1610" w:type="dxa"/>
            <w:gridSpan w:val="2"/>
            <w:tcBorders>
              <w:top w:val="nil"/>
              <w:left w:val="nil"/>
              <w:bottom w:val="single" w:sz="4"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(261)</w:t>
            </w:r>
          </w:p>
        </w:tc>
        <w:tc>
          <w:tcPr>
            <w:tcW w:w="1604" w:type="dxa"/>
            <w:tcBorders>
              <w:top w:val="nil"/>
              <w:left w:val="nil"/>
              <w:bottom w:val="single" w:sz="4"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261</w:t>
            </w:r>
          </w:p>
        </w:tc>
        <w:tc>
          <w:tcPr>
            <w:tcW w:w="1604" w:type="dxa"/>
            <w:tcBorders>
              <w:top w:val="nil"/>
              <w:left w:val="nil"/>
              <w:bottom w:val="single" w:sz="4"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544</w:t>
            </w:r>
          </w:p>
        </w:tc>
        <w:tc>
          <w:tcPr>
            <w:tcW w:w="1604" w:type="dxa"/>
            <w:gridSpan w:val="2"/>
            <w:tcBorders>
              <w:top w:val="nil"/>
              <w:left w:val="nil"/>
              <w:bottom w:val="single" w:sz="4"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(9)</w:t>
            </w:r>
          </w:p>
        </w:tc>
        <w:tc>
          <w:tcPr>
            <w:tcW w:w="1613" w:type="dxa"/>
            <w:gridSpan w:val="2"/>
            <w:tcBorders>
              <w:top w:val="nil"/>
              <w:left w:val="nil"/>
              <w:bottom w:val="single" w:sz="4"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(6)</w:t>
            </w:r>
          </w:p>
        </w:tc>
      </w:tr>
      <w:tr w:rsidR="00BB67AF" w:rsidRPr="00645124" w:rsidTr="00AC25A6">
        <w:tc>
          <w:tcPr>
            <w:tcW w:w="1604" w:type="dxa"/>
            <w:tcBorders>
              <w:top w:val="single" w:sz="4"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(23)</w:t>
            </w:r>
          </w:p>
        </w:tc>
        <w:tc>
          <w:tcPr>
            <w:tcW w:w="1610" w:type="dxa"/>
            <w:gridSpan w:val="2"/>
            <w:tcBorders>
              <w:top w:val="single" w:sz="4"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1 423</w:t>
            </w:r>
          </w:p>
        </w:tc>
        <w:tc>
          <w:tcPr>
            <w:tcW w:w="1604" w:type="dxa"/>
            <w:tcBorders>
              <w:top w:val="single" w:sz="4"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271</w:t>
            </w:r>
          </w:p>
        </w:tc>
        <w:tc>
          <w:tcPr>
            <w:tcW w:w="1604" w:type="dxa"/>
            <w:tcBorders>
              <w:top w:val="single" w:sz="4"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237</w:t>
            </w:r>
          </w:p>
        </w:tc>
        <w:tc>
          <w:tcPr>
            <w:tcW w:w="1604" w:type="dxa"/>
            <w:gridSpan w:val="2"/>
            <w:tcBorders>
              <w:top w:val="single" w:sz="4"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88</w:t>
            </w:r>
          </w:p>
        </w:tc>
        <w:tc>
          <w:tcPr>
            <w:tcW w:w="1613" w:type="dxa"/>
            <w:gridSpan w:val="2"/>
            <w:tcBorders>
              <w:top w:val="single" w:sz="4"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1 729</w:t>
            </w:r>
          </w:p>
        </w:tc>
      </w:tr>
      <w:tr w:rsidR="00BB67AF" w:rsidRPr="00645124" w:rsidTr="00AC25A6">
        <w:tc>
          <w:tcPr>
            <w:tcW w:w="160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(40)</w:t>
            </w:r>
          </w:p>
        </w:tc>
        <w:tc>
          <w:tcPr>
            <w:tcW w:w="1610"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1 411</w:t>
            </w:r>
          </w:p>
        </w:tc>
        <w:tc>
          <w:tcPr>
            <w:tcW w:w="160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190</w:t>
            </w:r>
          </w:p>
        </w:tc>
        <w:tc>
          <w:tcPr>
            <w:tcW w:w="160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258</w:t>
            </w:r>
          </w:p>
        </w:tc>
        <w:tc>
          <w:tcPr>
            <w:tcW w:w="1604"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(2 958)</w:t>
            </w:r>
          </w:p>
        </w:tc>
        <w:tc>
          <w:tcPr>
            <w:tcW w:w="1613"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(1 259)</w:t>
            </w:r>
          </w:p>
        </w:tc>
      </w:tr>
      <w:tr w:rsidR="00BB67AF" w:rsidRPr="00645124" w:rsidTr="00AC25A6">
        <w:tc>
          <w:tcPr>
            <w:tcW w:w="160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(2 016)</w:t>
            </w:r>
            <w:r w:rsidRPr="00645124">
              <w:rPr>
                <w:rFonts w:ascii="Calibri" w:eastAsiaTheme="minorEastAsia" w:hAnsi="Calibri" w:cs="Calibri"/>
                <w:color w:val="000000"/>
                <w:sz w:val="17"/>
                <w:szCs w:val="17"/>
                <w:lang w:eastAsia="en-AU"/>
              </w:rPr>
              <w:br/>
            </w:r>
          </w:p>
        </w:tc>
        <w:tc>
          <w:tcPr>
            <w:tcW w:w="1610"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(1 361)</w:t>
            </w:r>
          </w:p>
        </w:tc>
        <w:tc>
          <w:tcPr>
            <w:tcW w:w="160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771</w:t>
            </w:r>
          </w:p>
        </w:tc>
        <w:tc>
          <w:tcPr>
            <w:tcW w:w="160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452</w:t>
            </w:r>
          </w:p>
        </w:tc>
        <w:tc>
          <w:tcPr>
            <w:tcW w:w="1604"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(1 447)</w:t>
            </w:r>
          </w:p>
        </w:tc>
        <w:tc>
          <w:tcPr>
            <w:tcW w:w="1613"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(1 312)</w:t>
            </w:r>
          </w:p>
        </w:tc>
      </w:tr>
      <w:tr w:rsidR="00BB67AF" w:rsidRPr="00645124" w:rsidTr="00AC25A6">
        <w:tc>
          <w:tcPr>
            <w:tcW w:w="160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(2 056)</w:t>
            </w:r>
          </w:p>
        </w:tc>
        <w:tc>
          <w:tcPr>
            <w:tcW w:w="1610"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50</w:t>
            </w:r>
          </w:p>
        </w:tc>
        <w:tc>
          <w:tcPr>
            <w:tcW w:w="160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961</w:t>
            </w:r>
          </w:p>
        </w:tc>
        <w:tc>
          <w:tcPr>
            <w:tcW w:w="160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710</w:t>
            </w:r>
          </w:p>
        </w:tc>
        <w:tc>
          <w:tcPr>
            <w:tcW w:w="1604"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(4 405)</w:t>
            </w:r>
          </w:p>
        </w:tc>
        <w:tc>
          <w:tcPr>
            <w:tcW w:w="1613"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(2 571)</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c>
          <w:tcPr>
            <w:tcW w:w="160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 xml:space="preserve"> </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59</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35</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(20)</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(28)</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39</w:t>
            </w:r>
          </w:p>
        </w:tc>
        <w:tc>
          <w:tcPr>
            <w:tcW w:w="161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21</w:t>
            </w:r>
          </w:p>
        </w:tc>
      </w:tr>
      <w:tr w:rsidR="00BB67AF" w:rsidRPr="00645124" w:rsidTr="00AC25A6">
        <w:tc>
          <w:tcPr>
            <w:tcW w:w="160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(12)</w:t>
            </w:r>
          </w:p>
        </w:tc>
        <w:tc>
          <w:tcPr>
            <w:tcW w:w="1610"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(19)</w:t>
            </w:r>
          </w:p>
        </w:tc>
        <w:tc>
          <w:tcPr>
            <w:tcW w:w="160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17</w:t>
            </w:r>
          </w:p>
        </w:tc>
        <w:tc>
          <w:tcPr>
            <w:tcW w:w="160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18</w:t>
            </w:r>
          </w:p>
        </w:tc>
        <w:tc>
          <w:tcPr>
            <w:tcW w:w="1604"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w:t>
            </w:r>
          </w:p>
        </w:tc>
        <w:tc>
          <w:tcPr>
            <w:tcW w:w="1613"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(5)</w:t>
            </w:r>
          </w:p>
        </w:tc>
      </w:tr>
      <w:tr w:rsidR="00BB67AF" w:rsidRPr="00645124" w:rsidTr="00AC25A6">
        <w:tc>
          <w:tcPr>
            <w:tcW w:w="160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47</w:t>
            </w:r>
          </w:p>
        </w:tc>
        <w:tc>
          <w:tcPr>
            <w:tcW w:w="1610"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16</w:t>
            </w:r>
          </w:p>
        </w:tc>
        <w:tc>
          <w:tcPr>
            <w:tcW w:w="160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w:t>
            </w:r>
          </w:p>
        </w:tc>
        <w:tc>
          <w:tcPr>
            <w:tcW w:w="160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(9)</w:t>
            </w:r>
          </w:p>
        </w:tc>
        <w:tc>
          <w:tcPr>
            <w:tcW w:w="1604"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38</w:t>
            </w:r>
          </w:p>
        </w:tc>
        <w:tc>
          <w:tcPr>
            <w:tcW w:w="1613"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16</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194</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30</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(637)</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(1 379)</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281</w:t>
            </w:r>
          </w:p>
        </w:tc>
        <w:tc>
          <w:tcPr>
            <w:tcW w:w="161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165</w:t>
            </w:r>
          </w:p>
        </w:tc>
      </w:tr>
      <w:tr w:rsidR="00BB67AF" w:rsidRPr="00645124" w:rsidTr="00AC25A6">
        <w:tc>
          <w:tcPr>
            <w:tcW w:w="160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(70)</w:t>
            </w:r>
          </w:p>
        </w:tc>
        <w:tc>
          <w:tcPr>
            <w:tcW w:w="1610"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(651)</w:t>
            </w:r>
          </w:p>
        </w:tc>
        <w:tc>
          <w:tcPr>
            <w:tcW w:w="160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301</w:t>
            </w:r>
          </w:p>
        </w:tc>
        <w:tc>
          <w:tcPr>
            <w:tcW w:w="160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1 128</w:t>
            </w:r>
          </w:p>
        </w:tc>
        <w:tc>
          <w:tcPr>
            <w:tcW w:w="1604"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(308)</w:t>
            </w:r>
          </w:p>
        </w:tc>
        <w:tc>
          <w:tcPr>
            <w:tcW w:w="1613"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(889)</w:t>
            </w:r>
          </w:p>
        </w:tc>
      </w:tr>
      <w:tr w:rsidR="00BB67AF" w:rsidRPr="00645124" w:rsidTr="00AC25A6">
        <w:tc>
          <w:tcPr>
            <w:tcW w:w="160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125</w:t>
            </w:r>
          </w:p>
        </w:tc>
        <w:tc>
          <w:tcPr>
            <w:tcW w:w="1610"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(621)</w:t>
            </w:r>
          </w:p>
        </w:tc>
        <w:tc>
          <w:tcPr>
            <w:tcW w:w="160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(336)</w:t>
            </w:r>
          </w:p>
        </w:tc>
        <w:tc>
          <w:tcPr>
            <w:tcW w:w="160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(251)</w:t>
            </w:r>
          </w:p>
        </w:tc>
        <w:tc>
          <w:tcPr>
            <w:tcW w:w="1604"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(27)</w:t>
            </w:r>
          </w:p>
        </w:tc>
        <w:tc>
          <w:tcPr>
            <w:tcW w:w="1613"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(724)</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144</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(9)</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10</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429</w:t>
            </w:r>
          </w:p>
        </w:tc>
        <w:tc>
          <w:tcPr>
            <w:tcW w:w="160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229</w:t>
            </w:r>
          </w:p>
        </w:tc>
      </w:tr>
      <w:tr w:rsidR="00BB67AF" w:rsidRPr="00645124" w:rsidTr="00AC25A6">
        <w:tc>
          <w:tcPr>
            <w:tcW w:w="160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(449)</w:t>
            </w:r>
          </w:p>
        </w:tc>
        <w:tc>
          <w:tcPr>
            <w:tcW w:w="1610"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(671)</w:t>
            </w:r>
          </w:p>
        </w:tc>
        <w:tc>
          <w:tcPr>
            <w:tcW w:w="160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451</w:t>
            </w:r>
          </w:p>
        </w:tc>
        <w:tc>
          <w:tcPr>
            <w:tcW w:w="1610"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605</w:t>
            </w:r>
          </w:p>
        </w:tc>
        <w:tc>
          <w:tcPr>
            <w:tcW w:w="1604"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(323)</w:t>
            </w:r>
          </w:p>
        </w:tc>
        <w:tc>
          <w:tcPr>
            <w:tcW w:w="1607"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(260)</w:t>
            </w:r>
          </w:p>
        </w:tc>
      </w:tr>
      <w:tr w:rsidR="00BB67AF" w:rsidRPr="00645124" w:rsidTr="00AC25A6">
        <w:tc>
          <w:tcPr>
            <w:tcW w:w="160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(305)</w:t>
            </w:r>
          </w:p>
        </w:tc>
        <w:tc>
          <w:tcPr>
            <w:tcW w:w="1610"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(671)</w:t>
            </w:r>
          </w:p>
        </w:tc>
        <w:tc>
          <w:tcPr>
            <w:tcW w:w="160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442</w:t>
            </w:r>
          </w:p>
        </w:tc>
        <w:tc>
          <w:tcPr>
            <w:tcW w:w="1610"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614</w:t>
            </w:r>
          </w:p>
        </w:tc>
        <w:tc>
          <w:tcPr>
            <w:tcW w:w="1604"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107</w:t>
            </w:r>
          </w:p>
        </w:tc>
        <w:tc>
          <w:tcPr>
            <w:tcW w:w="1607"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(32)</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58</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(216)</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(419)</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c>
          <w:tcPr>
            <w:tcW w:w="161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r>
      <w:tr w:rsidR="00BB67AF" w:rsidRPr="00645124" w:rsidTr="00AC25A6">
        <w:tc>
          <w:tcPr>
            <w:tcW w:w="160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(222)</w:t>
            </w:r>
          </w:p>
        </w:tc>
        <w:tc>
          <w:tcPr>
            <w:tcW w:w="1610"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(533)</w:t>
            </w:r>
          </w:p>
        </w:tc>
        <w:tc>
          <w:tcPr>
            <w:tcW w:w="160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339</w:t>
            </w:r>
          </w:p>
        </w:tc>
        <w:tc>
          <w:tcPr>
            <w:tcW w:w="1610"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730</w:t>
            </w:r>
          </w:p>
        </w:tc>
        <w:tc>
          <w:tcPr>
            <w:tcW w:w="1604"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c>
          <w:tcPr>
            <w:tcW w:w="1607"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r>
      <w:tr w:rsidR="00BB67AF" w:rsidRPr="00645124" w:rsidTr="00AC25A6">
        <w:tc>
          <w:tcPr>
            <w:tcW w:w="1604" w:type="dxa"/>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(223)</w:t>
            </w:r>
          </w:p>
        </w:tc>
        <w:tc>
          <w:tcPr>
            <w:tcW w:w="1610" w:type="dxa"/>
            <w:gridSpan w:val="2"/>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(475)</w:t>
            </w:r>
          </w:p>
        </w:tc>
        <w:tc>
          <w:tcPr>
            <w:tcW w:w="1604" w:type="dxa"/>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124</w:t>
            </w:r>
          </w:p>
        </w:tc>
        <w:tc>
          <w:tcPr>
            <w:tcW w:w="1610" w:type="dxa"/>
            <w:gridSpan w:val="2"/>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311</w:t>
            </w:r>
          </w:p>
        </w:tc>
        <w:tc>
          <w:tcPr>
            <w:tcW w:w="1604" w:type="dxa"/>
            <w:gridSpan w:val="2"/>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c>
          <w:tcPr>
            <w:tcW w:w="1607" w:type="dxa"/>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r>
      <w:tr w:rsidR="00BB67AF" w:rsidRPr="00645124" w:rsidTr="00AC25A6">
        <w:tc>
          <w:tcPr>
            <w:tcW w:w="1604" w:type="dxa"/>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(356)</w:t>
            </w:r>
          </w:p>
        </w:tc>
        <w:tc>
          <w:tcPr>
            <w:tcW w:w="1610" w:type="dxa"/>
            <w:gridSpan w:val="2"/>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(1 751)</w:t>
            </w:r>
          </w:p>
        </w:tc>
        <w:tc>
          <w:tcPr>
            <w:tcW w:w="1604" w:type="dxa"/>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227</w:t>
            </w:r>
          </w:p>
        </w:tc>
        <w:tc>
          <w:tcPr>
            <w:tcW w:w="1610" w:type="dxa"/>
            <w:gridSpan w:val="2"/>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665</w:t>
            </w:r>
          </w:p>
        </w:tc>
        <w:tc>
          <w:tcPr>
            <w:tcW w:w="1604" w:type="dxa"/>
            <w:gridSpan w:val="2"/>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117</w:t>
            </w:r>
          </w:p>
        </w:tc>
        <w:tc>
          <w:tcPr>
            <w:tcW w:w="1607" w:type="dxa"/>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(739)</w:t>
            </w:r>
          </w:p>
        </w:tc>
      </w:tr>
      <w:tr w:rsidR="00BB67AF" w:rsidRPr="00645124" w:rsidTr="00AC25A6">
        <w:tc>
          <w:tcPr>
            <w:tcW w:w="160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(984)</w:t>
            </w:r>
          </w:p>
        </w:tc>
        <w:tc>
          <w:tcPr>
            <w:tcW w:w="1610"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(520)</w:t>
            </w:r>
          </w:p>
        </w:tc>
        <w:tc>
          <w:tcPr>
            <w:tcW w:w="160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842</w:t>
            </w:r>
          </w:p>
        </w:tc>
        <w:tc>
          <w:tcPr>
            <w:tcW w:w="1610"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794</w:t>
            </w:r>
          </w:p>
        </w:tc>
        <w:tc>
          <w:tcPr>
            <w:tcW w:w="1604"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(564)</w:t>
            </w:r>
          </w:p>
        </w:tc>
        <w:tc>
          <w:tcPr>
            <w:tcW w:w="1607"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(564)</w:t>
            </w:r>
          </w:p>
        </w:tc>
      </w:tr>
      <w:tr w:rsidR="00BB67AF" w:rsidRPr="00645124" w:rsidTr="00AC25A6">
        <w:tc>
          <w:tcPr>
            <w:tcW w:w="1604" w:type="dxa"/>
            <w:tcBorders>
              <w:top w:val="nil"/>
              <w:left w:val="nil"/>
              <w:bottom w:val="single" w:sz="6" w:space="0" w:color="auto"/>
              <w:right w:val="nil"/>
            </w:tcBorders>
            <w:shd w:val="clear" w:color="000000"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4 708</w:t>
            </w:r>
          </w:p>
        </w:tc>
        <w:tc>
          <w:tcPr>
            <w:tcW w:w="1610" w:type="dxa"/>
            <w:gridSpan w:val="2"/>
            <w:tcBorders>
              <w:top w:val="nil"/>
              <w:left w:val="nil"/>
              <w:bottom w:val="single" w:sz="6" w:space="0" w:color="auto"/>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5 691</w:t>
            </w:r>
          </w:p>
        </w:tc>
        <w:tc>
          <w:tcPr>
            <w:tcW w:w="1604" w:type="dxa"/>
            <w:tcBorders>
              <w:top w:val="nil"/>
              <w:left w:val="nil"/>
              <w:bottom w:val="single" w:sz="6" w:space="0" w:color="auto"/>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(3 572)</w:t>
            </w:r>
          </w:p>
        </w:tc>
        <w:tc>
          <w:tcPr>
            <w:tcW w:w="1610" w:type="dxa"/>
            <w:gridSpan w:val="2"/>
            <w:tcBorders>
              <w:top w:val="nil"/>
              <w:left w:val="nil"/>
              <w:bottom w:val="single" w:sz="6" w:space="0" w:color="auto"/>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(2 976)</w:t>
            </w:r>
          </w:p>
        </w:tc>
        <w:tc>
          <w:tcPr>
            <w:tcW w:w="1604" w:type="dxa"/>
            <w:gridSpan w:val="2"/>
            <w:tcBorders>
              <w:top w:val="nil"/>
              <w:left w:val="nil"/>
              <w:bottom w:val="single" w:sz="6" w:space="0" w:color="auto"/>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6 510</w:t>
            </w:r>
          </w:p>
        </w:tc>
        <w:tc>
          <w:tcPr>
            <w:tcW w:w="1607" w:type="dxa"/>
            <w:tcBorders>
              <w:top w:val="nil"/>
              <w:left w:val="nil"/>
              <w:bottom w:val="single" w:sz="6" w:space="0" w:color="auto"/>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8 281</w:t>
            </w:r>
          </w:p>
        </w:tc>
      </w:tr>
      <w:tr w:rsidR="00BB67AF" w:rsidRPr="00645124" w:rsidTr="00AC25A6">
        <w:tc>
          <w:tcPr>
            <w:tcW w:w="1604"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3 725</w:t>
            </w:r>
          </w:p>
        </w:tc>
        <w:tc>
          <w:tcPr>
            <w:tcW w:w="1610" w:type="dxa"/>
            <w:gridSpan w:val="2"/>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5 171</w:t>
            </w:r>
          </w:p>
        </w:tc>
        <w:tc>
          <w:tcPr>
            <w:tcW w:w="1604"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(2 729)</w:t>
            </w:r>
          </w:p>
        </w:tc>
        <w:tc>
          <w:tcPr>
            <w:tcW w:w="1610" w:type="dxa"/>
            <w:gridSpan w:val="2"/>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(2 182)</w:t>
            </w:r>
          </w:p>
        </w:tc>
        <w:tc>
          <w:tcPr>
            <w:tcW w:w="1604" w:type="dxa"/>
            <w:gridSpan w:val="2"/>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5 946</w:t>
            </w:r>
          </w:p>
        </w:tc>
        <w:tc>
          <w:tcPr>
            <w:tcW w:w="1607"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7 717</w:t>
            </w:r>
          </w:p>
        </w:tc>
      </w:tr>
      <w:tr w:rsidR="00BB67AF" w:rsidRPr="00645124" w:rsidTr="00AC25A6">
        <w:trPr>
          <w:trHeight w:hRule="exact" w:val="120"/>
        </w:trPr>
        <w:tc>
          <w:tcPr>
            <w:tcW w:w="1604" w:type="dxa"/>
            <w:tcBorders>
              <w:top w:val="single" w:sz="12" w:space="0" w:color="auto"/>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i/>
                <w:iCs/>
                <w:color w:val="000000"/>
                <w:sz w:val="17"/>
                <w:szCs w:val="17"/>
                <w:lang w:eastAsia="en-AU"/>
              </w:rPr>
            </w:pPr>
            <w:r w:rsidRPr="00645124">
              <w:rPr>
                <w:rFonts w:ascii="Calibri" w:eastAsiaTheme="minorEastAsia" w:hAnsi="Calibri" w:cs="Calibri"/>
                <w:i/>
                <w:iCs/>
                <w:color w:val="000000"/>
                <w:sz w:val="17"/>
                <w:szCs w:val="17"/>
                <w:lang w:eastAsia="en-AU"/>
              </w:rPr>
              <w:t xml:space="preserve"> </w:t>
            </w:r>
          </w:p>
        </w:tc>
        <w:tc>
          <w:tcPr>
            <w:tcW w:w="1610" w:type="dxa"/>
            <w:gridSpan w:val="2"/>
            <w:tcBorders>
              <w:top w:val="single" w:sz="12"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 xml:space="preserve"> </w:t>
            </w:r>
          </w:p>
        </w:tc>
        <w:tc>
          <w:tcPr>
            <w:tcW w:w="1604" w:type="dxa"/>
            <w:tcBorders>
              <w:top w:val="single" w:sz="12"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i/>
                <w:iCs/>
                <w:color w:val="000000"/>
                <w:sz w:val="17"/>
                <w:szCs w:val="17"/>
                <w:lang w:eastAsia="en-AU"/>
              </w:rPr>
            </w:pPr>
            <w:r w:rsidRPr="00645124">
              <w:rPr>
                <w:rFonts w:ascii="Calibri" w:eastAsiaTheme="minorEastAsia" w:hAnsi="Calibri" w:cs="Calibri"/>
                <w:i/>
                <w:iCs/>
                <w:color w:val="000000"/>
                <w:sz w:val="17"/>
                <w:szCs w:val="17"/>
                <w:lang w:eastAsia="en-AU"/>
              </w:rPr>
              <w:t xml:space="preserve"> </w:t>
            </w:r>
          </w:p>
        </w:tc>
        <w:tc>
          <w:tcPr>
            <w:tcW w:w="1610" w:type="dxa"/>
            <w:gridSpan w:val="2"/>
            <w:tcBorders>
              <w:top w:val="single" w:sz="12"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 xml:space="preserve"> </w:t>
            </w:r>
          </w:p>
        </w:tc>
        <w:tc>
          <w:tcPr>
            <w:tcW w:w="1604" w:type="dxa"/>
            <w:gridSpan w:val="2"/>
            <w:tcBorders>
              <w:top w:val="single" w:sz="12"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i/>
                <w:iCs/>
                <w:color w:val="000000"/>
                <w:sz w:val="17"/>
                <w:szCs w:val="17"/>
                <w:lang w:eastAsia="en-AU"/>
              </w:rPr>
            </w:pPr>
            <w:r w:rsidRPr="00645124">
              <w:rPr>
                <w:rFonts w:ascii="Calibri" w:eastAsiaTheme="minorEastAsia" w:hAnsi="Calibri" w:cs="Calibri"/>
                <w:i/>
                <w:iCs/>
                <w:color w:val="000000"/>
                <w:sz w:val="17"/>
                <w:szCs w:val="17"/>
                <w:lang w:eastAsia="en-AU"/>
              </w:rPr>
              <w:t xml:space="preserve"> </w:t>
            </w:r>
          </w:p>
        </w:tc>
        <w:tc>
          <w:tcPr>
            <w:tcW w:w="1607" w:type="dxa"/>
            <w:tcBorders>
              <w:top w:val="single" w:sz="12"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 xml:space="preserve"> </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i/>
                <w:iCs/>
                <w:color w:val="000000"/>
                <w:sz w:val="17"/>
                <w:szCs w:val="17"/>
                <w:lang w:eastAsia="en-AU"/>
              </w:rPr>
            </w:pPr>
            <w:r w:rsidRPr="00645124">
              <w:rPr>
                <w:rFonts w:ascii="Calibri" w:eastAsiaTheme="minorEastAsia" w:hAnsi="Calibri" w:cs="Calibri"/>
                <w:i/>
                <w:iCs/>
                <w:color w:val="000000"/>
                <w:sz w:val="17"/>
                <w:szCs w:val="17"/>
                <w:lang w:eastAsia="en-AU"/>
              </w:rPr>
              <w:t xml:space="preserve"> </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 xml:space="preserve"> </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i/>
                <w:iCs/>
                <w:color w:val="000000"/>
                <w:sz w:val="17"/>
                <w:szCs w:val="17"/>
                <w:lang w:eastAsia="en-AU"/>
              </w:rPr>
            </w:pPr>
            <w:r w:rsidRPr="00645124">
              <w:rPr>
                <w:rFonts w:ascii="Calibri" w:eastAsiaTheme="minorEastAsia" w:hAnsi="Calibri" w:cs="Calibri"/>
                <w:i/>
                <w:iCs/>
                <w:color w:val="000000"/>
                <w:sz w:val="17"/>
                <w:szCs w:val="17"/>
                <w:lang w:eastAsia="en-AU"/>
              </w:rPr>
              <w:t xml:space="preserve"> </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 xml:space="preserve"> </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i/>
                <w:iCs/>
                <w:color w:val="000000"/>
                <w:sz w:val="17"/>
                <w:szCs w:val="17"/>
                <w:lang w:eastAsia="en-AU"/>
              </w:rPr>
            </w:pPr>
            <w:r w:rsidRPr="00645124">
              <w:rPr>
                <w:rFonts w:ascii="Calibri" w:eastAsiaTheme="minorEastAsia" w:hAnsi="Calibri" w:cs="Calibri"/>
                <w:i/>
                <w:iCs/>
                <w:color w:val="000000"/>
                <w:sz w:val="17"/>
                <w:szCs w:val="17"/>
                <w:lang w:eastAsia="en-AU"/>
              </w:rPr>
              <w:t xml:space="preserve"> </w:t>
            </w:r>
          </w:p>
        </w:tc>
        <w:tc>
          <w:tcPr>
            <w:tcW w:w="160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 xml:space="preserve"> </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1 428</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1 181</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(346)</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(580)</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3 724</w:t>
            </w:r>
          </w:p>
        </w:tc>
        <w:tc>
          <w:tcPr>
            <w:tcW w:w="161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2 746</w:t>
            </w:r>
          </w:p>
        </w:tc>
      </w:tr>
      <w:tr w:rsidR="00BB67AF" w:rsidRPr="00645124" w:rsidTr="00AC25A6">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(223)</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(475)</w:t>
            </w:r>
          </w:p>
        </w:tc>
        <w:tc>
          <w:tcPr>
            <w:tcW w:w="160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346</w:t>
            </w:r>
          </w:p>
        </w:tc>
        <w:tc>
          <w:tcPr>
            <w:tcW w:w="161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580</w:t>
            </w:r>
          </w:p>
        </w:tc>
        <w:tc>
          <w:tcPr>
            <w:tcW w:w="160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c>
          <w:tcPr>
            <w:tcW w:w="160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w:t>
            </w:r>
          </w:p>
        </w:tc>
      </w:tr>
      <w:tr w:rsidR="00BB67AF" w:rsidRPr="00645124" w:rsidTr="00AC25A6">
        <w:tc>
          <w:tcPr>
            <w:tcW w:w="160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(17)</w:t>
            </w:r>
          </w:p>
        </w:tc>
        <w:tc>
          <w:tcPr>
            <w:tcW w:w="1610"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(12)</w:t>
            </w:r>
          </w:p>
        </w:tc>
        <w:tc>
          <w:tcPr>
            <w:tcW w:w="160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(81)</w:t>
            </w:r>
          </w:p>
        </w:tc>
        <w:tc>
          <w:tcPr>
            <w:tcW w:w="1610"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21</w:t>
            </w:r>
          </w:p>
        </w:tc>
        <w:tc>
          <w:tcPr>
            <w:tcW w:w="1604"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(3 046)</w:t>
            </w:r>
          </w:p>
        </w:tc>
        <w:tc>
          <w:tcPr>
            <w:tcW w:w="1607"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7"/>
                <w:szCs w:val="17"/>
                <w:lang w:eastAsia="en-AU"/>
              </w:rPr>
            </w:pPr>
            <w:r w:rsidRPr="00645124">
              <w:rPr>
                <w:rFonts w:ascii="Calibri" w:eastAsiaTheme="minorEastAsia" w:hAnsi="Calibri" w:cs="Calibri"/>
                <w:color w:val="000000"/>
                <w:sz w:val="17"/>
                <w:szCs w:val="17"/>
                <w:lang w:eastAsia="en-AU"/>
              </w:rPr>
              <w:t>(2 989)</w:t>
            </w:r>
          </w:p>
        </w:tc>
      </w:tr>
      <w:tr w:rsidR="00BB67AF" w:rsidRPr="00645124" w:rsidTr="00AC25A6">
        <w:tc>
          <w:tcPr>
            <w:tcW w:w="1604"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1 188</w:t>
            </w:r>
          </w:p>
        </w:tc>
        <w:tc>
          <w:tcPr>
            <w:tcW w:w="1610" w:type="dxa"/>
            <w:gridSpan w:val="2"/>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694</w:t>
            </w:r>
          </w:p>
        </w:tc>
        <w:tc>
          <w:tcPr>
            <w:tcW w:w="1604"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(81)</w:t>
            </w:r>
          </w:p>
        </w:tc>
        <w:tc>
          <w:tcPr>
            <w:tcW w:w="1604"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20</w:t>
            </w:r>
          </w:p>
        </w:tc>
        <w:tc>
          <w:tcPr>
            <w:tcW w:w="1604" w:type="dxa"/>
            <w:gridSpan w:val="2"/>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678</w:t>
            </w:r>
          </w:p>
        </w:tc>
        <w:tc>
          <w:tcPr>
            <w:tcW w:w="1613" w:type="dxa"/>
            <w:gridSpan w:val="2"/>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7"/>
                <w:szCs w:val="17"/>
                <w:lang w:eastAsia="en-AU"/>
              </w:rPr>
            </w:pPr>
            <w:r w:rsidRPr="00645124">
              <w:rPr>
                <w:rFonts w:ascii="Calibri" w:eastAsiaTheme="minorEastAsia" w:hAnsi="Calibri" w:cs="Calibri"/>
                <w:b/>
                <w:bCs/>
                <w:color w:val="000000"/>
                <w:sz w:val="17"/>
                <w:szCs w:val="17"/>
                <w:lang w:eastAsia="en-AU"/>
              </w:rPr>
              <w:t>(242)</w:t>
            </w:r>
          </w:p>
        </w:tc>
      </w:tr>
    </w:tbl>
    <w:p w:rsidR="00BB67AF" w:rsidRDefault="00BB67AF" w:rsidP="003E6750"/>
    <w:p w:rsidR="00BB67AF" w:rsidRDefault="00BB67AF" w:rsidP="003E6750">
      <w:pPr>
        <w:pStyle w:val="Heading2NotesContd"/>
      </w:pPr>
    </w:p>
    <w:p w:rsidR="00BB67AF" w:rsidRDefault="00BB67AF" w:rsidP="003E6750">
      <w:pPr>
        <w:pStyle w:val="Heading2NotesContd"/>
        <w:sectPr w:rsidR="00BB67AF" w:rsidSect="003E6750">
          <w:headerReference w:type="even" r:id="rId32"/>
          <w:headerReference w:type="default" r:id="rId33"/>
          <w:footerReference w:type="even" r:id="rId34"/>
          <w:footerReference w:type="default" r:id="rId35"/>
          <w:pgSz w:w="11906" w:h="16838" w:code="9"/>
          <w:pgMar w:top="1151" w:right="1151" w:bottom="1151" w:left="1151" w:header="720" w:footer="720" w:gutter="0"/>
          <w:cols w:space="708"/>
          <w:docGrid w:linePitch="360"/>
        </w:sectPr>
      </w:pPr>
    </w:p>
    <w:p w:rsidR="00BB67AF" w:rsidRDefault="00BB67AF" w:rsidP="003E6750">
      <w:pPr>
        <w:pStyle w:val="Heading2NotesContd"/>
      </w:pPr>
      <w:r>
        <w:lastRenderedPageBreak/>
        <w:t xml:space="preserve">Note 2: </w:t>
      </w:r>
      <w:r>
        <w:tab/>
        <w:t xml:space="preserve">Disaggregated information </w:t>
      </w:r>
      <w:r w:rsidRPr="00D75DA0">
        <w:rPr>
          <w:i/>
        </w:rPr>
        <w:t>(continued)</w:t>
      </w:r>
    </w:p>
    <w:p w:rsidR="00BB67AF" w:rsidRDefault="00BB67AF" w:rsidP="003E6750">
      <w:pPr>
        <w:pStyle w:val="Tableheading"/>
      </w:pPr>
      <w:r>
        <w:t>Disaggregated statement of changes in equity as at 31 December</w:t>
      </w:r>
    </w:p>
    <w:p w:rsidR="00BB67AF" w:rsidRPr="006E014F" w:rsidRDefault="00BB67AF" w:rsidP="003E6750">
      <w:pPr>
        <w:pStyle w:val="million"/>
        <w:rPr>
          <w:b/>
          <w:bCs/>
          <w:lang w:val="en-US"/>
        </w:rPr>
      </w:pPr>
      <w:r>
        <w:t>($ million)</w:t>
      </w:r>
    </w:p>
    <w:tbl>
      <w:tblPr>
        <w:tblW w:w="14740" w:type="dxa"/>
        <w:tblInd w:w="45" w:type="dxa"/>
        <w:tblLayout w:type="fixed"/>
        <w:tblCellMar>
          <w:left w:w="45" w:type="dxa"/>
          <w:right w:w="45" w:type="dxa"/>
        </w:tblCellMar>
        <w:tblLook w:val="0000" w:firstRow="0" w:lastRow="0" w:firstColumn="0" w:lastColumn="0" w:noHBand="0" w:noVBand="0"/>
      </w:tblPr>
      <w:tblGrid>
        <w:gridCol w:w="4394"/>
        <w:gridCol w:w="567"/>
        <w:gridCol w:w="1276"/>
        <w:gridCol w:w="1275"/>
        <w:gridCol w:w="1503"/>
        <w:gridCol w:w="1758"/>
        <w:gridCol w:w="1985"/>
        <w:gridCol w:w="992"/>
        <w:gridCol w:w="990"/>
      </w:tblGrid>
      <w:tr w:rsidR="00BB67AF" w:rsidRPr="00645124" w:rsidTr="003E6750">
        <w:trPr>
          <w:tblHeader/>
        </w:trPr>
        <w:tc>
          <w:tcPr>
            <w:tcW w:w="439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rPr>
                <w:rFonts w:ascii="Calibri" w:eastAsiaTheme="minorEastAsia" w:hAnsi="Calibri" w:cs="Calibri"/>
                <w:b/>
                <w:bCs/>
                <w:i/>
                <w:iCs/>
                <w:color w:val="FFFFFF"/>
                <w:sz w:val="21"/>
                <w:szCs w:val="21"/>
                <w:lang w:eastAsia="en-AU"/>
              </w:rPr>
            </w:pPr>
            <w:r w:rsidRPr="00645124">
              <w:rPr>
                <w:rFonts w:ascii="Calibri" w:eastAsiaTheme="minorEastAsia" w:hAnsi="Calibri" w:cs="Calibri"/>
                <w:b/>
                <w:bCs/>
                <w:i/>
                <w:iCs/>
                <w:color w:val="FFFFFF"/>
                <w:sz w:val="21"/>
                <w:szCs w:val="21"/>
                <w:lang w:eastAsia="en-AU"/>
              </w:rPr>
              <w:t>2015</w:t>
            </w:r>
          </w:p>
        </w:tc>
        <w:tc>
          <w:tcPr>
            <w:tcW w:w="1843" w:type="dxa"/>
            <w:gridSpan w:val="2"/>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1"/>
                <w:szCs w:val="21"/>
                <w:vertAlign w:val="superscript"/>
                <w:lang w:eastAsia="en-AU"/>
              </w:rPr>
            </w:pPr>
            <w:r w:rsidRPr="00645124">
              <w:rPr>
                <w:rFonts w:ascii="Calibri" w:eastAsiaTheme="minorEastAsia" w:hAnsi="Calibri" w:cs="Calibri"/>
                <w:i/>
                <w:iCs/>
                <w:color w:val="FFFFFF"/>
                <w:sz w:val="21"/>
                <w:szCs w:val="21"/>
                <w:lang w:eastAsia="en-AU"/>
              </w:rPr>
              <w:t xml:space="preserve">Accumulated surplus/(deficit) </w:t>
            </w:r>
            <w:r w:rsidRPr="00645124">
              <w:rPr>
                <w:rFonts w:ascii="Calibri" w:eastAsiaTheme="minorEastAsia" w:hAnsi="Calibri" w:cs="Calibri"/>
                <w:i/>
                <w:iCs/>
                <w:color w:val="FFFFFF"/>
                <w:sz w:val="21"/>
                <w:szCs w:val="21"/>
                <w:vertAlign w:val="superscript"/>
                <w:lang w:eastAsia="en-AU"/>
              </w:rPr>
              <w:t>(a)</w:t>
            </w:r>
          </w:p>
        </w:tc>
        <w:tc>
          <w:tcPr>
            <w:tcW w:w="1275"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1"/>
                <w:szCs w:val="21"/>
                <w:lang w:eastAsia="en-AU"/>
              </w:rPr>
            </w:pPr>
            <w:r w:rsidRPr="00645124">
              <w:rPr>
                <w:rFonts w:ascii="Calibri" w:eastAsiaTheme="minorEastAsia" w:hAnsi="Calibri" w:cs="Calibri"/>
                <w:i/>
                <w:iCs/>
                <w:color w:val="FFFFFF"/>
                <w:sz w:val="21"/>
                <w:szCs w:val="21"/>
                <w:lang w:eastAsia="en-AU"/>
              </w:rPr>
              <w:t xml:space="preserve">Contribution </w:t>
            </w:r>
            <w:r w:rsidRPr="00645124">
              <w:rPr>
                <w:rFonts w:ascii="Calibri" w:eastAsiaTheme="minorEastAsia" w:hAnsi="Calibri" w:cs="Calibri"/>
                <w:i/>
                <w:iCs/>
                <w:color w:val="FFFFFF"/>
                <w:sz w:val="21"/>
                <w:szCs w:val="21"/>
                <w:lang w:eastAsia="en-AU"/>
              </w:rPr>
              <w:br/>
              <w:t>by owners</w:t>
            </w:r>
          </w:p>
        </w:tc>
        <w:tc>
          <w:tcPr>
            <w:tcW w:w="1503" w:type="dxa"/>
            <w:tcBorders>
              <w:top w:val="nil"/>
              <w:left w:val="nil"/>
              <w:right w:val="nil"/>
            </w:tcBorders>
            <w:shd w:val="solid" w:color="000000" w:fill="auto"/>
            <w:vAlign w:val="bottom"/>
          </w:tcPr>
          <w:p w:rsidR="00BB67AF" w:rsidRPr="00645124" w:rsidRDefault="00BB67AF" w:rsidP="00494AD7">
            <w:pPr>
              <w:autoSpaceDE w:val="0"/>
              <w:autoSpaceDN w:val="0"/>
              <w:adjustRightInd w:val="0"/>
              <w:spacing w:after="0"/>
              <w:jc w:val="right"/>
              <w:rPr>
                <w:rFonts w:ascii="Calibri" w:eastAsiaTheme="minorEastAsia" w:hAnsi="Calibri" w:cs="Calibri"/>
                <w:i/>
                <w:iCs/>
                <w:color w:val="FFFFFF"/>
                <w:sz w:val="21"/>
                <w:szCs w:val="21"/>
                <w:lang w:eastAsia="en-AU"/>
              </w:rPr>
            </w:pPr>
            <w:r w:rsidRPr="00645124">
              <w:rPr>
                <w:rFonts w:ascii="Calibri" w:eastAsiaTheme="minorEastAsia" w:hAnsi="Calibri" w:cs="Calibri"/>
                <w:i/>
                <w:iCs/>
                <w:color w:val="FFFFFF"/>
                <w:sz w:val="21"/>
                <w:szCs w:val="21"/>
                <w:lang w:eastAsia="en-AU"/>
              </w:rPr>
              <w:t xml:space="preserve">Non-controlling </w:t>
            </w:r>
            <w:r w:rsidR="00494AD7" w:rsidRPr="00645124">
              <w:rPr>
                <w:rFonts w:ascii="Calibri" w:eastAsiaTheme="minorEastAsia" w:hAnsi="Calibri" w:cs="Calibri"/>
                <w:i/>
                <w:iCs/>
                <w:color w:val="FFFFFF"/>
                <w:sz w:val="21"/>
                <w:szCs w:val="21"/>
                <w:lang w:eastAsia="en-AU"/>
              </w:rPr>
              <w:t>i</w:t>
            </w:r>
            <w:r w:rsidRPr="00645124">
              <w:rPr>
                <w:rFonts w:ascii="Calibri" w:eastAsiaTheme="minorEastAsia" w:hAnsi="Calibri" w:cs="Calibri"/>
                <w:i/>
                <w:iCs/>
                <w:color w:val="FFFFFF"/>
                <w:sz w:val="21"/>
                <w:szCs w:val="21"/>
                <w:lang w:eastAsia="en-AU"/>
              </w:rPr>
              <w:t>nterest</w:t>
            </w:r>
          </w:p>
        </w:tc>
        <w:tc>
          <w:tcPr>
            <w:tcW w:w="1758"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1"/>
                <w:szCs w:val="21"/>
                <w:vertAlign w:val="superscript"/>
                <w:lang w:eastAsia="en-AU"/>
              </w:rPr>
            </w:pPr>
            <w:r w:rsidRPr="00645124">
              <w:rPr>
                <w:rFonts w:ascii="Calibri" w:eastAsiaTheme="minorEastAsia" w:hAnsi="Calibri" w:cs="Calibri"/>
                <w:i/>
                <w:iCs/>
                <w:color w:val="FFFFFF"/>
                <w:sz w:val="21"/>
                <w:szCs w:val="21"/>
                <w:lang w:eastAsia="en-AU"/>
              </w:rPr>
              <w:t xml:space="preserve">Non-financial </w:t>
            </w:r>
            <w:r w:rsidRPr="00645124">
              <w:rPr>
                <w:rFonts w:ascii="Calibri" w:eastAsiaTheme="minorEastAsia" w:hAnsi="Calibri" w:cs="Calibri"/>
                <w:i/>
                <w:iCs/>
                <w:color w:val="FFFFFF"/>
                <w:sz w:val="21"/>
                <w:szCs w:val="21"/>
                <w:lang w:eastAsia="en-AU"/>
              </w:rPr>
              <w:br/>
              <w:t xml:space="preserve">assets revaluation surplus </w:t>
            </w:r>
            <w:r w:rsidRPr="00645124">
              <w:rPr>
                <w:rFonts w:ascii="Calibri" w:eastAsiaTheme="minorEastAsia" w:hAnsi="Calibri" w:cs="Calibri"/>
                <w:i/>
                <w:iCs/>
                <w:color w:val="FFFFFF"/>
                <w:sz w:val="21"/>
                <w:szCs w:val="21"/>
                <w:vertAlign w:val="superscript"/>
                <w:lang w:eastAsia="en-AU"/>
              </w:rPr>
              <w:t>(a)</w:t>
            </w:r>
          </w:p>
        </w:tc>
        <w:tc>
          <w:tcPr>
            <w:tcW w:w="1985"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1"/>
                <w:szCs w:val="21"/>
                <w:lang w:eastAsia="en-AU"/>
              </w:rPr>
            </w:pPr>
            <w:r w:rsidRPr="00645124">
              <w:rPr>
                <w:rFonts w:ascii="Calibri" w:eastAsiaTheme="minorEastAsia" w:hAnsi="Calibri" w:cs="Calibri"/>
                <w:i/>
                <w:iCs/>
                <w:color w:val="FFFFFF"/>
                <w:sz w:val="21"/>
                <w:szCs w:val="21"/>
                <w:lang w:eastAsia="en-AU"/>
              </w:rPr>
              <w:t xml:space="preserve">Investment in </w:t>
            </w:r>
            <w:r w:rsidRPr="00645124">
              <w:rPr>
                <w:rFonts w:ascii="Calibri" w:eastAsiaTheme="minorEastAsia" w:hAnsi="Calibri" w:cs="Calibri"/>
                <w:i/>
                <w:iCs/>
                <w:color w:val="FFFFFF"/>
                <w:sz w:val="21"/>
                <w:szCs w:val="21"/>
                <w:lang w:eastAsia="en-AU"/>
              </w:rPr>
              <w:br/>
              <w:t>other sector entities revaluation surplus</w:t>
            </w:r>
          </w:p>
        </w:tc>
        <w:tc>
          <w:tcPr>
            <w:tcW w:w="992"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1"/>
                <w:szCs w:val="21"/>
                <w:lang w:eastAsia="en-AU"/>
              </w:rPr>
            </w:pPr>
            <w:r w:rsidRPr="00645124">
              <w:rPr>
                <w:rFonts w:ascii="Calibri" w:eastAsiaTheme="minorEastAsia" w:hAnsi="Calibri" w:cs="Calibri"/>
                <w:i/>
                <w:iCs/>
                <w:color w:val="FFFFFF"/>
                <w:sz w:val="21"/>
                <w:szCs w:val="21"/>
                <w:lang w:eastAsia="en-AU"/>
              </w:rPr>
              <w:t>Other reserves</w:t>
            </w:r>
          </w:p>
        </w:tc>
        <w:tc>
          <w:tcPr>
            <w:tcW w:w="990"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1"/>
                <w:szCs w:val="21"/>
                <w:lang w:eastAsia="en-AU"/>
              </w:rPr>
            </w:pPr>
            <w:r w:rsidRPr="00645124">
              <w:rPr>
                <w:rFonts w:ascii="Calibri" w:eastAsiaTheme="minorEastAsia" w:hAnsi="Calibri" w:cs="Calibri"/>
                <w:i/>
                <w:iCs/>
                <w:color w:val="FFFFFF"/>
                <w:sz w:val="21"/>
                <w:szCs w:val="21"/>
                <w:lang w:eastAsia="en-AU"/>
              </w:rPr>
              <w:t xml:space="preserve">Total </w:t>
            </w:r>
            <w:r w:rsidRPr="00645124">
              <w:rPr>
                <w:rFonts w:ascii="Calibri" w:eastAsiaTheme="minorEastAsia" w:hAnsi="Calibri" w:cs="Calibri"/>
                <w:i/>
                <w:iCs/>
                <w:color w:val="FFFFFF"/>
                <w:sz w:val="21"/>
                <w:szCs w:val="21"/>
                <w:vertAlign w:val="superscript"/>
                <w:lang w:eastAsia="en-AU"/>
              </w:rPr>
              <w:t>(a)</w:t>
            </w:r>
          </w:p>
        </w:tc>
      </w:tr>
      <w:tr w:rsidR="00BB67AF" w:rsidRPr="00645124" w:rsidTr="003E6750">
        <w:tc>
          <w:tcPr>
            <w:tcW w:w="43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General government sector</w:t>
            </w:r>
          </w:p>
        </w:tc>
        <w:tc>
          <w:tcPr>
            <w:tcW w:w="184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127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15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175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19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99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r>
      <w:tr w:rsidR="00BB67AF" w:rsidRPr="00645124" w:rsidTr="003E6750">
        <w:tc>
          <w:tcPr>
            <w:tcW w:w="43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Balance at 1 July 2015</w:t>
            </w:r>
          </w:p>
        </w:tc>
        <w:tc>
          <w:tcPr>
            <w:tcW w:w="184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45 764</w:t>
            </w:r>
          </w:p>
        </w:tc>
        <w:tc>
          <w:tcPr>
            <w:tcW w:w="127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5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50</w:t>
            </w:r>
          </w:p>
        </w:tc>
        <w:tc>
          <w:tcPr>
            <w:tcW w:w="175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43 355</w:t>
            </w:r>
          </w:p>
        </w:tc>
        <w:tc>
          <w:tcPr>
            <w:tcW w:w="19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46 413</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728</w:t>
            </w:r>
          </w:p>
        </w:tc>
        <w:tc>
          <w:tcPr>
            <w:tcW w:w="99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136 310</w:t>
            </w:r>
          </w:p>
        </w:tc>
      </w:tr>
      <w:tr w:rsidR="00BB67AF" w:rsidRPr="00645124" w:rsidTr="003E6750">
        <w:tc>
          <w:tcPr>
            <w:tcW w:w="43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Net result for the six months</w:t>
            </w:r>
          </w:p>
        </w:tc>
        <w:tc>
          <w:tcPr>
            <w:tcW w:w="184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1 239</w:t>
            </w:r>
          </w:p>
        </w:tc>
        <w:tc>
          <w:tcPr>
            <w:tcW w:w="127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5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75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9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1 239</w:t>
            </w:r>
          </w:p>
        </w:tc>
      </w:tr>
      <w:tr w:rsidR="00BB67AF" w:rsidRPr="00645124" w:rsidTr="003E6750">
        <w:tc>
          <w:tcPr>
            <w:tcW w:w="43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Other comprehensive income for the year</w:t>
            </w:r>
          </w:p>
        </w:tc>
        <w:tc>
          <w:tcPr>
            <w:tcW w:w="184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(678)</w:t>
            </w:r>
          </w:p>
        </w:tc>
        <w:tc>
          <w:tcPr>
            <w:tcW w:w="127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5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75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8</w:t>
            </w:r>
          </w:p>
        </w:tc>
        <w:tc>
          <w:tcPr>
            <w:tcW w:w="19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(246)</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(77)</w:t>
            </w:r>
          </w:p>
        </w:tc>
        <w:tc>
          <w:tcPr>
            <w:tcW w:w="99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(993)</w:t>
            </w:r>
          </w:p>
        </w:tc>
      </w:tr>
      <w:tr w:rsidR="00BB67AF" w:rsidRPr="00645124" w:rsidTr="003E6750">
        <w:tc>
          <w:tcPr>
            <w:tcW w:w="43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Transfer to accumulated surplus </w:t>
            </w:r>
          </w:p>
        </w:tc>
        <w:tc>
          <w:tcPr>
            <w:tcW w:w="184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(22)</w:t>
            </w:r>
          </w:p>
        </w:tc>
        <w:tc>
          <w:tcPr>
            <w:tcW w:w="127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5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75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22</w:t>
            </w:r>
          </w:p>
        </w:tc>
        <w:tc>
          <w:tcPr>
            <w:tcW w:w="19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r>
      <w:tr w:rsidR="00BB67AF" w:rsidRPr="00645124" w:rsidTr="003E6750">
        <w:tc>
          <w:tcPr>
            <w:tcW w:w="4961"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Transactions with owners in their capacity as owners</w:t>
            </w:r>
          </w:p>
        </w:tc>
        <w:tc>
          <w:tcPr>
            <w:tcW w:w="127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127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1503"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1758"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198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99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990"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r>
      <w:tr w:rsidR="00BB67AF" w:rsidRPr="00645124" w:rsidTr="003E6750">
        <w:tc>
          <w:tcPr>
            <w:tcW w:w="439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Total equity as at 31 December 2015</w:t>
            </w:r>
          </w:p>
        </w:tc>
        <w:tc>
          <w:tcPr>
            <w:tcW w:w="1843" w:type="dxa"/>
            <w:gridSpan w:val="2"/>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46 304</w:t>
            </w:r>
          </w:p>
        </w:tc>
        <w:tc>
          <w:tcPr>
            <w:tcW w:w="1275"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w:t>
            </w:r>
          </w:p>
        </w:tc>
        <w:tc>
          <w:tcPr>
            <w:tcW w:w="1503"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50</w:t>
            </w:r>
          </w:p>
        </w:tc>
        <w:tc>
          <w:tcPr>
            <w:tcW w:w="1758"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43 385</w:t>
            </w:r>
          </w:p>
        </w:tc>
        <w:tc>
          <w:tcPr>
            <w:tcW w:w="1985"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46 167</w:t>
            </w:r>
          </w:p>
        </w:tc>
        <w:tc>
          <w:tcPr>
            <w:tcW w:w="992"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651</w:t>
            </w:r>
          </w:p>
        </w:tc>
        <w:tc>
          <w:tcPr>
            <w:tcW w:w="990"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136 556</w:t>
            </w:r>
          </w:p>
        </w:tc>
      </w:tr>
      <w:tr w:rsidR="00BB67AF" w:rsidRPr="00645124" w:rsidTr="003E6750">
        <w:tc>
          <w:tcPr>
            <w:tcW w:w="4394"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PNFC sector</w:t>
            </w:r>
          </w:p>
        </w:tc>
        <w:tc>
          <w:tcPr>
            <w:tcW w:w="1843" w:type="dxa"/>
            <w:gridSpan w:val="2"/>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1275"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1503"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1758"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1985"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992"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990"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r>
      <w:tr w:rsidR="00BB67AF" w:rsidRPr="00645124" w:rsidTr="003E6750">
        <w:tc>
          <w:tcPr>
            <w:tcW w:w="43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Balance at 1 July 2015</w:t>
            </w:r>
          </w:p>
        </w:tc>
        <w:tc>
          <w:tcPr>
            <w:tcW w:w="184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4 430</w:t>
            </w:r>
          </w:p>
        </w:tc>
        <w:tc>
          <w:tcPr>
            <w:tcW w:w="127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49 943</w:t>
            </w:r>
          </w:p>
        </w:tc>
        <w:tc>
          <w:tcPr>
            <w:tcW w:w="15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75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24 161</w:t>
            </w:r>
          </w:p>
        </w:tc>
        <w:tc>
          <w:tcPr>
            <w:tcW w:w="19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437</w:t>
            </w:r>
          </w:p>
        </w:tc>
        <w:tc>
          <w:tcPr>
            <w:tcW w:w="99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78 972</w:t>
            </w:r>
          </w:p>
        </w:tc>
      </w:tr>
      <w:tr w:rsidR="00BB67AF" w:rsidRPr="00645124" w:rsidTr="003E6750">
        <w:tc>
          <w:tcPr>
            <w:tcW w:w="43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Net result for the six months</w:t>
            </w:r>
          </w:p>
        </w:tc>
        <w:tc>
          <w:tcPr>
            <w:tcW w:w="184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87</w:t>
            </w:r>
          </w:p>
        </w:tc>
        <w:tc>
          <w:tcPr>
            <w:tcW w:w="127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5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75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9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87</w:t>
            </w:r>
          </w:p>
        </w:tc>
      </w:tr>
      <w:tr w:rsidR="00BB67AF" w:rsidRPr="00645124" w:rsidTr="003E6750">
        <w:tc>
          <w:tcPr>
            <w:tcW w:w="43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Other comprehensive income for the year</w:t>
            </w:r>
          </w:p>
        </w:tc>
        <w:tc>
          <w:tcPr>
            <w:tcW w:w="184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65</w:t>
            </w:r>
          </w:p>
        </w:tc>
        <w:tc>
          <w:tcPr>
            <w:tcW w:w="127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5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75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(8)</w:t>
            </w:r>
          </w:p>
        </w:tc>
        <w:tc>
          <w:tcPr>
            <w:tcW w:w="19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8</w:t>
            </w:r>
          </w:p>
        </w:tc>
        <w:tc>
          <w:tcPr>
            <w:tcW w:w="99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65</w:t>
            </w:r>
          </w:p>
        </w:tc>
      </w:tr>
      <w:tr w:rsidR="00BB67AF" w:rsidRPr="00645124" w:rsidTr="003E6750">
        <w:tc>
          <w:tcPr>
            <w:tcW w:w="43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Transfer to accumulated surplus</w:t>
            </w:r>
          </w:p>
        </w:tc>
        <w:tc>
          <w:tcPr>
            <w:tcW w:w="184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127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15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175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19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99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r>
      <w:tr w:rsidR="00BB67AF" w:rsidRPr="00645124" w:rsidTr="003E6750">
        <w:tc>
          <w:tcPr>
            <w:tcW w:w="43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Dividends paid</w:t>
            </w:r>
          </w:p>
        </w:tc>
        <w:tc>
          <w:tcPr>
            <w:tcW w:w="184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(124)</w:t>
            </w:r>
          </w:p>
        </w:tc>
        <w:tc>
          <w:tcPr>
            <w:tcW w:w="127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5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75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9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(124)</w:t>
            </w:r>
          </w:p>
        </w:tc>
      </w:tr>
      <w:tr w:rsidR="00BB67AF" w:rsidRPr="00645124" w:rsidTr="003E6750">
        <w:tc>
          <w:tcPr>
            <w:tcW w:w="4961"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Transactions with owners in their capacity as owners</w:t>
            </w:r>
          </w:p>
        </w:tc>
        <w:tc>
          <w:tcPr>
            <w:tcW w:w="127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27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628</w:t>
            </w:r>
          </w:p>
        </w:tc>
        <w:tc>
          <w:tcPr>
            <w:tcW w:w="1503"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758"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98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0"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628</w:t>
            </w:r>
          </w:p>
        </w:tc>
      </w:tr>
      <w:tr w:rsidR="00BB67AF" w:rsidRPr="00645124" w:rsidTr="003E6750">
        <w:tc>
          <w:tcPr>
            <w:tcW w:w="439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Total equity as at 31 December 2015</w:t>
            </w:r>
          </w:p>
        </w:tc>
        <w:tc>
          <w:tcPr>
            <w:tcW w:w="1843" w:type="dxa"/>
            <w:gridSpan w:val="2"/>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4 459</w:t>
            </w:r>
          </w:p>
        </w:tc>
        <w:tc>
          <w:tcPr>
            <w:tcW w:w="1275"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50 571</w:t>
            </w:r>
          </w:p>
        </w:tc>
        <w:tc>
          <w:tcPr>
            <w:tcW w:w="1503"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w:t>
            </w:r>
          </w:p>
        </w:tc>
        <w:tc>
          <w:tcPr>
            <w:tcW w:w="1758"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24 153</w:t>
            </w:r>
          </w:p>
        </w:tc>
        <w:tc>
          <w:tcPr>
            <w:tcW w:w="1985"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w:t>
            </w:r>
          </w:p>
        </w:tc>
        <w:tc>
          <w:tcPr>
            <w:tcW w:w="992"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446</w:t>
            </w:r>
          </w:p>
        </w:tc>
        <w:tc>
          <w:tcPr>
            <w:tcW w:w="990"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79 629</w:t>
            </w:r>
          </w:p>
        </w:tc>
      </w:tr>
      <w:tr w:rsidR="00BB67AF" w:rsidRPr="00645124" w:rsidTr="003E6750">
        <w:tc>
          <w:tcPr>
            <w:tcW w:w="4394"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PFC sector</w:t>
            </w:r>
          </w:p>
        </w:tc>
        <w:tc>
          <w:tcPr>
            <w:tcW w:w="1843" w:type="dxa"/>
            <w:gridSpan w:val="2"/>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1275"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1503"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1758"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1985"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992"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990"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r>
      <w:tr w:rsidR="00BB67AF" w:rsidRPr="00645124" w:rsidTr="003E6750">
        <w:tc>
          <w:tcPr>
            <w:tcW w:w="43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Balance at 1 July 2015</w:t>
            </w:r>
          </w:p>
        </w:tc>
        <w:tc>
          <w:tcPr>
            <w:tcW w:w="184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(1 009)</w:t>
            </w:r>
          </w:p>
        </w:tc>
        <w:tc>
          <w:tcPr>
            <w:tcW w:w="127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177</w:t>
            </w:r>
          </w:p>
        </w:tc>
        <w:tc>
          <w:tcPr>
            <w:tcW w:w="15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75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2</w:t>
            </w:r>
          </w:p>
        </w:tc>
        <w:tc>
          <w:tcPr>
            <w:tcW w:w="19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35</w:t>
            </w:r>
          </w:p>
        </w:tc>
        <w:tc>
          <w:tcPr>
            <w:tcW w:w="99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(794)</w:t>
            </w:r>
          </w:p>
        </w:tc>
      </w:tr>
      <w:tr w:rsidR="00BB67AF" w:rsidRPr="00645124" w:rsidTr="003E6750">
        <w:tc>
          <w:tcPr>
            <w:tcW w:w="43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Net result for the six months</w:t>
            </w:r>
          </w:p>
        </w:tc>
        <w:tc>
          <w:tcPr>
            <w:tcW w:w="184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(256)</w:t>
            </w:r>
          </w:p>
        </w:tc>
        <w:tc>
          <w:tcPr>
            <w:tcW w:w="127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5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75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9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(256)</w:t>
            </w:r>
          </w:p>
        </w:tc>
      </w:tr>
      <w:tr w:rsidR="00BB67AF" w:rsidRPr="00645124" w:rsidTr="003E6750">
        <w:tc>
          <w:tcPr>
            <w:tcW w:w="43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Other comprehensive income for the year</w:t>
            </w:r>
          </w:p>
        </w:tc>
        <w:tc>
          <w:tcPr>
            <w:tcW w:w="184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(4)</w:t>
            </w:r>
          </w:p>
        </w:tc>
        <w:tc>
          <w:tcPr>
            <w:tcW w:w="127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5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75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9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4</w:t>
            </w:r>
          </w:p>
        </w:tc>
        <w:tc>
          <w:tcPr>
            <w:tcW w:w="99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r>
      <w:tr w:rsidR="00BB67AF" w:rsidRPr="00645124" w:rsidTr="003E6750">
        <w:tc>
          <w:tcPr>
            <w:tcW w:w="43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Transfer to accumulated surplus </w:t>
            </w:r>
          </w:p>
        </w:tc>
        <w:tc>
          <w:tcPr>
            <w:tcW w:w="184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127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15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175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19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99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r>
      <w:tr w:rsidR="00BB67AF" w:rsidRPr="00645124" w:rsidTr="003E6750">
        <w:tc>
          <w:tcPr>
            <w:tcW w:w="43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Dividends paid</w:t>
            </w:r>
          </w:p>
        </w:tc>
        <w:tc>
          <w:tcPr>
            <w:tcW w:w="184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(223)</w:t>
            </w:r>
          </w:p>
        </w:tc>
        <w:tc>
          <w:tcPr>
            <w:tcW w:w="127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50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75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9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(223)</w:t>
            </w:r>
          </w:p>
        </w:tc>
      </w:tr>
      <w:tr w:rsidR="00BB67AF" w:rsidRPr="00645124" w:rsidTr="003E6750">
        <w:tc>
          <w:tcPr>
            <w:tcW w:w="4961"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Transactions with owners in their capacity as owners</w:t>
            </w:r>
          </w:p>
        </w:tc>
        <w:tc>
          <w:tcPr>
            <w:tcW w:w="127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127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1503"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1758"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198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99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990"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r>
      <w:tr w:rsidR="00BB67AF" w:rsidRPr="00645124" w:rsidTr="003E6750">
        <w:tc>
          <w:tcPr>
            <w:tcW w:w="439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Total equity as at 31 December 2015</w:t>
            </w:r>
          </w:p>
        </w:tc>
        <w:tc>
          <w:tcPr>
            <w:tcW w:w="1843" w:type="dxa"/>
            <w:gridSpan w:val="2"/>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(1 491)</w:t>
            </w:r>
          </w:p>
        </w:tc>
        <w:tc>
          <w:tcPr>
            <w:tcW w:w="1275"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177</w:t>
            </w:r>
          </w:p>
        </w:tc>
        <w:tc>
          <w:tcPr>
            <w:tcW w:w="1503"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w:t>
            </w:r>
          </w:p>
        </w:tc>
        <w:tc>
          <w:tcPr>
            <w:tcW w:w="1758"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2</w:t>
            </w:r>
          </w:p>
        </w:tc>
        <w:tc>
          <w:tcPr>
            <w:tcW w:w="1985"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w:t>
            </w:r>
          </w:p>
        </w:tc>
        <w:tc>
          <w:tcPr>
            <w:tcW w:w="992"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39</w:t>
            </w:r>
          </w:p>
        </w:tc>
        <w:tc>
          <w:tcPr>
            <w:tcW w:w="990"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(1 273)</w:t>
            </w:r>
          </w:p>
        </w:tc>
      </w:tr>
      <w:tr w:rsidR="00BB67AF" w:rsidRPr="00645124" w:rsidTr="003E6750">
        <w:tc>
          <w:tcPr>
            <w:tcW w:w="4394" w:type="dxa"/>
            <w:tcBorders>
              <w:top w:val="single" w:sz="12"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Eliminations</w:t>
            </w:r>
          </w:p>
        </w:tc>
        <w:tc>
          <w:tcPr>
            <w:tcW w:w="1843" w:type="dxa"/>
            <w:gridSpan w:val="2"/>
            <w:tcBorders>
              <w:top w:val="single" w:sz="12"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11 837</w:t>
            </w:r>
          </w:p>
        </w:tc>
        <w:tc>
          <w:tcPr>
            <w:tcW w:w="1275" w:type="dxa"/>
            <w:tcBorders>
              <w:top w:val="single" w:sz="12"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(50 748)</w:t>
            </w:r>
          </w:p>
        </w:tc>
        <w:tc>
          <w:tcPr>
            <w:tcW w:w="1503" w:type="dxa"/>
            <w:tcBorders>
              <w:top w:val="single" w:sz="12"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758" w:type="dxa"/>
            <w:tcBorders>
              <w:top w:val="single" w:sz="12"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9 830</w:t>
            </w:r>
          </w:p>
        </w:tc>
        <w:tc>
          <w:tcPr>
            <w:tcW w:w="1985" w:type="dxa"/>
            <w:tcBorders>
              <w:top w:val="single" w:sz="12"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(46 167)</w:t>
            </w:r>
          </w:p>
        </w:tc>
        <w:tc>
          <w:tcPr>
            <w:tcW w:w="992" w:type="dxa"/>
            <w:tcBorders>
              <w:top w:val="single" w:sz="12"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0" w:type="dxa"/>
            <w:tcBorders>
              <w:top w:val="single" w:sz="12"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(75 249)</w:t>
            </w:r>
          </w:p>
        </w:tc>
      </w:tr>
      <w:tr w:rsidR="00BB67AF" w:rsidRPr="00645124" w:rsidTr="003E6750">
        <w:tc>
          <w:tcPr>
            <w:tcW w:w="439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Total State of Victoria</w:t>
            </w:r>
          </w:p>
        </w:tc>
        <w:tc>
          <w:tcPr>
            <w:tcW w:w="1843" w:type="dxa"/>
            <w:gridSpan w:val="2"/>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61 108</w:t>
            </w:r>
          </w:p>
        </w:tc>
        <w:tc>
          <w:tcPr>
            <w:tcW w:w="1275"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w:t>
            </w:r>
          </w:p>
        </w:tc>
        <w:tc>
          <w:tcPr>
            <w:tcW w:w="1503"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50</w:t>
            </w:r>
          </w:p>
        </w:tc>
        <w:tc>
          <w:tcPr>
            <w:tcW w:w="1758"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77 370</w:t>
            </w:r>
          </w:p>
        </w:tc>
        <w:tc>
          <w:tcPr>
            <w:tcW w:w="1985"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w:t>
            </w:r>
          </w:p>
        </w:tc>
        <w:tc>
          <w:tcPr>
            <w:tcW w:w="992"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1 135</w:t>
            </w:r>
          </w:p>
        </w:tc>
        <w:tc>
          <w:tcPr>
            <w:tcW w:w="990"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139 664</w:t>
            </w:r>
          </w:p>
        </w:tc>
      </w:tr>
    </w:tbl>
    <w:p w:rsidR="00BB67AF" w:rsidRDefault="00BB67AF" w:rsidP="003E6750">
      <w:pPr>
        <w:pStyle w:val="Notes"/>
      </w:pPr>
      <w:r>
        <w:t>Note:</w:t>
      </w:r>
    </w:p>
    <w:p w:rsidR="00BB67AF" w:rsidRPr="00717E8D" w:rsidRDefault="00BB67AF" w:rsidP="003E6750">
      <w:pPr>
        <w:pStyle w:val="Notes"/>
      </w:pPr>
      <w:r>
        <w:t>(a)</w:t>
      </w:r>
      <w:r>
        <w:tab/>
        <w:t xml:space="preserve">The 1 July 2014 and December 2014 comparatives and the 1 July 2015 opening balances have been restated to reflect more current information, mainly including adjustments outlined in Note 37 of the </w:t>
      </w:r>
      <w:r w:rsidR="00897890">
        <w:br/>
      </w:r>
      <w:r>
        <w:rPr>
          <w:i w:val="0"/>
        </w:rPr>
        <w:t>2014</w:t>
      </w:r>
      <w:r>
        <w:rPr>
          <w:i w:val="0"/>
        </w:rPr>
        <w:noBreakHyphen/>
        <w:t>15 Financial Report</w:t>
      </w:r>
      <w:r>
        <w:t>.</w:t>
      </w:r>
    </w:p>
    <w:p w:rsidR="00BB67AF" w:rsidRDefault="00BB67AF" w:rsidP="003E6750">
      <w:r>
        <w:br w:type="page"/>
      </w:r>
    </w:p>
    <w:p w:rsidR="00BB67AF" w:rsidRDefault="00BB67AF" w:rsidP="003E6750">
      <w:pPr>
        <w:pStyle w:val="Heading2NotesContd"/>
      </w:pPr>
      <w:r>
        <w:lastRenderedPageBreak/>
        <w:t xml:space="preserve">Note 2: </w:t>
      </w:r>
      <w:r>
        <w:tab/>
        <w:t xml:space="preserve">Disaggregated information </w:t>
      </w:r>
      <w:r w:rsidRPr="00172B2D">
        <w:rPr>
          <w:i/>
        </w:rPr>
        <w:t>(continued)</w:t>
      </w:r>
    </w:p>
    <w:p w:rsidR="00BB67AF" w:rsidRDefault="00BB67AF" w:rsidP="003E6750">
      <w:pPr>
        <w:pStyle w:val="Tableheading"/>
      </w:pPr>
      <w:r>
        <w:t>Disaggregated statement of changes in equity as at 31 December</w:t>
      </w:r>
    </w:p>
    <w:p w:rsidR="00BB67AF" w:rsidRPr="004D1572" w:rsidRDefault="00BB67AF" w:rsidP="003E6750">
      <w:pPr>
        <w:pStyle w:val="million"/>
        <w:rPr>
          <w:b/>
          <w:bCs/>
          <w:lang w:val="en-US"/>
        </w:rPr>
      </w:pPr>
      <w:r>
        <w:t>($ million)</w:t>
      </w:r>
    </w:p>
    <w:tbl>
      <w:tblPr>
        <w:tblW w:w="14740" w:type="dxa"/>
        <w:tblInd w:w="45" w:type="dxa"/>
        <w:tblLayout w:type="fixed"/>
        <w:tblCellMar>
          <w:left w:w="45" w:type="dxa"/>
          <w:right w:w="45" w:type="dxa"/>
        </w:tblCellMar>
        <w:tblLook w:val="0000" w:firstRow="0" w:lastRow="0" w:firstColumn="0" w:lastColumn="0" w:noHBand="0" w:noVBand="0"/>
      </w:tblPr>
      <w:tblGrid>
        <w:gridCol w:w="4394"/>
        <w:gridCol w:w="567"/>
        <w:gridCol w:w="1276"/>
        <w:gridCol w:w="1276"/>
        <w:gridCol w:w="1502"/>
        <w:gridCol w:w="1757"/>
        <w:gridCol w:w="1984"/>
        <w:gridCol w:w="992"/>
        <w:gridCol w:w="992"/>
      </w:tblGrid>
      <w:tr w:rsidR="00BB67AF" w:rsidRPr="00645124" w:rsidTr="003E6750">
        <w:trPr>
          <w:tblHeader/>
        </w:trPr>
        <w:tc>
          <w:tcPr>
            <w:tcW w:w="439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rPr>
                <w:rFonts w:ascii="Calibri" w:eastAsiaTheme="minorEastAsia" w:hAnsi="Calibri" w:cs="Calibri"/>
                <w:b/>
                <w:bCs/>
                <w:i/>
                <w:iCs/>
                <w:color w:val="FFFFFF"/>
                <w:sz w:val="21"/>
                <w:szCs w:val="21"/>
                <w:lang w:eastAsia="en-AU"/>
              </w:rPr>
            </w:pPr>
            <w:r w:rsidRPr="00645124">
              <w:rPr>
                <w:rFonts w:ascii="Calibri" w:eastAsiaTheme="minorEastAsia" w:hAnsi="Calibri" w:cs="Calibri"/>
                <w:b/>
                <w:bCs/>
                <w:i/>
                <w:iCs/>
                <w:color w:val="FFFFFF"/>
                <w:sz w:val="21"/>
                <w:szCs w:val="21"/>
                <w:lang w:eastAsia="en-AU"/>
              </w:rPr>
              <w:t>2014</w:t>
            </w:r>
          </w:p>
        </w:tc>
        <w:tc>
          <w:tcPr>
            <w:tcW w:w="1843" w:type="dxa"/>
            <w:gridSpan w:val="2"/>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1"/>
                <w:szCs w:val="21"/>
                <w:vertAlign w:val="superscript"/>
                <w:lang w:eastAsia="en-AU"/>
              </w:rPr>
            </w:pPr>
            <w:r w:rsidRPr="00645124">
              <w:rPr>
                <w:rFonts w:ascii="Calibri" w:eastAsiaTheme="minorEastAsia" w:hAnsi="Calibri" w:cs="Calibri"/>
                <w:i/>
                <w:iCs/>
                <w:color w:val="FFFFFF"/>
                <w:sz w:val="21"/>
                <w:szCs w:val="21"/>
                <w:lang w:eastAsia="en-AU"/>
              </w:rPr>
              <w:t xml:space="preserve">Accumulated surplus/(deficit) </w:t>
            </w:r>
            <w:r w:rsidRPr="00645124">
              <w:rPr>
                <w:rFonts w:ascii="Calibri" w:eastAsiaTheme="minorEastAsia" w:hAnsi="Calibri" w:cs="Calibri"/>
                <w:i/>
                <w:iCs/>
                <w:color w:val="FFFFFF"/>
                <w:sz w:val="21"/>
                <w:szCs w:val="21"/>
                <w:vertAlign w:val="superscript"/>
                <w:lang w:eastAsia="en-AU"/>
              </w:rPr>
              <w:t>(a)</w:t>
            </w:r>
          </w:p>
        </w:tc>
        <w:tc>
          <w:tcPr>
            <w:tcW w:w="1276"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1"/>
                <w:szCs w:val="21"/>
                <w:lang w:eastAsia="en-AU"/>
              </w:rPr>
            </w:pPr>
            <w:r w:rsidRPr="00645124">
              <w:rPr>
                <w:rFonts w:ascii="Calibri" w:eastAsiaTheme="minorEastAsia" w:hAnsi="Calibri" w:cs="Calibri"/>
                <w:i/>
                <w:iCs/>
                <w:color w:val="FFFFFF"/>
                <w:sz w:val="21"/>
                <w:szCs w:val="21"/>
                <w:lang w:eastAsia="en-AU"/>
              </w:rPr>
              <w:t xml:space="preserve">Contribution </w:t>
            </w:r>
            <w:r w:rsidRPr="00645124">
              <w:rPr>
                <w:rFonts w:ascii="Calibri" w:eastAsiaTheme="minorEastAsia" w:hAnsi="Calibri" w:cs="Calibri"/>
                <w:i/>
                <w:iCs/>
                <w:color w:val="FFFFFF"/>
                <w:sz w:val="21"/>
                <w:szCs w:val="21"/>
                <w:lang w:eastAsia="en-AU"/>
              </w:rPr>
              <w:br/>
              <w:t>by owners</w:t>
            </w:r>
          </w:p>
        </w:tc>
        <w:tc>
          <w:tcPr>
            <w:tcW w:w="1502" w:type="dxa"/>
            <w:tcBorders>
              <w:top w:val="nil"/>
              <w:left w:val="nil"/>
              <w:right w:val="nil"/>
            </w:tcBorders>
            <w:shd w:val="solid" w:color="000000" w:fill="auto"/>
            <w:vAlign w:val="bottom"/>
          </w:tcPr>
          <w:p w:rsidR="00BB67AF" w:rsidRPr="00645124" w:rsidRDefault="00BB67AF" w:rsidP="00494AD7">
            <w:pPr>
              <w:autoSpaceDE w:val="0"/>
              <w:autoSpaceDN w:val="0"/>
              <w:adjustRightInd w:val="0"/>
              <w:spacing w:after="0"/>
              <w:jc w:val="right"/>
              <w:rPr>
                <w:rFonts w:ascii="Calibri" w:eastAsiaTheme="minorEastAsia" w:hAnsi="Calibri" w:cs="Calibri"/>
                <w:i/>
                <w:iCs/>
                <w:color w:val="FFFFFF"/>
                <w:sz w:val="21"/>
                <w:szCs w:val="21"/>
                <w:lang w:eastAsia="en-AU"/>
              </w:rPr>
            </w:pPr>
            <w:r w:rsidRPr="00645124">
              <w:rPr>
                <w:rFonts w:ascii="Calibri" w:eastAsiaTheme="minorEastAsia" w:hAnsi="Calibri" w:cs="Calibri"/>
                <w:i/>
                <w:iCs/>
                <w:color w:val="FFFFFF"/>
                <w:sz w:val="21"/>
                <w:szCs w:val="21"/>
                <w:lang w:eastAsia="en-AU"/>
              </w:rPr>
              <w:t>Non</w:t>
            </w:r>
            <w:r w:rsidRPr="00645124">
              <w:rPr>
                <w:rFonts w:ascii="Calibri" w:eastAsiaTheme="minorEastAsia" w:hAnsi="Calibri" w:cs="Calibri"/>
                <w:i/>
                <w:iCs/>
                <w:color w:val="FFFFFF"/>
                <w:sz w:val="21"/>
                <w:szCs w:val="21"/>
                <w:lang w:eastAsia="en-AU"/>
              </w:rPr>
              <w:noBreakHyphen/>
              <w:t xml:space="preserve">controlling </w:t>
            </w:r>
            <w:r w:rsidR="00494AD7" w:rsidRPr="00645124">
              <w:rPr>
                <w:rFonts w:ascii="Calibri" w:eastAsiaTheme="minorEastAsia" w:hAnsi="Calibri" w:cs="Calibri"/>
                <w:i/>
                <w:iCs/>
                <w:color w:val="FFFFFF"/>
                <w:sz w:val="21"/>
                <w:szCs w:val="21"/>
                <w:lang w:eastAsia="en-AU"/>
              </w:rPr>
              <w:t>i</w:t>
            </w:r>
            <w:r w:rsidRPr="00645124">
              <w:rPr>
                <w:rFonts w:ascii="Calibri" w:eastAsiaTheme="minorEastAsia" w:hAnsi="Calibri" w:cs="Calibri"/>
                <w:i/>
                <w:iCs/>
                <w:color w:val="FFFFFF"/>
                <w:sz w:val="21"/>
                <w:szCs w:val="21"/>
                <w:lang w:eastAsia="en-AU"/>
              </w:rPr>
              <w:t>nterest</w:t>
            </w:r>
          </w:p>
        </w:tc>
        <w:tc>
          <w:tcPr>
            <w:tcW w:w="1757"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1"/>
                <w:szCs w:val="21"/>
                <w:vertAlign w:val="superscript"/>
                <w:lang w:eastAsia="en-AU"/>
              </w:rPr>
            </w:pPr>
            <w:r w:rsidRPr="00645124">
              <w:rPr>
                <w:rFonts w:ascii="Calibri" w:eastAsiaTheme="minorEastAsia" w:hAnsi="Calibri" w:cs="Calibri"/>
                <w:i/>
                <w:iCs/>
                <w:color w:val="FFFFFF"/>
                <w:sz w:val="21"/>
                <w:szCs w:val="21"/>
                <w:lang w:eastAsia="en-AU"/>
              </w:rPr>
              <w:t>Non</w:t>
            </w:r>
            <w:r w:rsidRPr="00645124">
              <w:rPr>
                <w:rFonts w:ascii="Calibri" w:eastAsiaTheme="minorEastAsia" w:hAnsi="Calibri" w:cs="Calibri"/>
                <w:i/>
                <w:iCs/>
                <w:color w:val="FFFFFF"/>
                <w:sz w:val="21"/>
                <w:szCs w:val="21"/>
                <w:lang w:eastAsia="en-AU"/>
              </w:rPr>
              <w:noBreakHyphen/>
              <w:t xml:space="preserve">financial </w:t>
            </w:r>
            <w:r w:rsidRPr="00645124">
              <w:rPr>
                <w:rFonts w:ascii="Calibri" w:eastAsiaTheme="minorEastAsia" w:hAnsi="Calibri" w:cs="Calibri"/>
                <w:i/>
                <w:iCs/>
                <w:color w:val="FFFFFF"/>
                <w:sz w:val="21"/>
                <w:szCs w:val="21"/>
                <w:lang w:eastAsia="en-AU"/>
              </w:rPr>
              <w:br/>
              <w:t xml:space="preserve">assets revaluation surplus </w:t>
            </w:r>
            <w:r w:rsidRPr="00645124">
              <w:rPr>
                <w:rFonts w:ascii="Calibri" w:eastAsiaTheme="minorEastAsia" w:hAnsi="Calibri" w:cs="Calibri"/>
                <w:i/>
                <w:iCs/>
                <w:color w:val="FFFFFF"/>
                <w:sz w:val="21"/>
                <w:szCs w:val="21"/>
                <w:vertAlign w:val="superscript"/>
                <w:lang w:eastAsia="en-AU"/>
              </w:rPr>
              <w:t>(a)</w:t>
            </w:r>
          </w:p>
        </w:tc>
        <w:tc>
          <w:tcPr>
            <w:tcW w:w="198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1"/>
                <w:szCs w:val="21"/>
                <w:lang w:eastAsia="en-AU"/>
              </w:rPr>
            </w:pPr>
            <w:r w:rsidRPr="00645124">
              <w:rPr>
                <w:rFonts w:ascii="Calibri" w:eastAsiaTheme="minorEastAsia" w:hAnsi="Calibri" w:cs="Calibri"/>
                <w:i/>
                <w:iCs/>
                <w:color w:val="FFFFFF"/>
                <w:sz w:val="21"/>
                <w:szCs w:val="21"/>
                <w:lang w:eastAsia="en-AU"/>
              </w:rPr>
              <w:t xml:space="preserve">Investment in </w:t>
            </w:r>
            <w:r w:rsidRPr="00645124">
              <w:rPr>
                <w:rFonts w:ascii="Calibri" w:eastAsiaTheme="minorEastAsia" w:hAnsi="Calibri" w:cs="Calibri"/>
                <w:i/>
                <w:iCs/>
                <w:color w:val="FFFFFF"/>
                <w:sz w:val="21"/>
                <w:szCs w:val="21"/>
                <w:lang w:eastAsia="en-AU"/>
              </w:rPr>
              <w:br/>
              <w:t>other sector entities revaluation surplus</w:t>
            </w:r>
          </w:p>
        </w:tc>
        <w:tc>
          <w:tcPr>
            <w:tcW w:w="992"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1"/>
                <w:szCs w:val="21"/>
                <w:lang w:eastAsia="en-AU"/>
              </w:rPr>
            </w:pPr>
            <w:r w:rsidRPr="00645124">
              <w:rPr>
                <w:rFonts w:ascii="Calibri" w:eastAsiaTheme="minorEastAsia" w:hAnsi="Calibri" w:cs="Calibri"/>
                <w:i/>
                <w:iCs/>
                <w:color w:val="FFFFFF"/>
                <w:sz w:val="21"/>
                <w:szCs w:val="21"/>
                <w:lang w:eastAsia="en-AU"/>
              </w:rPr>
              <w:t>Other reserves</w:t>
            </w:r>
          </w:p>
        </w:tc>
        <w:tc>
          <w:tcPr>
            <w:tcW w:w="992"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1"/>
                <w:szCs w:val="21"/>
                <w:lang w:eastAsia="en-AU"/>
              </w:rPr>
            </w:pPr>
            <w:r w:rsidRPr="00645124">
              <w:rPr>
                <w:rFonts w:ascii="Calibri" w:eastAsiaTheme="minorEastAsia" w:hAnsi="Calibri" w:cs="Calibri"/>
                <w:i/>
                <w:iCs/>
                <w:color w:val="FFFFFF"/>
                <w:sz w:val="21"/>
                <w:szCs w:val="21"/>
                <w:lang w:eastAsia="en-AU"/>
              </w:rPr>
              <w:t xml:space="preserve">Total </w:t>
            </w:r>
            <w:r w:rsidRPr="00645124">
              <w:rPr>
                <w:rFonts w:ascii="Calibri" w:eastAsiaTheme="minorEastAsia" w:hAnsi="Calibri" w:cs="Calibri"/>
                <w:i/>
                <w:iCs/>
                <w:color w:val="FFFFFF"/>
                <w:sz w:val="21"/>
                <w:szCs w:val="21"/>
                <w:vertAlign w:val="superscript"/>
                <w:lang w:eastAsia="en-AU"/>
              </w:rPr>
              <w:t>(a)</w:t>
            </w:r>
          </w:p>
        </w:tc>
      </w:tr>
      <w:tr w:rsidR="00BB67AF" w:rsidRPr="00645124" w:rsidTr="003E6750">
        <w:tc>
          <w:tcPr>
            <w:tcW w:w="43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General government sector</w:t>
            </w:r>
          </w:p>
        </w:tc>
        <w:tc>
          <w:tcPr>
            <w:tcW w:w="184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15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17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r>
      <w:tr w:rsidR="00BB67AF" w:rsidRPr="00645124" w:rsidTr="003E6750">
        <w:tc>
          <w:tcPr>
            <w:tcW w:w="43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Balance at 1 July 2014</w:t>
            </w:r>
          </w:p>
        </w:tc>
        <w:tc>
          <w:tcPr>
            <w:tcW w:w="184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43 635</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5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50</w:t>
            </w:r>
          </w:p>
        </w:tc>
        <w:tc>
          <w:tcPr>
            <w:tcW w:w="17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41 965</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42 187</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640</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128 477</w:t>
            </w:r>
          </w:p>
        </w:tc>
      </w:tr>
      <w:tr w:rsidR="00BB67AF" w:rsidRPr="00645124" w:rsidTr="003E6750">
        <w:tc>
          <w:tcPr>
            <w:tcW w:w="43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Net result for the six months</w:t>
            </w:r>
          </w:p>
        </w:tc>
        <w:tc>
          <w:tcPr>
            <w:tcW w:w="184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191</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5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7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191</w:t>
            </w:r>
          </w:p>
        </w:tc>
      </w:tr>
      <w:tr w:rsidR="00BB67AF" w:rsidRPr="00645124" w:rsidTr="003E6750">
        <w:tc>
          <w:tcPr>
            <w:tcW w:w="43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Other comprehensive income for the year</w:t>
            </w:r>
          </w:p>
        </w:tc>
        <w:tc>
          <w:tcPr>
            <w:tcW w:w="184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(2 495)</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5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7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59</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3</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(11)</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(2 444)</w:t>
            </w:r>
          </w:p>
        </w:tc>
      </w:tr>
      <w:tr w:rsidR="00BB67AF" w:rsidRPr="00645124" w:rsidTr="003E6750">
        <w:tc>
          <w:tcPr>
            <w:tcW w:w="43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Transfer to accumulated surplus </w:t>
            </w:r>
          </w:p>
        </w:tc>
        <w:tc>
          <w:tcPr>
            <w:tcW w:w="184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392</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5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7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(392)</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r>
      <w:tr w:rsidR="00BB67AF" w:rsidRPr="00645124" w:rsidTr="003E6750">
        <w:tc>
          <w:tcPr>
            <w:tcW w:w="4961"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Transactions with owners in their capacity as owners</w:t>
            </w:r>
          </w:p>
        </w:tc>
        <w:tc>
          <w:tcPr>
            <w:tcW w:w="127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27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50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75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98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r>
      <w:tr w:rsidR="00BB67AF" w:rsidRPr="00645124" w:rsidTr="003E6750">
        <w:tc>
          <w:tcPr>
            <w:tcW w:w="439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Total equity as at 31 December 2014</w:t>
            </w:r>
          </w:p>
        </w:tc>
        <w:tc>
          <w:tcPr>
            <w:tcW w:w="1843" w:type="dxa"/>
            <w:gridSpan w:val="2"/>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41 722</w:t>
            </w:r>
          </w:p>
        </w:tc>
        <w:tc>
          <w:tcPr>
            <w:tcW w:w="1276"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w:t>
            </w:r>
          </w:p>
        </w:tc>
        <w:tc>
          <w:tcPr>
            <w:tcW w:w="1502"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50</w:t>
            </w:r>
          </w:p>
        </w:tc>
        <w:tc>
          <w:tcPr>
            <w:tcW w:w="1757"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41 632</w:t>
            </w:r>
          </w:p>
        </w:tc>
        <w:tc>
          <w:tcPr>
            <w:tcW w:w="198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42 190</w:t>
            </w:r>
          </w:p>
        </w:tc>
        <w:tc>
          <w:tcPr>
            <w:tcW w:w="992"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629</w:t>
            </w:r>
          </w:p>
        </w:tc>
        <w:tc>
          <w:tcPr>
            <w:tcW w:w="992"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126 224</w:t>
            </w:r>
          </w:p>
        </w:tc>
      </w:tr>
      <w:tr w:rsidR="00BB67AF" w:rsidRPr="00645124" w:rsidTr="003E6750">
        <w:tc>
          <w:tcPr>
            <w:tcW w:w="4394"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PNFC sector</w:t>
            </w:r>
          </w:p>
        </w:tc>
        <w:tc>
          <w:tcPr>
            <w:tcW w:w="1843" w:type="dxa"/>
            <w:gridSpan w:val="2"/>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1276"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1502"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1757"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1984"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992"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992"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r>
      <w:tr w:rsidR="00BB67AF" w:rsidRPr="00645124" w:rsidTr="003E6750">
        <w:tc>
          <w:tcPr>
            <w:tcW w:w="43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Balance at 1 July 2014</w:t>
            </w:r>
          </w:p>
        </w:tc>
        <w:tc>
          <w:tcPr>
            <w:tcW w:w="184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5 095</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32 963</w:t>
            </w:r>
          </w:p>
        </w:tc>
        <w:tc>
          <w:tcPr>
            <w:tcW w:w="15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7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34 576</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340</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72 973</w:t>
            </w:r>
          </w:p>
        </w:tc>
      </w:tr>
      <w:tr w:rsidR="00BB67AF" w:rsidRPr="00645124" w:rsidTr="003E6750">
        <w:tc>
          <w:tcPr>
            <w:tcW w:w="43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Net result for the six months</w:t>
            </w:r>
          </w:p>
        </w:tc>
        <w:tc>
          <w:tcPr>
            <w:tcW w:w="184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63</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5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7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63</w:t>
            </w:r>
          </w:p>
        </w:tc>
      </w:tr>
      <w:tr w:rsidR="00BB67AF" w:rsidRPr="00645124" w:rsidTr="003E6750">
        <w:tc>
          <w:tcPr>
            <w:tcW w:w="43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Other comprehensive income for the year</w:t>
            </w:r>
          </w:p>
        </w:tc>
        <w:tc>
          <w:tcPr>
            <w:tcW w:w="184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(9)</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5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7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3</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(10)</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(16)</w:t>
            </w:r>
          </w:p>
        </w:tc>
      </w:tr>
      <w:tr w:rsidR="00BB67AF" w:rsidRPr="00645124" w:rsidTr="003E6750">
        <w:tc>
          <w:tcPr>
            <w:tcW w:w="43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Transfer to accumulated surplus</w:t>
            </w:r>
          </w:p>
        </w:tc>
        <w:tc>
          <w:tcPr>
            <w:tcW w:w="184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15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17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r>
      <w:tr w:rsidR="00BB67AF" w:rsidRPr="00645124" w:rsidTr="003E6750">
        <w:tc>
          <w:tcPr>
            <w:tcW w:w="43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Dividends paid</w:t>
            </w:r>
          </w:p>
        </w:tc>
        <w:tc>
          <w:tcPr>
            <w:tcW w:w="184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(105)</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5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7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(105)</w:t>
            </w:r>
          </w:p>
        </w:tc>
      </w:tr>
      <w:tr w:rsidR="00BB67AF" w:rsidRPr="00645124" w:rsidTr="003E6750">
        <w:tc>
          <w:tcPr>
            <w:tcW w:w="4961"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Transactions with owners in their capacity as owners</w:t>
            </w:r>
          </w:p>
        </w:tc>
        <w:tc>
          <w:tcPr>
            <w:tcW w:w="127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27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620</w:t>
            </w:r>
          </w:p>
        </w:tc>
        <w:tc>
          <w:tcPr>
            <w:tcW w:w="150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75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98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620</w:t>
            </w:r>
          </w:p>
        </w:tc>
      </w:tr>
      <w:tr w:rsidR="00BB67AF" w:rsidRPr="00645124" w:rsidTr="003E6750">
        <w:tc>
          <w:tcPr>
            <w:tcW w:w="439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Total equity as at 31 December 2014</w:t>
            </w:r>
          </w:p>
        </w:tc>
        <w:tc>
          <w:tcPr>
            <w:tcW w:w="1843" w:type="dxa"/>
            <w:gridSpan w:val="2"/>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5 043</w:t>
            </w:r>
          </w:p>
        </w:tc>
        <w:tc>
          <w:tcPr>
            <w:tcW w:w="1276"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33 583</w:t>
            </w:r>
          </w:p>
        </w:tc>
        <w:tc>
          <w:tcPr>
            <w:tcW w:w="1502"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w:t>
            </w:r>
          </w:p>
        </w:tc>
        <w:tc>
          <w:tcPr>
            <w:tcW w:w="1757"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34 579</w:t>
            </w:r>
          </w:p>
        </w:tc>
        <w:tc>
          <w:tcPr>
            <w:tcW w:w="198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w:t>
            </w:r>
          </w:p>
        </w:tc>
        <w:tc>
          <w:tcPr>
            <w:tcW w:w="992"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330</w:t>
            </w:r>
          </w:p>
        </w:tc>
        <w:tc>
          <w:tcPr>
            <w:tcW w:w="992"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73 536</w:t>
            </w:r>
          </w:p>
        </w:tc>
      </w:tr>
      <w:tr w:rsidR="00BB67AF" w:rsidRPr="00645124" w:rsidTr="003E6750">
        <w:tc>
          <w:tcPr>
            <w:tcW w:w="4394"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PFC sector</w:t>
            </w:r>
          </w:p>
        </w:tc>
        <w:tc>
          <w:tcPr>
            <w:tcW w:w="1843" w:type="dxa"/>
            <w:gridSpan w:val="2"/>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1276"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1502"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1757"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1984"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992"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c>
          <w:tcPr>
            <w:tcW w:w="992"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 xml:space="preserve"> </w:t>
            </w:r>
          </w:p>
        </w:tc>
      </w:tr>
      <w:tr w:rsidR="00BB67AF" w:rsidRPr="00645124" w:rsidTr="003E6750">
        <w:tc>
          <w:tcPr>
            <w:tcW w:w="43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Balance at 1 July 2014</w:t>
            </w:r>
          </w:p>
        </w:tc>
        <w:tc>
          <w:tcPr>
            <w:tcW w:w="184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(749)</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254</w:t>
            </w:r>
          </w:p>
        </w:tc>
        <w:tc>
          <w:tcPr>
            <w:tcW w:w="15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7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2</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181</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(312)</w:t>
            </w:r>
          </w:p>
        </w:tc>
      </w:tr>
      <w:tr w:rsidR="00BB67AF" w:rsidRPr="00645124" w:rsidTr="003E6750">
        <w:tc>
          <w:tcPr>
            <w:tcW w:w="43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Net result for the six months</w:t>
            </w:r>
          </w:p>
        </w:tc>
        <w:tc>
          <w:tcPr>
            <w:tcW w:w="184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(1 280)</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5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7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(1 280)</w:t>
            </w:r>
          </w:p>
        </w:tc>
      </w:tr>
      <w:tr w:rsidR="00BB67AF" w:rsidRPr="00645124" w:rsidTr="003E6750">
        <w:tc>
          <w:tcPr>
            <w:tcW w:w="43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Other comprehensive income for the year</w:t>
            </w:r>
          </w:p>
        </w:tc>
        <w:tc>
          <w:tcPr>
            <w:tcW w:w="184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(121)</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5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7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(147)</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(268)</w:t>
            </w:r>
          </w:p>
        </w:tc>
      </w:tr>
      <w:tr w:rsidR="00BB67AF" w:rsidRPr="00645124" w:rsidTr="003E6750">
        <w:tc>
          <w:tcPr>
            <w:tcW w:w="43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Transfer to accumulated surplus </w:t>
            </w:r>
          </w:p>
        </w:tc>
        <w:tc>
          <w:tcPr>
            <w:tcW w:w="184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15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17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 xml:space="preserve">.. </w:t>
            </w:r>
          </w:p>
        </w:tc>
      </w:tr>
      <w:tr w:rsidR="00BB67AF" w:rsidRPr="00645124" w:rsidTr="003E6750">
        <w:tc>
          <w:tcPr>
            <w:tcW w:w="43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Dividends paid</w:t>
            </w:r>
          </w:p>
        </w:tc>
        <w:tc>
          <w:tcPr>
            <w:tcW w:w="184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(475)</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50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7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(475)</w:t>
            </w:r>
          </w:p>
        </w:tc>
      </w:tr>
      <w:tr w:rsidR="00BB67AF" w:rsidRPr="00645124" w:rsidTr="003E6750">
        <w:tc>
          <w:tcPr>
            <w:tcW w:w="4961"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Transactions with owners in their capacity as owners</w:t>
            </w:r>
          </w:p>
        </w:tc>
        <w:tc>
          <w:tcPr>
            <w:tcW w:w="127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27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(77)</w:t>
            </w:r>
          </w:p>
        </w:tc>
        <w:tc>
          <w:tcPr>
            <w:tcW w:w="150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75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98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(77)</w:t>
            </w:r>
          </w:p>
        </w:tc>
      </w:tr>
      <w:tr w:rsidR="00BB67AF" w:rsidRPr="00645124" w:rsidTr="003E6750">
        <w:tc>
          <w:tcPr>
            <w:tcW w:w="439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Total equity as at 31 December 2014</w:t>
            </w:r>
          </w:p>
        </w:tc>
        <w:tc>
          <w:tcPr>
            <w:tcW w:w="1843" w:type="dxa"/>
            <w:gridSpan w:val="2"/>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(2 626)</w:t>
            </w:r>
          </w:p>
        </w:tc>
        <w:tc>
          <w:tcPr>
            <w:tcW w:w="1276"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177</w:t>
            </w:r>
          </w:p>
        </w:tc>
        <w:tc>
          <w:tcPr>
            <w:tcW w:w="1502"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w:t>
            </w:r>
          </w:p>
        </w:tc>
        <w:tc>
          <w:tcPr>
            <w:tcW w:w="1757"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2</w:t>
            </w:r>
          </w:p>
        </w:tc>
        <w:tc>
          <w:tcPr>
            <w:tcW w:w="198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w:t>
            </w:r>
          </w:p>
        </w:tc>
        <w:tc>
          <w:tcPr>
            <w:tcW w:w="992"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34</w:t>
            </w:r>
          </w:p>
        </w:tc>
        <w:tc>
          <w:tcPr>
            <w:tcW w:w="992"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(2 413)</w:t>
            </w:r>
          </w:p>
        </w:tc>
      </w:tr>
      <w:tr w:rsidR="00BB67AF" w:rsidRPr="00645124" w:rsidTr="003E6750">
        <w:tc>
          <w:tcPr>
            <w:tcW w:w="4394" w:type="dxa"/>
            <w:tcBorders>
              <w:top w:val="single" w:sz="12"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Eliminations</w:t>
            </w:r>
          </w:p>
        </w:tc>
        <w:tc>
          <w:tcPr>
            <w:tcW w:w="1843" w:type="dxa"/>
            <w:gridSpan w:val="2"/>
            <w:tcBorders>
              <w:top w:val="single" w:sz="12"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(2 472)</w:t>
            </w:r>
          </w:p>
        </w:tc>
        <w:tc>
          <w:tcPr>
            <w:tcW w:w="1276" w:type="dxa"/>
            <w:tcBorders>
              <w:top w:val="single" w:sz="12"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(33 760)</w:t>
            </w:r>
          </w:p>
        </w:tc>
        <w:tc>
          <w:tcPr>
            <w:tcW w:w="1502" w:type="dxa"/>
            <w:tcBorders>
              <w:top w:val="single" w:sz="12"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1757" w:type="dxa"/>
            <w:tcBorders>
              <w:top w:val="single" w:sz="12"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8 906</w:t>
            </w:r>
          </w:p>
        </w:tc>
        <w:tc>
          <w:tcPr>
            <w:tcW w:w="1984" w:type="dxa"/>
            <w:tcBorders>
              <w:top w:val="single" w:sz="12"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(42 190)</w:t>
            </w:r>
          </w:p>
        </w:tc>
        <w:tc>
          <w:tcPr>
            <w:tcW w:w="992" w:type="dxa"/>
            <w:tcBorders>
              <w:top w:val="single" w:sz="12"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w:t>
            </w:r>
          </w:p>
        </w:tc>
        <w:tc>
          <w:tcPr>
            <w:tcW w:w="992" w:type="dxa"/>
            <w:tcBorders>
              <w:top w:val="single" w:sz="12"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1"/>
                <w:szCs w:val="21"/>
                <w:lang w:eastAsia="en-AU"/>
              </w:rPr>
            </w:pPr>
            <w:r w:rsidRPr="00645124">
              <w:rPr>
                <w:rFonts w:ascii="Calibri" w:eastAsiaTheme="minorEastAsia" w:hAnsi="Calibri" w:cs="Calibri"/>
                <w:color w:val="000000"/>
                <w:sz w:val="21"/>
                <w:szCs w:val="21"/>
                <w:lang w:eastAsia="en-AU"/>
              </w:rPr>
              <w:t>(69 516)</w:t>
            </w:r>
          </w:p>
        </w:tc>
      </w:tr>
      <w:tr w:rsidR="00BB67AF" w:rsidRPr="00645124" w:rsidTr="003E6750">
        <w:tc>
          <w:tcPr>
            <w:tcW w:w="439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Total State of Victoria</w:t>
            </w:r>
          </w:p>
        </w:tc>
        <w:tc>
          <w:tcPr>
            <w:tcW w:w="1843" w:type="dxa"/>
            <w:gridSpan w:val="2"/>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41 668</w:t>
            </w:r>
          </w:p>
        </w:tc>
        <w:tc>
          <w:tcPr>
            <w:tcW w:w="1276"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w:t>
            </w:r>
          </w:p>
        </w:tc>
        <w:tc>
          <w:tcPr>
            <w:tcW w:w="1502"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50</w:t>
            </w:r>
          </w:p>
        </w:tc>
        <w:tc>
          <w:tcPr>
            <w:tcW w:w="1757"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85 119</w:t>
            </w:r>
          </w:p>
        </w:tc>
        <w:tc>
          <w:tcPr>
            <w:tcW w:w="198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w:t>
            </w:r>
          </w:p>
        </w:tc>
        <w:tc>
          <w:tcPr>
            <w:tcW w:w="992"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993</w:t>
            </w:r>
          </w:p>
        </w:tc>
        <w:tc>
          <w:tcPr>
            <w:tcW w:w="992"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1"/>
                <w:szCs w:val="21"/>
                <w:lang w:eastAsia="en-AU"/>
              </w:rPr>
            </w:pPr>
            <w:r w:rsidRPr="00645124">
              <w:rPr>
                <w:rFonts w:ascii="Calibri" w:eastAsiaTheme="minorEastAsia" w:hAnsi="Calibri" w:cs="Calibri"/>
                <w:b/>
                <w:bCs/>
                <w:color w:val="000000"/>
                <w:sz w:val="21"/>
                <w:szCs w:val="21"/>
                <w:lang w:eastAsia="en-AU"/>
              </w:rPr>
              <w:t>127 831</w:t>
            </w:r>
          </w:p>
        </w:tc>
      </w:tr>
    </w:tbl>
    <w:p w:rsidR="00BB67AF" w:rsidRDefault="00BB67AF" w:rsidP="003E6750">
      <w:pPr>
        <w:pStyle w:val="Notes"/>
      </w:pPr>
      <w:r>
        <w:t>Note:</w:t>
      </w:r>
    </w:p>
    <w:p w:rsidR="00BB67AF" w:rsidRPr="00717E8D" w:rsidRDefault="00BB67AF" w:rsidP="003E6750">
      <w:pPr>
        <w:pStyle w:val="Notes"/>
      </w:pPr>
      <w:r>
        <w:t>(a)</w:t>
      </w:r>
      <w:r>
        <w:tab/>
        <w:t xml:space="preserve">The 1 July 2014 and December 2014 comparatives and the 1 July 2015 opening balances have been restated to reflect more current information, mainly including adjustments outlined in Note 37 of the </w:t>
      </w:r>
      <w:r w:rsidR="00897890">
        <w:br/>
      </w:r>
      <w:r>
        <w:rPr>
          <w:i w:val="0"/>
        </w:rPr>
        <w:t>2014</w:t>
      </w:r>
      <w:r>
        <w:rPr>
          <w:i w:val="0"/>
        </w:rPr>
        <w:noBreakHyphen/>
        <w:t>15 Financial Report</w:t>
      </w:r>
      <w:r>
        <w:t>.</w:t>
      </w:r>
    </w:p>
    <w:p w:rsidR="00BB67AF" w:rsidRDefault="00BB67AF" w:rsidP="003E6750">
      <w:pPr>
        <w:pStyle w:val="Notes"/>
        <w:sectPr w:rsidR="00BB67AF" w:rsidSect="003E6750">
          <w:headerReference w:type="even" r:id="rId36"/>
          <w:headerReference w:type="default" r:id="rId37"/>
          <w:footerReference w:type="even" r:id="rId38"/>
          <w:footerReference w:type="default" r:id="rId39"/>
          <w:pgSz w:w="16838" w:h="11906" w:orient="landscape" w:code="9"/>
          <w:pgMar w:top="1151" w:right="1151" w:bottom="1151" w:left="1151" w:header="720" w:footer="720" w:gutter="0"/>
          <w:cols w:space="708"/>
          <w:docGrid w:linePitch="360"/>
        </w:sectPr>
      </w:pPr>
    </w:p>
    <w:p w:rsidR="00BB67AF" w:rsidRDefault="00BB67AF" w:rsidP="00AC25A6">
      <w:pPr>
        <w:pStyle w:val="Heading2Notes"/>
        <w:spacing w:before="0"/>
        <w:ind w:left="1151" w:hanging="1151"/>
      </w:pPr>
      <w:bookmarkStart w:id="12" w:name="_Toc445283161"/>
      <w:r w:rsidRPr="00AC25A6">
        <w:lastRenderedPageBreak/>
        <w:t>Note</w:t>
      </w:r>
      <w:r w:rsidRPr="00172B2D">
        <w:t xml:space="preserve"> 3: </w:t>
      </w:r>
      <w:r w:rsidRPr="00172B2D">
        <w:tab/>
        <w:t>Taxation revenue</w:t>
      </w:r>
      <w:bookmarkEnd w:id="12"/>
    </w:p>
    <w:p w:rsidR="00BB67AF" w:rsidRPr="004D1572" w:rsidRDefault="00BB67AF" w:rsidP="003E6750">
      <w:pPr>
        <w:pStyle w:val="million"/>
        <w:rPr>
          <w:b/>
          <w:bCs/>
          <w:lang w:val="en-US"/>
        </w:rPr>
      </w:pPr>
      <w:r>
        <w:t>($ million)</w:t>
      </w:r>
    </w:p>
    <w:tbl>
      <w:tblPr>
        <w:tblW w:w="9638" w:type="dxa"/>
        <w:tblInd w:w="45" w:type="dxa"/>
        <w:tblLayout w:type="fixed"/>
        <w:tblCellMar>
          <w:left w:w="45" w:type="dxa"/>
          <w:right w:w="45" w:type="dxa"/>
        </w:tblCellMar>
        <w:tblLook w:val="0000" w:firstRow="0" w:lastRow="0" w:firstColumn="0" w:lastColumn="0" w:noHBand="0" w:noVBand="0"/>
      </w:tblPr>
      <w:tblGrid>
        <w:gridCol w:w="5879"/>
        <w:gridCol w:w="889"/>
        <w:gridCol w:w="957"/>
        <w:gridCol w:w="956"/>
        <w:gridCol w:w="957"/>
      </w:tblGrid>
      <w:tr w:rsidR="00897890" w:rsidRPr="00645124" w:rsidTr="00897890">
        <w:trPr>
          <w:tblHeader/>
        </w:trPr>
        <w:tc>
          <w:tcPr>
            <w:tcW w:w="5879" w:type="dxa"/>
            <w:tcBorders>
              <w:top w:val="nil"/>
              <w:left w:val="nil"/>
              <w:bottom w:val="nil"/>
              <w:right w:val="nil"/>
            </w:tcBorders>
            <w:shd w:val="solid" w:color="000000" w:fill="auto"/>
            <w:vAlign w:val="bottom"/>
          </w:tcPr>
          <w:p w:rsidR="00897890" w:rsidRPr="00645124" w:rsidRDefault="00897890"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1846" w:type="dxa"/>
            <w:gridSpan w:val="2"/>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State of Victoria</w:t>
            </w:r>
          </w:p>
        </w:tc>
        <w:tc>
          <w:tcPr>
            <w:tcW w:w="1913" w:type="dxa"/>
            <w:gridSpan w:val="2"/>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General </w:t>
            </w:r>
            <w:r w:rsidRPr="00645124">
              <w:rPr>
                <w:rFonts w:ascii="Calibri" w:eastAsiaTheme="minorEastAsia" w:hAnsi="Calibri" w:cs="Calibri"/>
                <w:i/>
                <w:iCs/>
                <w:color w:val="FFFFFF"/>
                <w:sz w:val="22"/>
                <w:szCs w:val="22"/>
                <w:lang w:eastAsia="en-AU"/>
              </w:rPr>
              <w:br/>
              <w:t>government sector</w:t>
            </w:r>
          </w:p>
        </w:tc>
      </w:tr>
      <w:tr w:rsidR="00BB67AF" w:rsidRPr="00645124" w:rsidTr="00897890">
        <w:trPr>
          <w:tblHeader/>
        </w:trPr>
        <w:tc>
          <w:tcPr>
            <w:tcW w:w="5879"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889"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957"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2014</w:t>
            </w:r>
          </w:p>
        </w:tc>
        <w:tc>
          <w:tcPr>
            <w:tcW w:w="956"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957"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2014</w:t>
            </w:r>
          </w:p>
        </w:tc>
      </w:tr>
      <w:tr w:rsidR="00BB67AF" w:rsidRPr="00645124" w:rsidTr="00897890">
        <w:tc>
          <w:tcPr>
            <w:tcW w:w="587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Taxes on employers’ payroll and labour force</w:t>
            </w:r>
          </w:p>
        </w:tc>
        <w:tc>
          <w:tcPr>
            <w:tcW w:w="88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2 693</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2 568</w:t>
            </w:r>
          </w:p>
        </w:tc>
        <w:tc>
          <w:tcPr>
            <w:tcW w:w="95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2 729</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2 601</w:t>
            </w:r>
          </w:p>
        </w:tc>
      </w:tr>
      <w:tr w:rsidR="00BB67AF" w:rsidRPr="00645124" w:rsidTr="00897890">
        <w:tc>
          <w:tcPr>
            <w:tcW w:w="587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Taxes on property</w:t>
            </w:r>
          </w:p>
        </w:tc>
        <w:tc>
          <w:tcPr>
            <w:tcW w:w="88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95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897890">
        <w:tc>
          <w:tcPr>
            <w:tcW w:w="587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Taxes on immovable property</w:t>
            </w:r>
          </w:p>
        </w:tc>
        <w:tc>
          <w:tcPr>
            <w:tcW w:w="88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95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897890">
        <w:tc>
          <w:tcPr>
            <w:tcW w:w="587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Land tax</w:t>
            </w:r>
          </w:p>
        </w:tc>
        <w:tc>
          <w:tcPr>
            <w:tcW w:w="88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36</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95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56</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18</w:t>
            </w:r>
          </w:p>
        </w:tc>
      </w:tr>
      <w:tr w:rsidR="00BB67AF" w:rsidRPr="00645124" w:rsidTr="00897890">
        <w:tc>
          <w:tcPr>
            <w:tcW w:w="587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Fire Services Property levy</w:t>
            </w:r>
          </w:p>
        </w:tc>
        <w:tc>
          <w:tcPr>
            <w:tcW w:w="88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660</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583</w:t>
            </w:r>
          </w:p>
        </w:tc>
        <w:tc>
          <w:tcPr>
            <w:tcW w:w="95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660</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583</w:t>
            </w:r>
          </w:p>
        </w:tc>
      </w:tr>
      <w:tr w:rsidR="00BB67AF" w:rsidRPr="00645124" w:rsidTr="00897890">
        <w:tc>
          <w:tcPr>
            <w:tcW w:w="587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Congestion levy</w:t>
            </w:r>
          </w:p>
        </w:tc>
        <w:tc>
          <w:tcPr>
            <w:tcW w:w="88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w:t>
            </w:r>
          </w:p>
        </w:tc>
        <w:tc>
          <w:tcPr>
            <w:tcW w:w="95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w:t>
            </w:r>
          </w:p>
        </w:tc>
      </w:tr>
      <w:tr w:rsidR="00BB67AF" w:rsidRPr="00645124" w:rsidTr="00897890">
        <w:tc>
          <w:tcPr>
            <w:tcW w:w="5879"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Metropolitan improvement levy</w:t>
            </w:r>
          </w:p>
        </w:tc>
        <w:tc>
          <w:tcPr>
            <w:tcW w:w="889"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156</w:t>
            </w:r>
          </w:p>
        </w:tc>
        <w:tc>
          <w:tcPr>
            <w:tcW w:w="95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148</w:t>
            </w:r>
          </w:p>
        </w:tc>
        <w:tc>
          <w:tcPr>
            <w:tcW w:w="95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156</w:t>
            </w:r>
          </w:p>
        </w:tc>
        <w:tc>
          <w:tcPr>
            <w:tcW w:w="95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148</w:t>
            </w:r>
          </w:p>
        </w:tc>
      </w:tr>
      <w:tr w:rsidR="00BB67AF" w:rsidRPr="00645124" w:rsidTr="00897890">
        <w:tc>
          <w:tcPr>
            <w:tcW w:w="5879"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taxes on immovable property</w:t>
            </w:r>
          </w:p>
        </w:tc>
        <w:tc>
          <w:tcPr>
            <w:tcW w:w="889"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852</w:t>
            </w:r>
          </w:p>
        </w:tc>
        <w:tc>
          <w:tcPr>
            <w:tcW w:w="957"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732</w:t>
            </w:r>
          </w:p>
        </w:tc>
        <w:tc>
          <w:tcPr>
            <w:tcW w:w="956"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872</w:t>
            </w:r>
          </w:p>
        </w:tc>
        <w:tc>
          <w:tcPr>
            <w:tcW w:w="957"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751</w:t>
            </w:r>
          </w:p>
        </w:tc>
      </w:tr>
      <w:tr w:rsidR="00BB67AF" w:rsidRPr="00645124" w:rsidTr="00897890">
        <w:tc>
          <w:tcPr>
            <w:tcW w:w="587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Financial and capital transactions</w:t>
            </w:r>
          </w:p>
        </w:tc>
        <w:tc>
          <w:tcPr>
            <w:tcW w:w="88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95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897890">
        <w:tc>
          <w:tcPr>
            <w:tcW w:w="587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Land transfer duty</w:t>
            </w:r>
          </w:p>
        </w:tc>
        <w:tc>
          <w:tcPr>
            <w:tcW w:w="88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3 032</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2 523</w:t>
            </w:r>
          </w:p>
        </w:tc>
        <w:tc>
          <w:tcPr>
            <w:tcW w:w="95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3 032</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2 523</w:t>
            </w:r>
          </w:p>
        </w:tc>
      </w:tr>
      <w:tr w:rsidR="00BB67AF" w:rsidRPr="00645124" w:rsidTr="00897890">
        <w:tc>
          <w:tcPr>
            <w:tcW w:w="587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Other property duties</w:t>
            </w:r>
          </w:p>
        </w:tc>
        <w:tc>
          <w:tcPr>
            <w:tcW w:w="88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w:t>
            </w:r>
          </w:p>
        </w:tc>
        <w:tc>
          <w:tcPr>
            <w:tcW w:w="95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w:t>
            </w:r>
          </w:p>
        </w:tc>
      </w:tr>
      <w:tr w:rsidR="00BB67AF" w:rsidRPr="00645124" w:rsidTr="00897890">
        <w:tc>
          <w:tcPr>
            <w:tcW w:w="587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Metropolitan planning levy</w:t>
            </w:r>
          </w:p>
        </w:tc>
        <w:tc>
          <w:tcPr>
            <w:tcW w:w="88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13</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95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13</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897890">
        <w:tc>
          <w:tcPr>
            <w:tcW w:w="587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Financial accommodation levy</w:t>
            </w:r>
          </w:p>
        </w:tc>
        <w:tc>
          <w:tcPr>
            <w:tcW w:w="88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95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84</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64</w:t>
            </w:r>
          </w:p>
        </w:tc>
      </w:tr>
      <w:tr w:rsidR="00BB67AF" w:rsidRPr="00645124" w:rsidTr="00897890">
        <w:tc>
          <w:tcPr>
            <w:tcW w:w="5879"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Growth Areas Infrastructure Contribution</w:t>
            </w:r>
          </w:p>
        </w:tc>
        <w:tc>
          <w:tcPr>
            <w:tcW w:w="889"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69</w:t>
            </w:r>
          </w:p>
        </w:tc>
        <w:tc>
          <w:tcPr>
            <w:tcW w:w="95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65</w:t>
            </w:r>
          </w:p>
        </w:tc>
        <w:tc>
          <w:tcPr>
            <w:tcW w:w="95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69</w:t>
            </w:r>
          </w:p>
        </w:tc>
        <w:tc>
          <w:tcPr>
            <w:tcW w:w="95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65</w:t>
            </w:r>
          </w:p>
        </w:tc>
      </w:tr>
      <w:tr w:rsidR="00BB67AF" w:rsidRPr="00645124" w:rsidTr="00897890">
        <w:tc>
          <w:tcPr>
            <w:tcW w:w="5879"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financial and capital transactions</w:t>
            </w:r>
          </w:p>
        </w:tc>
        <w:tc>
          <w:tcPr>
            <w:tcW w:w="889"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3 115</w:t>
            </w:r>
          </w:p>
        </w:tc>
        <w:tc>
          <w:tcPr>
            <w:tcW w:w="957"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2 589</w:t>
            </w:r>
          </w:p>
        </w:tc>
        <w:tc>
          <w:tcPr>
            <w:tcW w:w="956"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3 198</w:t>
            </w:r>
          </w:p>
        </w:tc>
        <w:tc>
          <w:tcPr>
            <w:tcW w:w="957"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2 654</w:t>
            </w:r>
          </w:p>
        </w:tc>
      </w:tr>
      <w:tr w:rsidR="00BB67AF" w:rsidRPr="00645124" w:rsidTr="00897890">
        <w:tc>
          <w:tcPr>
            <w:tcW w:w="5879"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taxes on property</w:t>
            </w:r>
          </w:p>
        </w:tc>
        <w:tc>
          <w:tcPr>
            <w:tcW w:w="889"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3 967</w:t>
            </w:r>
          </w:p>
        </w:tc>
        <w:tc>
          <w:tcPr>
            <w:tcW w:w="957"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3 322</w:t>
            </w:r>
          </w:p>
        </w:tc>
        <w:tc>
          <w:tcPr>
            <w:tcW w:w="956"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4 070</w:t>
            </w:r>
          </w:p>
        </w:tc>
        <w:tc>
          <w:tcPr>
            <w:tcW w:w="957"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3 405</w:t>
            </w:r>
          </w:p>
        </w:tc>
      </w:tr>
      <w:tr w:rsidR="00BB67AF" w:rsidRPr="00645124" w:rsidTr="00897890">
        <w:tc>
          <w:tcPr>
            <w:tcW w:w="5879"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Taxes on provision of goods and services</w:t>
            </w:r>
          </w:p>
        </w:tc>
        <w:tc>
          <w:tcPr>
            <w:tcW w:w="889"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957"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956"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957"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897890">
        <w:tc>
          <w:tcPr>
            <w:tcW w:w="587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Gambling taxes</w:t>
            </w:r>
          </w:p>
        </w:tc>
        <w:tc>
          <w:tcPr>
            <w:tcW w:w="88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95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897890">
        <w:tc>
          <w:tcPr>
            <w:tcW w:w="587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Public lotteries</w:t>
            </w:r>
          </w:p>
        </w:tc>
        <w:tc>
          <w:tcPr>
            <w:tcW w:w="88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221</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204</w:t>
            </w:r>
          </w:p>
        </w:tc>
        <w:tc>
          <w:tcPr>
            <w:tcW w:w="95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221</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204</w:t>
            </w:r>
          </w:p>
        </w:tc>
      </w:tr>
      <w:tr w:rsidR="00BB67AF" w:rsidRPr="00645124" w:rsidTr="00897890">
        <w:tc>
          <w:tcPr>
            <w:tcW w:w="587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Electronic gaming machines</w:t>
            </w:r>
          </w:p>
        </w:tc>
        <w:tc>
          <w:tcPr>
            <w:tcW w:w="88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550</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543</w:t>
            </w:r>
          </w:p>
        </w:tc>
        <w:tc>
          <w:tcPr>
            <w:tcW w:w="95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550</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543</w:t>
            </w:r>
          </w:p>
        </w:tc>
      </w:tr>
      <w:tr w:rsidR="00BB67AF" w:rsidRPr="00645124" w:rsidTr="00897890">
        <w:tc>
          <w:tcPr>
            <w:tcW w:w="587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Casino</w:t>
            </w:r>
          </w:p>
        </w:tc>
        <w:tc>
          <w:tcPr>
            <w:tcW w:w="88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112</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102</w:t>
            </w:r>
          </w:p>
        </w:tc>
        <w:tc>
          <w:tcPr>
            <w:tcW w:w="95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112</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102</w:t>
            </w:r>
          </w:p>
        </w:tc>
      </w:tr>
      <w:tr w:rsidR="00BB67AF" w:rsidRPr="00645124" w:rsidTr="00897890">
        <w:tc>
          <w:tcPr>
            <w:tcW w:w="587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Racing</w:t>
            </w:r>
          </w:p>
        </w:tc>
        <w:tc>
          <w:tcPr>
            <w:tcW w:w="88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41</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43</w:t>
            </w:r>
          </w:p>
        </w:tc>
        <w:tc>
          <w:tcPr>
            <w:tcW w:w="95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41</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43</w:t>
            </w:r>
          </w:p>
        </w:tc>
      </w:tr>
      <w:tr w:rsidR="00BB67AF" w:rsidRPr="00645124" w:rsidTr="00897890">
        <w:tc>
          <w:tcPr>
            <w:tcW w:w="5879"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Other</w:t>
            </w:r>
          </w:p>
        </w:tc>
        <w:tc>
          <w:tcPr>
            <w:tcW w:w="889"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12</w:t>
            </w:r>
          </w:p>
        </w:tc>
        <w:tc>
          <w:tcPr>
            <w:tcW w:w="95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11</w:t>
            </w:r>
          </w:p>
        </w:tc>
        <w:tc>
          <w:tcPr>
            <w:tcW w:w="95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12</w:t>
            </w:r>
          </w:p>
        </w:tc>
        <w:tc>
          <w:tcPr>
            <w:tcW w:w="95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11</w:t>
            </w:r>
          </w:p>
        </w:tc>
      </w:tr>
      <w:tr w:rsidR="00BB67AF" w:rsidRPr="00645124" w:rsidTr="00897890">
        <w:tc>
          <w:tcPr>
            <w:tcW w:w="5879"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gambling taxes</w:t>
            </w:r>
          </w:p>
        </w:tc>
        <w:tc>
          <w:tcPr>
            <w:tcW w:w="889"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935</w:t>
            </w:r>
          </w:p>
        </w:tc>
        <w:tc>
          <w:tcPr>
            <w:tcW w:w="957"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903</w:t>
            </w:r>
          </w:p>
        </w:tc>
        <w:tc>
          <w:tcPr>
            <w:tcW w:w="956"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935</w:t>
            </w:r>
          </w:p>
        </w:tc>
        <w:tc>
          <w:tcPr>
            <w:tcW w:w="957"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903</w:t>
            </w:r>
          </w:p>
        </w:tc>
      </w:tr>
      <w:tr w:rsidR="00BB67AF" w:rsidRPr="00645124" w:rsidTr="00897890">
        <w:tc>
          <w:tcPr>
            <w:tcW w:w="587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Levies on statutory corporations</w:t>
            </w:r>
          </w:p>
        </w:tc>
        <w:tc>
          <w:tcPr>
            <w:tcW w:w="88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w:t>
            </w:r>
          </w:p>
        </w:tc>
        <w:tc>
          <w:tcPr>
            <w:tcW w:w="95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53</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53</w:t>
            </w:r>
          </w:p>
        </w:tc>
      </w:tr>
      <w:tr w:rsidR="00BB67AF" w:rsidRPr="00645124" w:rsidTr="00897890">
        <w:tc>
          <w:tcPr>
            <w:tcW w:w="5879"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Taxes on insurance</w:t>
            </w:r>
          </w:p>
        </w:tc>
        <w:tc>
          <w:tcPr>
            <w:tcW w:w="889"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606</w:t>
            </w:r>
          </w:p>
        </w:tc>
        <w:tc>
          <w:tcPr>
            <w:tcW w:w="95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580</w:t>
            </w:r>
          </w:p>
        </w:tc>
        <w:tc>
          <w:tcPr>
            <w:tcW w:w="95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606</w:t>
            </w:r>
          </w:p>
        </w:tc>
        <w:tc>
          <w:tcPr>
            <w:tcW w:w="95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580</w:t>
            </w:r>
          </w:p>
        </w:tc>
      </w:tr>
      <w:tr w:rsidR="00BB67AF" w:rsidRPr="00645124" w:rsidTr="00897890">
        <w:tc>
          <w:tcPr>
            <w:tcW w:w="5879"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taxes on the provision of goods and services</w:t>
            </w:r>
          </w:p>
        </w:tc>
        <w:tc>
          <w:tcPr>
            <w:tcW w:w="889"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1 541</w:t>
            </w:r>
          </w:p>
        </w:tc>
        <w:tc>
          <w:tcPr>
            <w:tcW w:w="957"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1 483</w:t>
            </w:r>
          </w:p>
        </w:tc>
        <w:tc>
          <w:tcPr>
            <w:tcW w:w="956"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1 594</w:t>
            </w:r>
          </w:p>
        </w:tc>
        <w:tc>
          <w:tcPr>
            <w:tcW w:w="957"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1 536</w:t>
            </w:r>
          </w:p>
        </w:tc>
      </w:tr>
      <w:tr w:rsidR="00BB67AF" w:rsidRPr="00645124" w:rsidTr="00897890">
        <w:tc>
          <w:tcPr>
            <w:tcW w:w="5879"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Taxes on the use of goods and performance of activities</w:t>
            </w:r>
          </w:p>
        </w:tc>
        <w:tc>
          <w:tcPr>
            <w:tcW w:w="889"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957"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956"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957"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897890">
        <w:tc>
          <w:tcPr>
            <w:tcW w:w="587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Motor vehicle taxes</w:t>
            </w:r>
          </w:p>
        </w:tc>
        <w:tc>
          <w:tcPr>
            <w:tcW w:w="88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95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897890">
        <w:tc>
          <w:tcPr>
            <w:tcW w:w="587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Vehicle registration fees</w:t>
            </w:r>
          </w:p>
        </w:tc>
        <w:tc>
          <w:tcPr>
            <w:tcW w:w="88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726</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698</w:t>
            </w:r>
          </w:p>
        </w:tc>
        <w:tc>
          <w:tcPr>
            <w:tcW w:w="95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728</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699</w:t>
            </w:r>
          </w:p>
        </w:tc>
      </w:tr>
      <w:tr w:rsidR="00BB67AF" w:rsidRPr="00645124" w:rsidTr="00897890">
        <w:tc>
          <w:tcPr>
            <w:tcW w:w="5879"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Duty on vehicle registrations and transfers</w:t>
            </w:r>
          </w:p>
        </w:tc>
        <w:tc>
          <w:tcPr>
            <w:tcW w:w="889"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391</w:t>
            </w:r>
          </w:p>
        </w:tc>
        <w:tc>
          <w:tcPr>
            <w:tcW w:w="95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359</w:t>
            </w:r>
          </w:p>
        </w:tc>
        <w:tc>
          <w:tcPr>
            <w:tcW w:w="95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391</w:t>
            </w:r>
          </w:p>
        </w:tc>
        <w:tc>
          <w:tcPr>
            <w:tcW w:w="95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359</w:t>
            </w:r>
          </w:p>
        </w:tc>
      </w:tr>
      <w:tr w:rsidR="00BB67AF" w:rsidRPr="00645124" w:rsidTr="00897890">
        <w:tc>
          <w:tcPr>
            <w:tcW w:w="5879"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motor vehicle taxes</w:t>
            </w:r>
          </w:p>
        </w:tc>
        <w:tc>
          <w:tcPr>
            <w:tcW w:w="889"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1 117</w:t>
            </w:r>
          </w:p>
        </w:tc>
        <w:tc>
          <w:tcPr>
            <w:tcW w:w="957"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1 057</w:t>
            </w:r>
          </w:p>
        </w:tc>
        <w:tc>
          <w:tcPr>
            <w:tcW w:w="956"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1 118</w:t>
            </w:r>
          </w:p>
        </w:tc>
        <w:tc>
          <w:tcPr>
            <w:tcW w:w="957"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1 058</w:t>
            </w:r>
          </w:p>
        </w:tc>
      </w:tr>
      <w:tr w:rsidR="00BB67AF" w:rsidRPr="00645124" w:rsidTr="00897890">
        <w:tc>
          <w:tcPr>
            <w:tcW w:w="587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Liquor licence fees</w:t>
            </w:r>
          </w:p>
        </w:tc>
        <w:tc>
          <w:tcPr>
            <w:tcW w:w="88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15</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12</w:t>
            </w:r>
          </w:p>
        </w:tc>
        <w:tc>
          <w:tcPr>
            <w:tcW w:w="95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15</w:t>
            </w:r>
          </w:p>
        </w:tc>
        <w:tc>
          <w:tcPr>
            <w:tcW w:w="95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12</w:t>
            </w:r>
          </w:p>
        </w:tc>
      </w:tr>
      <w:tr w:rsidR="00BB67AF" w:rsidRPr="00645124" w:rsidTr="00897890">
        <w:tc>
          <w:tcPr>
            <w:tcW w:w="5879"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Other</w:t>
            </w:r>
          </w:p>
        </w:tc>
        <w:tc>
          <w:tcPr>
            <w:tcW w:w="889"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110</w:t>
            </w:r>
          </w:p>
        </w:tc>
        <w:tc>
          <w:tcPr>
            <w:tcW w:w="95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114</w:t>
            </w:r>
          </w:p>
        </w:tc>
        <w:tc>
          <w:tcPr>
            <w:tcW w:w="95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150</w:t>
            </w:r>
          </w:p>
        </w:tc>
        <w:tc>
          <w:tcPr>
            <w:tcW w:w="95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153</w:t>
            </w:r>
          </w:p>
        </w:tc>
      </w:tr>
      <w:tr w:rsidR="00BB67AF" w:rsidRPr="00645124" w:rsidTr="00897890">
        <w:tc>
          <w:tcPr>
            <w:tcW w:w="5879"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taxes on the use of goods and performance of activities</w:t>
            </w:r>
          </w:p>
        </w:tc>
        <w:tc>
          <w:tcPr>
            <w:tcW w:w="889"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1 242</w:t>
            </w:r>
          </w:p>
        </w:tc>
        <w:tc>
          <w:tcPr>
            <w:tcW w:w="957"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1 183</w:t>
            </w:r>
          </w:p>
        </w:tc>
        <w:tc>
          <w:tcPr>
            <w:tcW w:w="956"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1 283</w:t>
            </w:r>
          </w:p>
        </w:tc>
        <w:tc>
          <w:tcPr>
            <w:tcW w:w="957"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1 223</w:t>
            </w:r>
          </w:p>
        </w:tc>
      </w:tr>
      <w:tr w:rsidR="00BB67AF" w:rsidRPr="00645124" w:rsidTr="00897890">
        <w:tc>
          <w:tcPr>
            <w:tcW w:w="5879"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taxation revenue</w:t>
            </w:r>
          </w:p>
        </w:tc>
        <w:tc>
          <w:tcPr>
            <w:tcW w:w="889"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9 443</w:t>
            </w:r>
          </w:p>
        </w:tc>
        <w:tc>
          <w:tcPr>
            <w:tcW w:w="957"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8 555</w:t>
            </w:r>
          </w:p>
        </w:tc>
        <w:tc>
          <w:tcPr>
            <w:tcW w:w="956"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9 676</w:t>
            </w:r>
          </w:p>
        </w:tc>
        <w:tc>
          <w:tcPr>
            <w:tcW w:w="957"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8 764</w:t>
            </w:r>
          </w:p>
        </w:tc>
      </w:tr>
    </w:tbl>
    <w:p w:rsidR="00BB67AF" w:rsidRDefault="00BB67AF" w:rsidP="003E6750"/>
    <w:p w:rsidR="00BB67AF" w:rsidRDefault="00BB67AF">
      <w:pPr>
        <w:spacing w:after="0"/>
      </w:pPr>
      <w:r>
        <w:br w:type="page"/>
      </w:r>
    </w:p>
    <w:p w:rsidR="00BB67AF" w:rsidRDefault="00BB67AF" w:rsidP="003E6750">
      <w:pPr>
        <w:pStyle w:val="Heading2Notes"/>
      </w:pPr>
      <w:bookmarkStart w:id="13" w:name="_Toc445283162"/>
      <w:r>
        <w:lastRenderedPageBreak/>
        <w:t xml:space="preserve">Note 4: </w:t>
      </w:r>
      <w:r>
        <w:tab/>
        <w:t>Dividends and income tax equivalent and rate equivalent revenue</w:t>
      </w:r>
      <w:bookmarkEnd w:id="13"/>
    </w:p>
    <w:p w:rsidR="00BB67AF" w:rsidRDefault="00BB67AF" w:rsidP="003E6750">
      <w:pPr>
        <w:pStyle w:val="Tableheading"/>
      </w:pPr>
      <w:r>
        <w:t>(a)</w:t>
      </w:r>
      <w:r>
        <w:tab/>
        <w:t>Dividends and income tax equivalent and rate equivalent revenue</w:t>
      </w:r>
    </w:p>
    <w:p w:rsidR="00BB67AF" w:rsidRPr="004D1572" w:rsidRDefault="00BB67AF" w:rsidP="003E6750">
      <w:pPr>
        <w:pStyle w:val="million"/>
        <w:rPr>
          <w:rFonts w:eastAsiaTheme="minorEastAsia"/>
          <w:b/>
          <w:bCs/>
          <w:sz w:val="16"/>
          <w:lang w:val="en-US" w:eastAsia="en-AU"/>
        </w:rPr>
      </w:pPr>
      <w:r>
        <w:t>($ million)</w:t>
      </w:r>
    </w:p>
    <w:tbl>
      <w:tblPr>
        <w:tblW w:w="9651" w:type="dxa"/>
        <w:tblInd w:w="45" w:type="dxa"/>
        <w:tblLayout w:type="fixed"/>
        <w:tblCellMar>
          <w:left w:w="45" w:type="dxa"/>
          <w:right w:w="45" w:type="dxa"/>
        </w:tblCellMar>
        <w:tblLook w:val="0000" w:firstRow="0" w:lastRow="0" w:firstColumn="0" w:lastColumn="0" w:noHBand="0" w:noVBand="0"/>
      </w:tblPr>
      <w:tblGrid>
        <w:gridCol w:w="5097"/>
        <w:gridCol w:w="1134"/>
        <w:gridCol w:w="1140"/>
        <w:gridCol w:w="1140"/>
        <w:gridCol w:w="1140"/>
      </w:tblGrid>
      <w:tr w:rsidR="00897890" w:rsidRPr="00645124" w:rsidTr="00897890">
        <w:trPr>
          <w:cantSplit/>
          <w:tblHeader/>
        </w:trPr>
        <w:tc>
          <w:tcPr>
            <w:tcW w:w="5097" w:type="dxa"/>
            <w:tcBorders>
              <w:top w:val="nil"/>
              <w:left w:val="nil"/>
              <w:bottom w:val="nil"/>
              <w:right w:val="nil"/>
            </w:tcBorders>
            <w:shd w:val="solid" w:color="000000" w:fill="auto"/>
            <w:vAlign w:val="bottom"/>
          </w:tcPr>
          <w:p w:rsidR="00897890" w:rsidRPr="00645124" w:rsidRDefault="00897890" w:rsidP="003E6750">
            <w:pPr>
              <w:pStyle w:val="Notes"/>
              <w:rPr>
                <w:rFonts w:eastAsiaTheme="minorEastAsia" w:cs="Calibri"/>
                <w:iCs/>
                <w:color w:val="FFFFFF"/>
                <w:sz w:val="22"/>
                <w:szCs w:val="22"/>
                <w:lang w:eastAsia="en-AU"/>
              </w:rPr>
            </w:pPr>
            <w:r w:rsidRPr="00645124">
              <w:rPr>
                <w:rFonts w:eastAsiaTheme="minorEastAsia" w:cs="Calibri"/>
                <w:iCs/>
                <w:color w:val="FFFFFF"/>
                <w:sz w:val="22"/>
                <w:szCs w:val="22"/>
                <w:lang w:eastAsia="en-AU"/>
              </w:rPr>
              <w:t xml:space="preserve"> </w:t>
            </w:r>
          </w:p>
        </w:tc>
        <w:tc>
          <w:tcPr>
            <w:tcW w:w="2274" w:type="dxa"/>
            <w:gridSpan w:val="2"/>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State of Victoria </w:t>
            </w:r>
          </w:p>
        </w:tc>
        <w:tc>
          <w:tcPr>
            <w:tcW w:w="2280" w:type="dxa"/>
            <w:gridSpan w:val="2"/>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General </w:t>
            </w:r>
            <w:r w:rsidRPr="00645124">
              <w:rPr>
                <w:rFonts w:ascii="Calibri" w:eastAsiaTheme="minorEastAsia" w:hAnsi="Calibri" w:cs="Calibri"/>
                <w:i/>
                <w:iCs/>
                <w:color w:val="FFFFFF"/>
                <w:sz w:val="22"/>
                <w:szCs w:val="22"/>
                <w:lang w:eastAsia="en-AU"/>
              </w:rPr>
              <w:br/>
              <w:t>government sector</w:t>
            </w:r>
          </w:p>
        </w:tc>
      </w:tr>
      <w:tr w:rsidR="00BB67AF" w:rsidRPr="00645124" w:rsidTr="003E6750">
        <w:trPr>
          <w:cantSplit/>
          <w:tblHeader/>
        </w:trPr>
        <w:tc>
          <w:tcPr>
            <w:tcW w:w="5097"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113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40"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vertAlign w:val="superscript"/>
                <w:lang w:eastAsia="en-AU"/>
              </w:rPr>
            </w:pPr>
            <w:r w:rsidRPr="00645124">
              <w:rPr>
                <w:rFonts w:ascii="Calibri" w:eastAsiaTheme="minorEastAsia" w:hAnsi="Calibri" w:cs="Calibri"/>
                <w:i/>
                <w:iCs/>
                <w:color w:val="FFFFFF"/>
                <w:sz w:val="22"/>
                <w:szCs w:val="22"/>
                <w:lang w:eastAsia="en-AU"/>
              </w:rPr>
              <w:t xml:space="preserve">2014 </w:t>
            </w:r>
            <w:r w:rsidRPr="00645124">
              <w:rPr>
                <w:rFonts w:ascii="Calibri" w:eastAsiaTheme="minorEastAsia" w:hAnsi="Calibri" w:cs="Calibri"/>
                <w:i/>
                <w:iCs/>
                <w:color w:val="FFFFFF"/>
                <w:sz w:val="22"/>
                <w:szCs w:val="22"/>
                <w:vertAlign w:val="superscript"/>
                <w:lang w:eastAsia="en-AU"/>
              </w:rPr>
              <w:t>(a)</w:t>
            </w:r>
          </w:p>
        </w:tc>
        <w:tc>
          <w:tcPr>
            <w:tcW w:w="1140"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40"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2014</w:t>
            </w:r>
          </w:p>
        </w:tc>
      </w:tr>
      <w:tr w:rsidR="00BB67AF" w:rsidRPr="00645124" w:rsidTr="003E6750">
        <w:trPr>
          <w:cantSplit/>
        </w:trPr>
        <w:tc>
          <w:tcPr>
            <w:tcW w:w="509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Dividends from PFC sector</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4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4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223</w:t>
            </w:r>
          </w:p>
        </w:tc>
        <w:tc>
          <w:tcPr>
            <w:tcW w:w="114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475</w:t>
            </w:r>
          </w:p>
        </w:tc>
      </w:tr>
      <w:tr w:rsidR="00BB67AF" w:rsidRPr="00645124" w:rsidTr="003E6750">
        <w:trPr>
          <w:cantSplit/>
        </w:trPr>
        <w:tc>
          <w:tcPr>
            <w:tcW w:w="509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Dividends from PNFC sector</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4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4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124</w:t>
            </w:r>
          </w:p>
        </w:tc>
        <w:tc>
          <w:tcPr>
            <w:tcW w:w="114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106</w:t>
            </w:r>
          </w:p>
        </w:tc>
      </w:tr>
      <w:tr w:rsidR="00BB67AF" w:rsidRPr="00645124" w:rsidTr="003E6750">
        <w:trPr>
          <w:cantSplit/>
        </w:trPr>
        <w:tc>
          <w:tcPr>
            <w:tcW w:w="509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Dividends from non</w:t>
            </w:r>
            <w:r w:rsidRPr="00645124">
              <w:rPr>
                <w:rFonts w:ascii="Calibri" w:eastAsiaTheme="minorEastAsia" w:hAnsi="Calibri" w:cs="Calibri"/>
                <w:color w:val="000000"/>
                <w:sz w:val="22"/>
                <w:szCs w:val="22"/>
                <w:lang w:eastAsia="en-AU"/>
              </w:rPr>
              <w:noBreakHyphen/>
              <w:t>public sector</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766</w:t>
            </w:r>
          </w:p>
        </w:tc>
        <w:tc>
          <w:tcPr>
            <w:tcW w:w="1140"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502</w:t>
            </w:r>
          </w:p>
        </w:tc>
        <w:tc>
          <w:tcPr>
            <w:tcW w:w="1140"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16</w:t>
            </w:r>
          </w:p>
        </w:tc>
        <w:tc>
          <w:tcPr>
            <w:tcW w:w="1140"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10</w:t>
            </w:r>
          </w:p>
        </w:tc>
      </w:tr>
      <w:tr w:rsidR="00BB67AF" w:rsidRPr="00645124" w:rsidTr="003E6750">
        <w:trPr>
          <w:cantSplit/>
        </w:trPr>
        <w:tc>
          <w:tcPr>
            <w:tcW w:w="5097"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Dividends</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766</w:t>
            </w:r>
          </w:p>
        </w:tc>
        <w:tc>
          <w:tcPr>
            <w:tcW w:w="1140"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502</w:t>
            </w:r>
          </w:p>
        </w:tc>
        <w:tc>
          <w:tcPr>
            <w:tcW w:w="1140"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362</w:t>
            </w:r>
          </w:p>
        </w:tc>
        <w:tc>
          <w:tcPr>
            <w:tcW w:w="1140"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591</w:t>
            </w:r>
          </w:p>
        </w:tc>
      </w:tr>
      <w:tr w:rsidR="00BB67AF" w:rsidRPr="00645124" w:rsidTr="003E6750">
        <w:trPr>
          <w:cantSplit/>
        </w:trPr>
        <w:tc>
          <w:tcPr>
            <w:tcW w:w="509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Income tax equivalent revenue from PFC sector</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4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4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13</w:t>
            </w:r>
          </w:p>
        </w:tc>
        <w:tc>
          <w:tcPr>
            <w:tcW w:w="114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25</w:t>
            </w:r>
          </w:p>
        </w:tc>
      </w:tr>
      <w:tr w:rsidR="00BB67AF" w:rsidRPr="00645124" w:rsidTr="003E6750">
        <w:trPr>
          <w:cantSplit/>
        </w:trPr>
        <w:tc>
          <w:tcPr>
            <w:tcW w:w="509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Income tax equivalent revenue from PNFC sector</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40"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40"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76</w:t>
            </w:r>
          </w:p>
        </w:tc>
        <w:tc>
          <w:tcPr>
            <w:tcW w:w="1140"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51</w:t>
            </w:r>
          </w:p>
        </w:tc>
      </w:tr>
      <w:tr w:rsidR="00BB67AF" w:rsidRPr="00645124" w:rsidTr="003E6750">
        <w:trPr>
          <w:cantSplit/>
        </w:trPr>
        <w:tc>
          <w:tcPr>
            <w:tcW w:w="5097"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Income tax equivalent revenue</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w:t>
            </w:r>
          </w:p>
        </w:tc>
        <w:tc>
          <w:tcPr>
            <w:tcW w:w="1140"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w:t>
            </w:r>
          </w:p>
        </w:tc>
        <w:tc>
          <w:tcPr>
            <w:tcW w:w="1140"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89</w:t>
            </w:r>
          </w:p>
        </w:tc>
        <w:tc>
          <w:tcPr>
            <w:tcW w:w="1140"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76</w:t>
            </w:r>
          </w:p>
        </w:tc>
      </w:tr>
      <w:tr w:rsidR="00BB67AF" w:rsidRPr="00645124" w:rsidTr="003E6750">
        <w:trPr>
          <w:cantSplit/>
        </w:trPr>
        <w:tc>
          <w:tcPr>
            <w:tcW w:w="509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Local government rate equivalent revenue</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140"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140"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140"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r>
      <w:tr w:rsidR="00BB67AF" w:rsidRPr="00645124" w:rsidTr="003E6750">
        <w:trPr>
          <w:cantSplit/>
        </w:trPr>
        <w:tc>
          <w:tcPr>
            <w:tcW w:w="5097"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dividends and income tax equivalent and rate equivalent revenue</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766</w:t>
            </w:r>
          </w:p>
        </w:tc>
        <w:tc>
          <w:tcPr>
            <w:tcW w:w="1140"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502</w:t>
            </w:r>
          </w:p>
        </w:tc>
        <w:tc>
          <w:tcPr>
            <w:tcW w:w="1140"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451</w:t>
            </w:r>
          </w:p>
        </w:tc>
        <w:tc>
          <w:tcPr>
            <w:tcW w:w="1140"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667</w:t>
            </w:r>
          </w:p>
        </w:tc>
      </w:tr>
    </w:tbl>
    <w:p w:rsidR="00BB67AF" w:rsidRDefault="00BB67AF" w:rsidP="003E6750">
      <w:pPr>
        <w:pStyle w:val="Notes"/>
      </w:pPr>
      <w:r>
        <w:t>Note:</w:t>
      </w:r>
    </w:p>
    <w:p w:rsidR="00BB67AF" w:rsidRPr="00717E8D" w:rsidRDefault="00BB67AF" w:rsidP="003E6750">
      <w:pPr>
        <w:pStyle w:val="Notes"/>
      </w:pPr>
      <w:r>
        <w:t>(a)</w:t>
      </w:r>
      <w:r>
        <w:tab/>
        <w:t xml:space="preserve">The December 2014 comparative figures have been restated to reflect more current information, mainly including adjustments outlined in Note 37 of the </w:t>
      </w:r>
      <w:r>
        <w:rPr>
          <w:i w:val="0"/>
        </w:rPr>
        <w:t>2014</w:t>
      </w:r>
      <w:r>
        <w:rPr>
          <w:i w:val="0"/>
        </w:rPr>
        <w:noBreakHyphen/>
        <w:t>15 Financial Report</w:t>
      </w:r>
      <w:r>
        <w:t>.</w:t>
      </w:r>
    </w:p>
    <w:p w:rsidR="00BB67AF" w:rsidRDefault="00BB67AF" w:rsidP="003E6750"/>
    <w:p w:rsidR="00BB67AF" w:rsidRDefault="00BB67AF" w:rsidP="003E6750">
      <w:pPr>
        <w:pStyle w:val="Tableheading"/>
      </w:pPr>
      <w:r w:rsidRPr="0005356F">
        <w:t xml:space="preserve">(b) </w:t>
      </w:r>
      <w:r w:rsidRPr="0005356F">
        <w:tab/>
        <w:t>Dividends by entity</w:t>
      </w:r>
    </w:p>
    <w:p w:rsidR="00BB67AF" w:rsidRPr="004D1572" w:rsidRDefault="00BB67AF" w:rsidP="003E6750">
      <w:pPr>
        <w:pStyle w:val="million"/>
        <w:rPr>
          <w:b/>
          <w:bCs/>
          <w:lang w:val="en-US"/>
        </w:rPr>
      </w:pPr>
      <w:r>
        <w:t>($ million)</w:t>
      </w:r>
    </w:p>
    <w:tbl>
      <w:tblPr>
        <w:tblW w:w="9638" w:type="dxa"/>
        <w:tblInd w:w="45" w:type="dxa"/>
        <w:tblLayout w:type="fixed"/>
        <w:tblCellMar>
          <w:left w:w="45" w:type="dxa"/>
          <w:right w:w="45" w:type="dxa"/>
        </w:tblCellMar>
        <w:tblLook w:val="0000" w:firstRow="0" w:lastRow="0" w:firstColumn="0" w:lastColumn="0" w:noHBand="0" w:noVBand="0"/>
      </w:tblPr>
      <w:tblGrid>
        <w:gridCol w:w="7371"/>
        <w:gridCol w:w="1133"/>
        <w:gridCol w:w="1134"/>
      </w:tblGrid>
      <w:tr w:rsidR="00897890" w:rsidRPr="00645124" w:rsidTr="00897890">
        <w:trPr>
          <w:tblHeader/>
        </w:trPr>
        <w:tc>
          <w:tcPr>
            <w:tcW w:w="7371" w:type="dxa"/>
            <w:tcBorders>
              <w:top w:val="nil"/>
              <w:left w:val="nil"/>
              <w:bottom w:val="nil"/>
              <w:right w:val="nil"/>
            </w:tcBorders>
            <w:shd w:val="solid" w:color="000000" w:fill="auto"/>
            <w:vAlign w:val="bottom"/>
          </w:tcPr>
          <w:p w:rsidR="00897890" w:rsidRPr="00645124" w:rsidRDefault="00897890" w:rsidP="003E675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2267" w:type="dxa"/>
            <w:gridSpan w:val="2"/>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General </w:t>
            </w:r>
            <w:r w:rsidRPr="00645124">
              <w:rPr>
                <w:rFonts w:ascii="Calibri" w:eastAsiaTheme="minorEastAsia" w:hAnsi="Calibri" w:cs="Calibri"/>
                <w:i/>
                <w:iCs/>
                <w:color w:val="FFFFFF"/>
                <w:sz w:val="22"/>
                <w:szCs w:val="22"/>
                <w:lang w:eastAsia="en-AU"/>
              </w:rPr>
              <w:br/>
              <w:t>government sector</w:t>
            </w:r>
          </w:p>
        </w:tc>
      </w:tr>
      <w:tr w:rsidR="00BB67AF" w:rsidRPr="00645124" w:rsidTr="003E6750">
        <w:trPr>
          <w:tblHeader/>
        </w:trPr>
        <w:tc>
          <w:tcPr>
            <w:tcW w:w="7371"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1133"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2014</w:t>
            </w:r>
          </w:p>
        </w:tc>
      </w:tr>
      <w:tr w:rsidR="00BB67AF" w:rsidRPr="00645124" w:rsidTr="003E6750">
        <w:tc>
          <w:tcPr>
            <w:tcW w:w="7371"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Public financial corporations</w:t>
            </w:r>
          </w:p>
        </w:tc>
        <w:tc>
          <w:tcPr>
            <w:tcW w:w="113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3E6750">
        <w:tc>
          <w:tcPr>
            <w:tcW w:w="7371"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proofErr w:type="spellStart"/>
            <w:r w:rsidRPr="00645124">
              <w:rPr>
                <w:rFonts w:ascii="Calibri" w:eastAsiaTheme="minorEastAsia" w:hAnsi="Calibri" w:cs="Calibri"/>
                <w:color w:val="000000"/>
                <w:sz w:val="22"/>
                <w:szCs w:val="22"/>
                <w:lang w:eastAsia="en-AU"/>
              </w:rPr>
              <w:t>WorkSafe</w:t>
            </w:r>
            <w:proofErr w:type="spellEnd"/>
            <w:r w:rsidRPr="00645124">
              <w:rPr>
                <w:rFonts w:ascii="Calibri" w:eastAsiaTheme="minorEastAsia" w:hAnsi="Calibri" w:cs="Calibri"/>
                <w:color w:val="000000"/>
                <w:sz w:val="22"/>
                <w:szCs w:val="22"/>
                <w:lang w:eastAsia="en-AU"/>
              </w:rPr>
              <w:t xml:space="preserve"> Victoria</w:t>
            </w:r>
          </w:p>
        </w:tc>
        <w:tc>
          <w:tcPr>
            <w:tcW w:w="113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242</w:t>
            </w:r>
          </w:p>
        </w:tc>
      </w:tr>
      <w:tr w:rsidR="00BB67AF" w:rsidRPr="00645124" w:rsidTr="003E6750">
        <w:tc>
          <w:tcPr>
            <w:tcW w:w="7371"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Victorian Managed Insurance Authority</w:t>
            </w:r>
          </w:p>
        </w:tc>
        <w:tc>
          <w:tcPr>
            <w:tcW w:w="113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73</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3E6750">
        <w:tc>
          <w:tcPr>
            <w:tcW w:w="7371"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Transport Accident Commission</w:t>
            </w:r>
          </w:p>
        </w:tc>
        <w:tc>
          <w:tcPr>
            <w:tcW w:w="113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116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163</w:t>
            </w:r>
          </w:p>
        </w:tc>
      </w:tr>
      <w:tr w:rsidR="00BB67AF" w:rsidRPr="00645124" w:rsidTr="003E6750">
        <w:tc>
          <w:tcPr>
            <w:tcW w:w="7371"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Treasury Corporation of Victoria</w:t>
            </w:r>
          </w:p>
        </w:tc>
        <w:tc>
          <w:tcPr>
            <w:tcW w:w="113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51</w:t>
            </w:r>
          </w:p>
        </w:tc>
      </w:tr>
      <w:tr w:rsidR="00BB67AF" w:rsidRPr="00645124" w:rsidTr="003E6750">
        <w:tc>
          <w:tcPr>
            <w:tcW w:w="7371"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Rural Finance Corporation of Victoria</w:t>
            </w:r>
          </w:p>
        </w:tc>
        <w:tc>
          <w:tcPr>
            <w:tcW w:w="113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17</w:t>
            </w:r>
          </w:p>
        </w:tc>
      </w:tr>
      <w:tr w:rsidR="00BB67AF" w:rsidRPr="00645124" w:rsidTr="003E6750">
        <w:tc>
          <w:tcPr>
            <w:tcW w:w="7371"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State Trustees Ltd</w:t>
            </w:r>
          </w:p>
        </w:tc>
        <w:tc>
          <w:tcPr>
            <w:tcW w:w="113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w:t>
            </w:r>
          </w:p>
        </w:tc>
      </w:tr>
      <w:tr w:rsidR="00BB67AF" w:rsidRPr="00645124" w:rsidTr="003E6750">
        <w:tc>
          <w:tcPr>
            <w:tcW w:w="7371"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Victorian Funds Management Corporation</w:t>
            </w:r>
          </w:p>
        </w:tc>
        <w:tc>
          <w:tcPr>
            <w:tcW w:w="1133"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w:t>
            </w:r>
          </w:p>
        </w:tc>
      </w:tr>
      <w:tr w:rsidR="00BB67AF" w:rsidRPr="00645124" w:rsidTr="003E6750">
        <w:tc>
          <w:tcPr>
            <w:tcW w:w="7371"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Dividends from PFC sector</w:t>
            </w:r>
          </w:p>
        </w:tc>
        <w:tc>
          <w:tcPr>
            <w:tcW w:w="1133"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223</w:t>
            </w:r>
          </w:p>
        </w:tc>
        <w:tc>
          <w:tcPr>
            <w:tcW w:w="113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475</w:t>
            </w:r>
          </w:p>
        </w:tc>
      </w:tr>
      <w:tr w:rsidR="00BB67AF" w:rsidRPr="00645124" w:rsidTr="003E6750">
        <w:tc>
          <w:tcPr>
            <w:tcW w:w="7371"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Public non</w:t>
            </w:r>
            <w:r w:rsidRPr="00645124">
              <w:rPr>
                <w:rFonts w:ascii="Calibri" w:eastAsiaTheme="minorEastAsia" w:hAnsi="Calibri" w:cs="Calibri"/>
                <w:b/>
                <w:bCs/>
                <w:color w:val="000000"/>
                <w:sz w:val="22"/>
                <w:szCs w:val="22"/>
                <w:lang w:eastAsia="en-AU"/>
              </w:rPr>
              <w:noBreakHyphen/>
              <w:t>financial corporations</w:t>
            </w:r>
          </w:p>
        </w:tc>
        <w:tc>
          <w:tcPr>
            <w:tcW w:w="1133"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3E6750">
        <w:tc>
          <w:tcPr>
            <w:tcW w:w="7371"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Melbourne Water Corporation</w:t>
            </w:r>
          </w:p>
        </w:tc>
        <w:tc>
          <w:tcPr>
            <w:tcW w:w="113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22</w:t>
            </w:r>
          </w:p>
        </w:tc>
      </w:tr>
      <w:tr w:rsidR="00BB67AF" w:rsidRPr="00645124" w:rsidTr="003E6750">
        <w:tc>
          <w:tcPr>
            <w:tcW w:w="7371"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City West Water Corporation</w:t>
            </w:r>
          </w:p>
        </w:tc>
        <w:tc>
          <w:tcPr>
            <w:tcW w:w="113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11</w:t>
            </w:r>
          </w:p>
        </w:tc>
      </w:tr>
      <w:tr w:rsidR="00BB67AF" w:rsidRPr="00645124" w:rsidTr="003E6750">
        <w:tc>
          <w:tcPr>
            <w:tcW w:w="7371"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South East Water Corporation</w:t>
            </w:r>
          </w:p>
        </w:tc>
        <w:tc>
          <w:tcPr>
            <w:tcW w:w="113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36</w:t>
            </w:r>
          </w:p>
        </w:tc>
      </w:tr>
      <w:tr w:rsidR="00BB67AF" w:rsidRPr="00645124" w:rsidTr="003E6750">
        <w:tc>
          <w:tcPr>
            <w:tcW w:w="7371"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Yarra Valley Water Corporation</w:t>
            </w:r>
          </w:p>
        </w:tc>
        <w:tc>
          <w:tcPr>
            <w:tcW w:w="113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19</w:t>
            </w:r>
          </w:p>
        </w:tc>
      </w:tr>
      <w:tr w:rsidR="00BB67AF" w:rsidRPr="00645124" w:rsidTr="003E6750">
        <w:tc>
          <w:tcPr>
            <w:tcW w:w="7371"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Port of Melbourne Corporation</w:t>
            </w:r>
          </w:p>
        </w:tc>
        <w:tc>
          <w:tcPr>
            <w:tcW w:w="113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17</w:t>
            </w:r>
          </w:p>
        </w:tc>
      </w:tr>
      <w:tr w:rsidR="00BB67AF" w:rsidRPr="00645124" w:rsidTr="003E6750">
        <w:tc>
          <w:tcPr>
            <w:tcW w:w="7371"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State Electricity Commission of Victoria (shell) </w:t>
            </w:r>
          </w:p>
        </w:tc>
        <w:tc>
          <w:tcPr>
            <w:tcW w:w="113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3E6750">
        <w:tc>
          <w:tcPr>
            <w:tcW w:w="7371"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Others</w:t>
            </w:r>
          </w:p>
        </w:tc>
        <w:tc>
          <w:tcPr>
            <w:tcW w:w="1133"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w:t>
            </w:r>
          </w:p>
        </w:tc>
      </w:tr>
      <w:tr w:rsidR="00BB67AF" w:rsidRPr="00645124" w:rsidTr="003E6750">
        <w:tc>
          <w:tcPr>
            <w:tcW w:w="7371"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Dividends from PNFC sector</w:t>
            </w:r>
          </w:p>
        </w:tc>
        <w:tc>
          <w:tcPr>
            <w:tcW w:w="1133"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124</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106</w:t>
            </w:r>
          </w:p>
        </w:tc>
      </w:tr>
    </w:tbl>
    <w:p w:rsidR="00BB67AF" w:rsidRDefault="00BB67AF" w:rsidP="003E6750"/>
    <w:p w:rsidR="00BB67AF" w:rsidRDefault="00BB67AF">
      <w:pPr>
        <w:spacing w:after="0"/>
        <w:rPr>
          <w:rFonts w:ascii="Calibri" w:hAnsi="Calibri"/>
          <w:b/>
          <w:kern w:val="28"/>
          <w:sz w:val="28"/>
          <w:szCs w:val="22"/>
        </w:rPr>
      </w:pPr>
      <w:r>
        <w:br w:type="page"/>
      </w:r>
    </w:p>
    <w:p w:rsidR="00BB67AF" w:rsidRDefault="00BB67AF" w:rsidP="003E6750">
      <w:pPr>
        <w:pStyle w:val="Heading2Notes"/>
      </w:pPr>
      <w:bookmarkStart w:id="14" w:name="_Toc445283163"/>
      <w:r w:rsidRPr="006436B0">
        <w:lastRenderedPageBreak/>
        <w:t xml:space="preserve">Note 5: </w:t>
      </w:r>
      <w:r w:rsidRPr="006436B0">
        <w:tab/>
        <w:t>Sales of goods and services</w:t>
      </w:r>
      <w:bookmarkEnd w:id="14"/>
    </w:p>
    <w:p w:rsidR="00BB67AF" w:rsidRPr="004D1572" w:rsidRDefault="00BB67AF" w:rsidP="003E6750">
      <w:pPr>
        <w:pStyle w:val="million"/>
        <w:rPr>
          <w:b/>
          <w:bCs/>
          <w:lang w:val="en-US"/>
        </w:rPr>
      </w:pPr>
      <w:r>
        <w:t>($ million)</w:t>
      </w:r>
    </w:p>
    <w:tbl>
      <w:tblPr>
        <w:tblW w:w="9642" w:type="dxa"/>
        <w:tblInd w:w="45" w:type="dxa"/>
        <w:tblLayout w:type="fixed"/>
        <w:tblCellMar>
          <w:left w:w="45" w:type="dxa"/>
          <w:right w:w="45" w:type="dxa"/>
        </w:tblCellMar>
        <w:tblLook w:val="0000" w:firstRow="0" w:lastRow="0" w:firstColumn="0" w:lastColumn="0" w:noHBand="0" w:noVBand="0"/>
      </w:tblPr>
      <w:tblGrid>
        <w:gridCol w:w="5103"/>
        <w:gridCol w:w="1126"/>
        <w:gridCol w:w="1137"/>
        <w:gridCol w:w="1139"/>
        <w:gridCol w:w="1137"/>
      </w:tblGrid>
      <w:tr w:rsidR="00897890" w:rsidRPr="00645124" w:rsidTr="00AC25A6">
        <w:trPr>
          <w:tblHeader/>
        </w:trPr>
        <w:tc>
          <w:tcPr>
            <w:tcW w:w="5103" w:type="dxa"/>
            <w:tcBorders>
              <w:top w:val="nil"/>
              <w:left w:val="nil"/>
              <w:bottom w:val="nil"/>
              <w:right w:val="nil"/>
            </w:tcBorders>
            <w:shd w:val="solid" w:color="000000" w:fill="auto"/>
            <w:vAlign w:val="bottom"/>
          </w:tcPr>
          <w:p w:rsidR="00897890" w:rsidRPr="00645124" w:rsidRDefault="00897890"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2263" w:type="dxa"/>
            <w:gridSpan w:val="2"/>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State of Victoria</w:t>
            </w:r>
          </w:p>
        </w:tc>
        <w:tc>
          <w:tcPr>
            <w:tcW w:w="2273" w:type="dxa"/>
            <w:gridSpan w:val="2"/>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General </w:t>
            </w:r>
            <w:r w:rsidRPr="00645124">
              <w:rPr>
                <w:rFonts w:ascii="Calibri" w:eastAsiaTheme="minorEastAsia" w:hAnsi="Calibri" w:cs="Calibri"/>
                <w:i/>
                <w:iCs/>
                <w:color w:val="FFFFFF"/>
                <w:sz w:val="22"/>
                <w:szCs w:val="22"/>
                <w:lang w:eastAsia="en-AU"/>
              </w:rPr>
              <w:br/>
              <w:t>government sector</w:t>
            </w:r>
          </w:p>
        </w:tc>
      </w:tr>
      <w:tr w:rsidR="00BB67AF" w:rsidRPr="00645124" w:rsidTr="00AC25A6">
        <w:trPr>
          <w:tblHeader/>
        </w:trPr>
        <w:tc>
          <w:tcPr>
            <w:tcW w:w="5103"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1126"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7"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2014</w:t>
            </w:r>
          </w:p>
        </w:tc>
        <w:tc>
          <w:tcPr>
            <w:tcW w:w="1139"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2014</w:t>
            </w:r>
          </w:p>
        </w:tc>
      </w:tr>
      <w:tr w:rsidR="00BB67AF" w:rsidRPr="00645124" w:rsidTr="00897890">
        <w:tc>
          <w:tcPr>
            <w:tcW w:w="5103"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Motor vehicle regulatory fees</w:t>
            </w:r>
          </w:p>
        </w:tc>
        <w:tc>
          <w:tcPr>
            <w:tcW w:w="112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127</w:t>
            </w:r>
          </w:p>
        </w:tc>
        <w:tc>
          <w:tcPr>
            <w:tcW w:w="113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122</w:t>
            </w:r>
          </w:p>
        </w:tc>
        <w:tc>
          <w:tcPr>
            <w:tcW w:w="11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127</w:t>
            </w:r>
          </w:p>
        </w:tc>
        <w:tc>
          <w:tcPr>
            <w:tcW w:w="113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122</w:t>
            </w:r>
          </w:p>
        </w:tc>
      </w:tr>
      <w:tr w:rsidR="00BB67AF" w:rsidRPr="00645124" w:rsidTr="00897890">
        <w:tc>
          <w:tcPr>
            <w:tcW w:w="5103"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Other regulatory fees</w:t>
            </w:r>
          </w:p>
        </w:tc>
        <w:tc>
          <w:tcPr>
            <w:tcW w:w="112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257</w:t>
            </w:r>
          </w:p>
        </w:tc>
        <w:tc>
          <w:tcPr>
            <w:tcW w:w="113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250</w:t>
            </w:r>
          </w:p>
        </w:tc>
        <w:tc>
          <w:tcPr>
            <w:tcW w:w="11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249</w:t>
            </w:r>
          </w:p>
        </w:tc>
        <w:tc>
          <w:tcPr>
            <w:tcW w:w="113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241</w:t>
            </w:r>
          </w:p>
        </w:tc>
      </w:tr>
      <w:tr w:rsidR="00BB67AF" w:rsidRPr="00645124" w:rsidTr="00897890">
        <w:tc>
          <w:tcPr>
            <w:tcW w:w="5103"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Sale of goods</w:t>
            </w:r>
          </w:p>
        </w:tc>
        <w:tc>
          <w:tcPr>
            <w:tcW w:w="112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275</w:t>
            </w:r>
          </w:p>
        </w:tc>
        <w:tc>
          <w:tcPr>
            <w:tcW w:w="113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276</w:t>
            </w:r>
          </w:p>
        </w:tc>
        <w:tc>
          <w:tcPr>
            <w:tcW w:w="11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40</w:t>
            </w:r>
          </w:p>
        </w:tc>
        <w:tc>
          <w:tcPr>
            <w:tcW w:w="113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38</w:t>
            </w:r>
          </w:p>
        </w:tc>
      </w:tr>
      <w:tr w:rsidR="00BB67AF" w:rsidRPr="00645124" w:rsidTr="00897890">
        <w:tc>
          <w:tcPr>
            <w:tcW w:w="5103"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Provision of services</w:t>
            </w:r>
          </w:p>
        </w:tc>
        <w:tc>
          <w:tcPr>
            <w:tcW w:w="112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6 246</w:t>
            </w:r>
          </w:p>
        </w:tc>
        <w:tc>
          <w:tcPr>
            <w:tcW w:w="113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6 036</w:t>
            </w:r>
          </w:p>
        </w:tc>
        <w:tc>
          <w:tcPr>
            <w:tcW w:w="11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2 005</w:t>
            </w:r>
          </w:p>
        </w:tc>
        <w:tc>
          <w:tcPr>
            <w:tcW w:w="113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2 091</w:t>
            </w:r>
          </w:p>
        </w:tc>
      </w:tr>
      <w:tr w:rsidR="00BB67AF" w:rsidRPr="00645124" w:rsidTr="00897890">
        <w:tc>
          <w:tcPr>
            <w:tcW w:w="5103"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Rental</w:t>
            </w:r>
          </w:p>
        </w:tc>
        <w:tc>
          <w:tcPr>
            <w:tcW w:w="112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50</w:t>
            </w:r>
          </w:p>
        </w:tc>
        <w:tc>
          <w:tcPr>
            <w:tcW w:w="113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89</w:t>
            </w:r>
          </w:p>
        </w:tc>
        <w:tc>
          <w:tcPr>
            <w:tcW w:w="11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35</w:t>
            </w:r>
          </w:p>
        </w:tc>
        <w:tc>
          <w:tcPr>
            <w:tcW w:w="113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32</w:t>
            </w:r>
          </w:p>
        </w:tc>
      </w:tr>
      <w:tr w:rsidR="00BB67AF" w:rsidRPr="00645124" w:rsidTr="00897890">
        <w:tc>
          <w:tcPr>
            <w:tcW w:w="5103"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Refunds and reimbursements</w:t>
            </w:r>
          </w:p>
        </w:tc>
        <w:tc>
          <w:tcPr>
            <w:tcW w:w="112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63</w:t>
            </w:r>
          </w:p>
        </w:tc>
        <w:tc>
          <w:tcPr>
            <w:tcW w:w="113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80</w:t>
            </w:r>
          </w:p>
        </w:tc>
        <w:tc>
          <w:tcPr>
            <w:tcW w:w="11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w:t>
            </w:r>
          </w:p>
        </w:tc>
        <w:tc>
          <w:tcPr>
            <w:tcW w:w="113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16</w:t>
            </w:r>
          </w:p>
        </w:tc>
      </w:tr>
      <w:tr w:rsidR="00BB67AF" w:rsidRPr="00645124" w:rsidTr="00897890">
        <w:tc>
          <w:tcPr>
            <w:tcW w:w="5103"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Inter</w:t>
            </w:r>
            <w:r w:rsidRPr="00645124">
              <w:rPr>
                <w:rFonts w:ascii="Calibri" w:eastAsiaTheme="minorEastAsia" w:hAnsi="Calibri" w:cs="Calibri"/>
                <w:color w:val="000000"/>
                <w:sz w:val="22"/>
                <w:szCs w:val="22"/>
                <w:lang w:eastAsia="en-AU"/>
              </w:rPr>
              <w:noBreakHyphen/>
              <w:t>sector capital asset charge</w:t>
            </w:r>
          </w:p>
        </w:tc>
        <w:tc>
          <w:tcPr>
            <w:tcW w:w="112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9"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871</w:t>
            </w:r>
          </w:p>
        </w:tc>
        <w:tc>
          <w:tcPr>
            <w:tcW w:w="113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791</w:t>
            </w:r>
          </w:p>
        </w:tc>
      </w:tr>
      <w:tr w:rsidR="00BB67AF" w:rsidRPr="00645124" w:rsidTr="00897890">
        <w:tc>
          <w:tcPr>
            <w:tcW w:w="5103"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sales of goods and services</w:t>
            </w:r>
          </w:p>
        </w:tc>
        <w:tc>
          <w:tcPr>
            <w:tcW w:w="1126"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7 017</w:t>
            </w:r>
          </w:p>
        </w:tc>
        <w:tc>
          <w:tcPr>
            <w:tcW w:w="1137"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6 854</w:t>
            </w:r>
          </w:p>
        </w:tc>
        <w:tc>
          <w:tcPr>
            <w:tcW w:w="1139"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3 332</w:t>
            </w:r>
          </w:p>
        </w:tc>
        <w:tc>
          <w:tcPr>
            <w:tcW w:w="1137"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3 332</w:t>
            </w:r>
          </w:p>
        </w:tc>
      </w:tr>
    </w:tbl>
    <w:p w:rsidR="00BB67AF" w:rsidRDefault="00BB67AF" w:rsidP="003E6750"/>
    <w:p w:rsidR="00BB67AF" w:rsidRDefault="00BB67AF" w:rsidP="003E6750"/>
    <w:p w:rsidR="00BB67AF" w:rsidRDefault="00BB67AF" w:rsidP="003E6750">
      <w:pPr>
        <w:pStyle w:val="Heading2Notes"/>
      </w:pPr>
      <w:bookmarkStart w:id="15" w:name="_Toc445283164"/>
      <w:r w:rsidRPr="006436B0">
        <w:t xml:space="preserve">Note 6: </w:t>
      </w:r>
      <w:r w:rsidRPr="006436B0">
        <w:tab/>
        <w:t>Grant revenue</w:t>
      </w:r>
      <w:bookmarkEnd w:id="15"/>
    </w:p>
    <w:p w:rsidR="00BB67AF" w:rsidRPr="004D1572" w:rsidRDefault="00BB67AF" w:rsidP="003E6750">
      <w:pPr>
        <w:pStyle w:val="million"/>
        <w:rPr>
          <w:b/>
          <w:bCs/>
          <w:lang w:val="en-US"/>
        </w:rPr>
      </w:pPr>
      <w:r>
        <w:t>($ million)</w:t>
      </w:r>
    </w:p>
    <w:tbl>
      <w:tblPr>
        <w:tblW w:w="9647" w:type="dxa"/>
        <w:tblInd w:w="45" w:type="dxa"/>
        <w:tblLayout w:type="fixed"/>
        <w:tblCellMar>
          <w:left w:w="45" w:type="dxa"/>
          <w:right w:w="45" w:type="dxa"/>
        </w:tblCellMar>
        <w:tblLook w:val="0000" w:firstRow="0" w:lastRow="0" w:firstColumn="0" w:lastColumn="0" w:noHBand="0" w:noVBand="0"/>
      </w:tblPr>
      <w:tblGrid>
        <w:gridCol w:w="5095"/>
        <w:gridCol w:w="1135"/>
        <w:gridCol w:w="1137"/>
        <w:gridCol w:w="1140"/>
        <w:gridCol w:w="1132"/>
        <w:gridCol w:w="8"/>
      </w:tblGrid>
      <w:tr w:rsidR="00897890" w:rsidRPr="00645124" w:rsidTr="00AC25A6">
        <w:trPr>
          <w:gridAfter w:val="1"/>
          <w:wAfter w:w="8" w:type="dxa"/>
          <w:tblHeader/>
        </w:trPr>
        <w:tc>
          <w:tcPr>
            <w:tcW w:w="5095" w:type="dxa"/>
            <w:tcBorders>
              <w:top w:val="nil"/>
              <w:left w:val="nil"/>
              <w:bottom w:val="nil"/>
              <w:right w:val="nil"/>
            </w:tcBorders>
            <w:shd w:val="solid" w:color="000000" w:fill="auto"/>
            <w:vAlign w:val="bottom"/>
          </w:tcPr>
          <w:p w:rsidR="00897890" w:rsidRPr="00645124" w:rsidRDefault="00897890"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2272" w:type="dxa"/>
            <w:gridSpan w:val="2"/>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2"/>
                <w:szCs w:val="18"/>
                <w:lang w:eastAsia="en-AU"/>
              </w:rPr>
            </w:pPr>
            <w:r w:rsidRPr="00645124">
              <w:rPr>
                <w:rFonts w:ascii="Calibri" w:eastAsiaTheme="minorEastAsia" w:hAnsi="Calibri" w:cs="Calibri"/>
                <w:i/>
                <w:iCs/>
                <w:color w:val="FFFFFF"/>
                <w:sz w:val="22"/>
                <w:szCs w:val="18"/>
                <w:lang w:eastAsia="en-AU"/>
              </w:rPr>
              <w:t>State of Victoria</w:t>
            </w:r>
          </w:p>
        </w:tc>
        <w:tc>
          <w:tcPr>
            <w:tcW w:w="2272" w:type="dxa"/>
            <w:gridSpan w:val="2"/>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2"/>
                <w:szCs w:val="18"/>
                <w:lang w:eastAsia="en-AU"/>
              </w:rPr>
            </w:pPr>
            <w:r w:rsidRPr="00645124">
              <w:rPr>
                <w:rFonts w:ascii="Calibri" w:eastAsiaTheme="minorEastAsia" w:hAnsi="Calibri" w:cs="Calibri"/>
                <w:i/>
                <w:iCs/>
                <w:color w:val="FFFFFF"/>
                <w:sz w:val="22"/>
                <w:szCs w:val="18"/>
                <w:lang w:eastAsia="en-AU"/>
              </w:rPr>
              <w:t xml:space="preserve">General </w:t>
            </w:r>
            <w:r w:rsidRPr="00645124">
              <w:rPr>
                <w:rFonts w:ascii="Calibri" w:eastAsiaTheme="minorEastAsia" w:hAnsi="Calibri" w:cs="Calibri"/>
                <w:i/>
                <w:iCs/>
                <w:color w:val="FFFFFF"/>
                <w:sz w:val="22"/>
                <w:szCs w:val="18"/>
                <w:lang w:eastAsia="en-AU"/>
              </w:rPr>
              <w:br/>
              <w:t>government sector</w:t>
            </w:r>
          </w:p>
        </w:tc>
      </w:tr>
      <w:tr w:rsidR="00BB67AF" w:rsidRPr="00645124" w:rsidTr="00AC25A6">
        <w:trPr>
          <w:gridAfter w:val="1"/>
          <w:wAfter w:w="8" w:type="dxa"/>
          <w:tblHeader/>
        </w:trPr>
        <w:tc>
          <w:tcPr>
            <w:tcW w:w="5095"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1135"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16"/>
                <w:lang w:eastAsia="en-AU"/>
              </w:rPr>
            </w:pPr>
            <w:r w:rsidRPr="00645124">
              <w:rPr>
                <w:rFonts w:ascii="Calibri" w:eastAsiaTheme="minorEastAsia" w:hAnsi="Calibri" w:cs="Calibri"/>
                <w:i/>
                <w:iCs/>
                <w:color w:val="FFFFFF"/>
                <w:sz w:val="22"/>
                <w:szCs w:val="16"/>
                <w:lang w:eastAsia="en-AU"/>
              </w:rPr>
              <w:t>2015</w:t>
            </w:r>
          </w:p>
        </w:tc>
        <w:tc>
          <w:tcPr>
            <w:tcW w:w="1137"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16"/>
                <w:lang w:eastAsia="en-AU"/>
              </w:rPr>
            </w:pPr>
            <w:r w:rsidRPr="00645124">
              <w:rPr>
                <w:rFonts w:ascii="Calibri" w:eastAsiaTheme="minorEastAsia" w:hAnsi="Calibri" w:cs="Calibri"/>
                <w:i/>
                <w:iCs/>
                <w:color w:val="FFFFFF"/>
                <w:sz w:val="22"/>
                <w:szCs w:val="16"/>
                <w:lang w:eastAsia="en-AU"/>
              </w:rPr>
              <w:t>2014</w:t>
            </w:r>
          </w:p>
        </w:tc>
        <w:tc>
          <w:tcPr>
            <w:tcW w:w="1140"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16"/>
                <w:lang w:eastAsia="en-AU"/>
              </w:rPr>
            </w:pPr>
            <w:r w:rsidRPr="00645124">
              <w:rPr>
                <w:rFonts w:ascii="Calibri" w:eastAsiaTheme="minorEastAsia" w:hAnsi="Calibri" w:cs="Calibri"/>
                <w:i/>
                <w:iCs/>
                <w:color w:val="FFFFFF"/>
                <w:sz w:val="22"/>
                <w:szCs w:val="16"/>
                <w:lang w:eastAsia="en-AU"/>
              </w:rPr>
              <w:t>2015</w:t>
            </w:r>
          </w:p>
        </w:tc>
        <w:tc>
          <w:tcPr>
            <w:tcW w:w="1132"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16"/>
                <w:lang w:eastAsia="en-AU"/>
              </w:rPr>
            </w:pPr>
            <w:r w:rsidRPr="00645124">
              <w:rPr>
                <w:rFonts w:ascii="Calibri" w:eastAsiaTheme="minorEastAsia" w:hAnsi="Calibri" w:cs="Calibri"/>
                <w:i/>
                <w:iCs/>
                <w:color w:val="FFFFFF"/>
                <w:sz w:val="22"/>
                <w:szCs w:val="16"/>
                <w:lang w:eastAsia="en-AU"/>
              </w:rPr>
              <w:t>2014</w:t>
            </w:r>
          </w:p>
        </w:tc>
      </w:tr>
      <w:tr w:rsidR="00BB67AF" w:rsidRPr="00645124" w:rsidTr="00897890">
        <w:tc>
          <w:tcPr>
            <w:tcW w:w="509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16"/>
                <w:lang w:eastAsia="en-AU"/>
              </w:rPr>
            </w:pPr>
            <w:r w:rsidRPr="00645124">
              <w:rPr>
                <w:rFonts w:ascii="Calibri" w:eastAsiaTheme="minorEastAsia" w:hAnsi="Calibri" w:cs="Calibri"/>
                <w:color w:val="000000"/>
                <w:sz w:val="22"/>
                <w:szCs w:val="16"/>
                <w:lang w:eastAsia="en-AU"/>
              </w:rPr>
              <w:t>General purpose grants</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16"/>
                <w:lang w:eastAsia="en-AU"/>
              </w:rPr>
            </w:pPr>
            <w:r w:rsidRPr="00645124">
              <w:rPr>
                <w:rFonts w:ascii="Calibri" w:eastAsiaTheme="minorEastAsia" w:hAnsi="Calibri" w:cs="Calibri"/>
                <w:color w:val="000000"/>
                <w:sz w:val="22"/>
                <w:szCs w:val="16"/>
                <w:lang w:eastAsia="en-AU"/>
              </w:rPr>
              <w:t>6 453</w:t>
            </w:r>
          </w:p>
        </w:tc>
        <w:tc>
          <w:tcPr>
            <w:tcW w:w="113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16"/>
                <w:lang w:eastAsia="en-AU"/>
              </w:rPr>
            </w:pPr>
            <w:r w:rsidRPr="00645124">
              <w:rPr>
                <w:rFonts w:ascii="Calibri" w:eastAsiaTheme="minorEastAsia" w:hAnsi="Calibri" w:cs="Calibri"/>
                <w:color w:val="000000"/>
                <w:sz w:val="22"/>
                <w:szCs w:val="16"/>
                <w:lang w:eastAsia="en-AU"/>
              </w:rPr>
              <w:t>5 996</w:t>
            </w:r>
          </w:p>
        </w:tc>
        <w:tc>
          <w:tcPr>
            <w:tcW w:w="114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16"/>
                <w:lang w:eastAsia="en-AU"/>
              </w:rPr>
            </w:pPr>
            <w:r w:rsidRPr="00645124">
              <w:rPr>
                <w:rFonts w:ascii="Calibri" w:eastAsiaTheme="minorEastAsia" w:hAnsi="Calibri" w:cs="Calibri"/>
                <w:color w:val="000000"/>
                <w:sz w:val="22"/>
                <w:szCs w:val="16"/>
                <w:lang w:eastAsia="en-AU"/>
              </w:rPr>
              <w:t>6 453</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16"/>
                <w:lang w:eastAsia="en-AU"/>
              </w:rPr>
            </w:pPr>
            <w:r w:rsidRPr="00645124">
              <w:rPr>
                <w:rFonts w:ascii="Calibri" w:eastAsiaTheme="minorEastAsia" w:hAnsi="Calibri" w:cs="Calibri"/>
                <w:color w:val="000000"/>
                <w:sz w:val="22"/>
                <w:szCs w:val="16"/>
                <w:lang w:eastAsia="en-AU"/>
              </w:rPr>
              <w:t>5 996</w:t>
            </w:r>
          </w:p>
        </w:tc>
      </w:tr>
      <w:tr w:rsidR="00BB67AF" w:rsidRPr="00645124" w:rsidTr="00897890">
        <w:tc>
          <w:tcPr>
            <w:tcW w:w="509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16"/>
                <w:lang w:eastAsia="en-AU"/>
              </w:rPr>
            </w:pPr>
            <w:r w:rsidRPr="00645124">
              <w:rPr>
                <w:rFonts w:ascii="Calibri" w:eastAsiaTheme="minorEastAsia" w:hAnsi="Calibri" w:cs="Calibri"/>
                <w:color w:val="000000"/>
                <w:sz w:val="22"/>
                <w:szCs w:val="16"/>
                <w:lang w:eastAsia="en-AU"/>
              </w:rPr>
              <w:t>Specific purpose grants for on</w:t>
            </w:r>
            <w:r w:rsidRPr="00645124">
              <w:rPr>
                <w:rFonts w:ascii="Calibri" w:eastAsiaTheme="minorEastAsia" w:hAnsi="Calibri" w:cs="Calibri"/>
                <w:color w:val="000000"/>
                <w:sz w:val="22"/>
                <w:szCs w:val="16"/>
                <w:lang w:eastAsia="en-AU"/>
              </w:rPr>
              <w:noBreakHyphen/>
              <w:t>passing</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16"/>
                <w:lang w:eastAsia="en-AU"/>
              </w:rPr>
            </w:pPr>
            <w:r w:rsidRPr="00645124">
              <w:rPr>
                <w:rFonts w:ascii="Calibri" w:eastAsiaTheme="minorEastAsia" w:hAnsi="Calibri" w:cs="Calibri"/>
                <w:color w:val="000000"/>
                <w:sz w:val="22"/>
                <w:szCs w:val="16"/>
                <w:lang w:eastAsia="en-AU"/>
              </w:rPr>
              <w:t>1 517</w:t>
            </w:r>
          </w:p>
        </w:tc>
        <w:tc>
          <w:tcPr>
            <w:tcW w:w="113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16"/>
                <w:lang w:eastAsia="en-AU"/>
              </w:rPr>
            </w:pPr>
            <w:r w:rsidRPr="00645124">
              <w:rPr>
                <w:rFonts w:ascii="Calibri" w:eastAsiaTheme="minorEastAsia" w:hAnsi="Calibri" w:cs="Calibri"/>
                <w:color w:val="000000"/>
                <w:sz w:val="22"/>
                <w:szCs w:val="16"/>
                <w:lang w:eastAsia="en-AU"/>
              </w:rPr>
              <w:t>1 597</w:t>
            </w:r>
          </w:p>
        </w:tc>
        <w:tc>
          <w:tcPr>
            <w:tcW w:w="114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16"/>
                <w:lang w:eastAsia="en-AU"/>
              </w:rPr>
            </w:pPr>
            <w:r w:rsidRPr="00645124">
              <w:rPr>
                <w:rFonts w:ascii="Calibri" w:eastAsiaTheme="minorEastAsia" w:hAnsi="Calibri" w:cs="Calibri"/>
                <w:color w:val="000000"/>
                <w:sz w:val="22"/>
                <w:szCs w:val="16"/>
                <w:lang w:eastAsia="en-AU"/>
              </w:rPr>
              <w:t>1 517</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16"/>
                <w:lang w:eastAsia="en-AU"/>
              </w:rPr>
            </w:pPr>
            <w:r w:rsidRPr="00645124">
              <w:rPr>
                <w:rFonts w:ascii="Calibri" w:eastAsiaTheme="minorEastAsia" w:hAnsi="Calibri" w:cs="Calibri"/>
                <w:color w:val="000000"/>
                <w:sz w:val="22"/>
                <w:szCs w:val="16"/>
                <w:lang w:eastAsia="en-AU"/>
              </w:rPr>
              <w:t>1 597</w:t>
            </w:r>
          </w:p>
        </w:tc>
      </w:tr>
      <w:tr w:rsidR="00BB67AF" w:rsidRPr="00645124" w:rsidTr="00897890">
        <w:tc>
          <w:tcPr>
            <w:tcW w:w="509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16"/>
                <w:lang w:eastAsia="en-AU"/>
              </w:rPr>
            </w:pPr>
            <w:r w:rsidRPr="00645124">
              <w:rPr>
                <w:rFonts w:ascii="Calibri" w:eastAsiaTheme="minorEastAsia" w:hAnsi="Calibri" w:cs="Calibri"/>
                <w:color w:val="000000"/>
                <w:sz w:val="22"/>
                <w:szCs w:val="16"/>
                <w:lang w:eastAsia="en-AU"/>
              </w:rPr>
              <w:t>Other specific purpose grants</w:t>
            </w:r>
          </w:p>
        </w:tc>
        <w:tc>
          <w:tcPr>
            <w:tcW w:w="11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16"/>
                <w:lang w:eastAsia="en-AU"/>
              </w:rPr>
            </w:pPr>
            <w:r w:rsidRPr="00645124">
              <w:rPr>
                <w:rFonts w:ascii="Calibri" w:eastAsiaTheme="minorEastAsia" w:hAnsi="Calibri" w:cs="Calibri"/>
                <w:color w:val="000000"/>
                <w:sz w:val="22"/>
                <w:szCs w:val="16"/>
                <w:lang w:eastAsia="en-AU"/>
              </w:rPr>
              <w:t>4 287</w:t>
            </w:r>
          </w:p>
        </w:tc>
        <w:tc>
          <w:tcPr>
            <w:tcW w:w="113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16"/>
                <w:lang w:eastAsia="en-AU"/>
              </w:rPr>
            </w:pPr>
            <w:r w:rsidRPr="00645124">
              <w:rPr>
                <w:rFonts w:ascii="Calibri" w:eastAsiaTheme="minorEastAsia" w:hAnsi="Calibri" w:cs="Calibri"/>
                <w:color w:val="000000"/>
                <w:sz w:val="22"/>
                <w:szCs w:val="16"/>
                <w:lang w:eastAsia="en-AU"/>
              </w:rPr>
              <w:t>4 071</w:t>
            </w:r>
          </w:p>
        </w:tc>
        <w:tc>
          <w:tcPr>
            <w:tcW w:w="1140"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16"/>
                <w:lang w:eastAsia="en-AU"/>
              </w:rPr>
            </w:pPr>
            <w:r w:rsidRPr="00645124">
              <w:rPr>
                <w:rFonts w:ascii="Calibri" w:eastAsiaTheme="minorEastAsia" w:hAnsi="Calibri" w:cs="Calibri"/>
                <w:color w:val="000000"/>
                <w:sz w:val="22"/>
                <w:szCs w:val="16"/>
                <w:lang w:eastAsia="en-AU"/>
              </w:rPr>
              <w:t>4 285</w:t>
            </w:r>
          </w:p>
        </w:tc>
        <w:tc>
          <w:tcPr>
            <w:tcW w:w="1140"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16"/>
                <w:lang w:eastAsia="en-AU"/>
              </w:rPr>
            </w:pPr>
            <w:r w:rsidRPr="00645124">
              <w:rPr>
                <w:rFonts w:ascii="Calibri" w:eastAsiaTheme="minorEastAsia" w:hAnsi="Calibri" w:cs="Calibri"/>
                <w:color w:val="000000"/>
                <w:sz w:val="22"/>
                <w:szCs w:val="16"/>
                <w:lang w:eastAsia="en-AU"/>
              </w:rPr>
              <w:t>4 069</w:t>
            </w:r>
          </w:p>
        </w:tc>
      </w:tr>
      <w:tr w:rsidR="00BB67AF" w:rsidRPr="00645124" w:rsidTr="00897890">
        <w:tc>
          <w:tcPr>
            <w:tcW w:w="5095"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16"/>
                <w:lang w:eastAsia="en-AU"/>
              </w:rPr>
            </w:pPr>
            <w:r w:rsidRPr="00645124">
              <w:rPr>
                <w:rFonts w:ascii="Calibri" w:eastAsiaTheme="minorEastAsia" w:hAnsi="Calibri" w:cs="Calibri"/>
                <w:b/>
                <w:bCs/>
                <w:color w:val="000000"/>
                <w:sz w:val="22"/>
                <w:szCs w:val="16"/>
                <w:lang w:eastAsia="en-AU"/>
              </w:rPr>
              <w:t>Total</w:t>
            </w:r>
          </w:p>
        </w:tc>
        <w:tc>
          <w:tcPr>
            <w:tcW w:w="1135"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16"/>
                <w:lang w:eastAsia="en-AU"/>
              </w:rPr>
            </w:pPr>
            <w:r w:rsidRPr="00645124">
              <w:rPr>
                <w:rFonts w:ascii="Calibri" w:eastAsiaTheme="minorEastAsia" w:hAnsi="Calibri" w:cs="Calibri"/>
                <w:b/>
                <w:bCs/>
                <w:color w:val="000000"/>
                <w:sz w:val="22"/>
                <w:szCs w:val="16"/>
                <w:lang w:eastAsia="en-AU"/>
              </w:rPr>
              <w:t>12 257</w:t>
            </w:r>
          </w:p>
        </w:tc>
        <w:tc>
          <w:tcPr>
            <w:tcW w:w="1137"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16"/>
                <w:lang w:eastAsia="en-AU"/>
              </w:rPr>
            </w:pPr>
            <w:r w:rsidRPr="00645124">
              <w:rPr>
                <w:rFonts w:ascii="Calibri" w:eastAsiaTheme="minorEastAsia" w:hAnsi="Calibri" w:cs="Calibri"/>
                <w:b/>
                <w:bCs/>
                <w:color w:val="000000"/>
                <w:sz w:val="22"/>
                <w:szCs w:val="16"/>
                <w:lang w:eastAsia="en-AU"/>
              </w:rPr>
              <w:t>11 664</w:t>
            </w:r>
          </w:p>
        </w:tc>
        <w:tc>
          <w:tcPr>
            <w:tcW w:w="1140"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16"/>
                <w:lang w:eastAsia="en-AU"/>
              </w:rPr>
            </w:pPr>
            <w:r w:rsidRPr="00645124">
              <w:rPr>
                <w:rFonts w:ascii="Calibri" w:eastAsiaTheme="minorEastAsia" w:hAnsi="Calibri" w:cs="Calibri"/>
                <w:b/>
                <w:bCs/>
                <w:color w:val="000000"/>
                <w:sz w:val="22"/>
                <w:szCs w:val="16"/>
                <w:lang w:eastAsia="en-AU"/>
              </w:rPr>
              <w:t>12 255</w:t>
            </w:r>
          </w:p>
        </w:tc>
        <w:tc>
          <w:tcPr>
            <w:tcW w:w="1140" w:type="dxa"/>
            <w:gridSpan w:val="2"/>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16"/>
                <w:lang w:eastAsia="en-AU"/>
              </w:rPr>
            </w:pPr>
            <w:r w:rsidRPr="00645124">
              <w:rPr>
                <w:rFonts w:ascii="Calibri" w:eastAsiaTheme="minorEastAsia" w:hAnsi="Calibri" w:cs="Calibri"/>
                <w:b/>
                <w:bCs/>
                <w:color w:val="000000"/>
                <w:sz w:val="22"/>
                <w:szCs w:val="16"/>
                <w:lang w:eastAsia="en-AU"/>
              </w:rPr>
              <w:t>11 662</w:t>
            </w:r>
          </w:p>
        </w:tc>
      </w:tr>
      <w:tr w:rsidR="00BB67AF" w:rsidRPr="00645124" w:rsidTr="00897890">
        <w:tc>
          <w:tcPr>
            <w:tcW w:w="509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16"/>
                <w:lang w:eastAsia="en-AU"/>
              </w:rPr>
            </w:pPr>
            <w:r w:rsidRPr="00645124">
              <w:rPr>
                <w:rFonts w:ascii="Calibri" w:eastAsiaTheme="minorEastAsia" w:hAnsi="Calibri" w:cs="Calibri"/>
                <w:color w:val="000000"/>
                <w:sz w:val="22"/>
                <w:szCs w:val="16"/>
                <w:lang w:eastAsia="en-AU"/>
              </w:rPr>
              <w:t>Other contributions and grants</w:t>
            </w:r>
          </w:p>
        </w:tc>
        <w:tc>
          <w:tcPr>
            <w:tcW w:w="11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6"/>
                <w:szCs w:val="16"/>
                <w:lang w:eastAsia="en-AU"/>
              </w:rPr>
            </w:pPr>
            <w:r w:rsidRPr="00645124">
              <w:rPr>
                <w:rFonts w:ascii="Calibri" w:eastAsiaTheme="minorEastAsia" w:hAnsi="Calibri" w:cs="Calibri"/>
                <w:color w:val="000000"/>
                <w:sz w:val="22"/>
                <w:szCs w:val="16"/>
                <w:lang w:eastAsia="en-AU"/>
              </w:rPr>
              <w:t>1</w:t>
            </w:r>
          </w:p>
        </w:tc>
        <w:tc>
          <w:tcPr>
            <w:tcW w:w="113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6"/>
                <w:szCs w:val="16"/>
                <w:lang w:eastAsia="en-AU"/>
              </w:rPr>
            </w:pPr>
            <w:r w:rsidRPr="00645124">
              <w:rPr>
                <w:rFonts w:ascii="Calibri" w:eastAsiaTheme="minorEastAsia" w:hAnsi="Calibri" w:cs="Calibri"/>
                <w:color w:val="000000"/>
                <w:sz w:val="22"/>
                <w:szCs w:val="16"/>
                <w:lang w:eastAsia="en-AU"/>
              </w:rPr>
              <w:t>1</w:t>
            </w:r>
          </w:p>
        </w:tc>
        <w:tc>
          <w:tcPr>
            <w:tcW w:w="1140"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6"/>
                <w:szCs w:val="16"/>
                <w:lang w:eastAsia="en-AU"/>
              </w:rPr>
            </w:pPr>
            <w:r w:rsidRPr="00645124">
              <w:rPr>
                <w:rFonts w:ascii="Calibri" w:eastAsiaTheme="minorEastAsia" w:hAnsi="Calibri" w:cs="Calibri"/>
                <w:color w:val="000000"/>
                <w:sz w:val="22"/>
                <w:szCs w:val="16"/>
                <w:lang w:eastAsia="en-AU"/>
              </w:rPr>
              <w:t>46</w:t>
            </w:r>
          </w:p>
        </w:tc>
        <w:tc>
          <w:tcPr>
            <w:tcW w:w="1140"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6"/>
                <w:szCs w:val="16"/>
                <w:lang w:eastAsia="en-AU"/>
              </w:rPr>
            </w:pPr>
            <w:r w:rsidRPr="00645124">
              <w:rPr>
                <w:rFonts w:ascii="Calibri" w:eastAsiaTheme="minorEastAsia" w:hAnsi="Calibri" w:cs="Calibri"/>
                <w:color w:val="000000"/>
                <w:sz w:val="22"/>
                <w:szCs w:val="16"/>
                <w:lang w:eastAsia="en-AU"/>
              </w:rPr>
              <w:t>60</w:t>
            </w:r>
          </w:p>
        </w:tc>
      </w:tr>
      <w:tr w:rsidR="00BB67AF" w:rsidRPr="00645124" w:rsidTr="00897890">
        <w:tc>
          <w:tcPr>
            <w:tcW w:w="5095"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16"/>
                <w:lang w:eastAsia="en-AU"/>
              </w:rPr>
            </w:pPr>
            <w:r w:rsidRPr="00645124">
              <w:rPr>
                <w:rFonts w:ascii="Calibri" w:eastAsiaTheme="minorEastAsia" w:hAnsi="Calibri" w:cs="Calibri"/>
                <w:b/>
                <w:bCs/>
                <w:color w:val="000000"/>
                <w:sz w:val="22"/>
                <w:szCs w:val="16"/>
                <w:lang w:eastAsia="en-AU"/>
              </w:rPr>
              <w:t>Total grant revenue</w:t>
            </w:r>
          </w:p>
        </w:tc>
        <w:tc>
          <w:tcPr>
            <w:tcW w:w="1135"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16"/>
                <w:lang w:eastAsia="en-AU"/>
              </w:rPr>
            </w:pPr>
            <w:r w:rsidRPr="00645124">
              <w:rPr>
                <w:rFonts w:ascii="Calibri" w:eastAsiaTheme="minorEastAsia" w:hAnsi="Calibri" w:cs="Calibri"/>
                <w:b/>
                <w:bCs/>
                <w:color w:val="000000"/>
                <w:sz w:val="22"/>
                <w:szCs w:val="16"/>
                <w:lang w:eastAsia="en-AU"/>
              </w:rPr>
              <w:t>12 258</w:t>
            </w:r>
          </w:p>
        </w:tc>
        <w:tc>
          <w:tcPr>
            <w:tcW w:w="1137"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16"/>
                <w:lang w:eastAsia="en-AU"/>
              </w:rPr>
            </w:pPr>
            <w:r w:rsidRPr="00645124">
              <w:rPr>
                <w:rFonts w:ascii="Calibri" w:eastAsiaTheme="minorEastAsia" w:hAnsi="Calibri" w:cs="Calibri"/>
                <w:b/>
                <w:bCs/>
                <w:color w:val="000000"/>
                <w:sz w:val="22"/>
                <w:szCs w:val="16"/>
                <w:lang w:eastAsia="en-AU"/>
              </w:rPr>
              <w:t>11 664</w:t>
            </w:r>
          </w:p>
        </w:tc>
        <w:tc>
          <w:tcPr>
            <w:tcW w:w="1140"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16"/>
                <w:lang w:eastAsia="en-AU"/>
              </w:rPr>
            </w:pPr>
            <w:r w:rsidRPr="00645124">
              <w:rPr>
                <w:rFonts w:ascii="Calibri" w:eastAsiaTheme="minorEastAsia" w:hAnsi="Calibri" w:cs="Calibri"/>
                <w:b/>
                <w:bCs/>
                <w:color w:val="000000"/>
                <w:sz w:val="22"/>
                <w:szCs w:val="16"/>
                <w:lang w:eastAsia="en-AU"/>
              </w:rPr>
              <w:t>12 301</w:t>
            </w:r>
          </w:p>
        </w:tc>
        <w:tc>
          <w:tcPr>
            <w:tcW w:w="1140" w:type="dxa"/>
            <w:gridSpan w:val="2"/>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16"/>
                <w:lang w:eastAsia="en-AU"/>
              </w:rPr>
            </w:pPr>
            <w:r w:rsidRPr="00645124">
              <w:rPr>
                <w:rFonts w:ascii="Calibri" w:eastAsiaTheme="minorEastAsia" w:hAnsi="Calibri" w:cs="Calibri"/>
                <w:b/>
                <w:bCs/>
                <w:color w:val="000000"/>
                <w:sz w:val="22"/>
                <w:szCs w:val="16"/>
                <w:lang w:eastAsia="en-AU"/>
              </w:rPr>
              <w:t>11 722</w:t>
            </w:r>
          </w:p>
        </w:tc>
      </w:tr>
    </w:tbl>
    <w:p w:rsidR="00BB67AF" w:rsidRDefault="00BB67AF" w:rsidP="003E6750"/>
    <w:p w:rsidR="00BB67AF" w:rsidRDefault="00BB67AF" w:rsidP="003E6750"/>
    <w:p w:rsidR="00BB67AF" w:rsidRDefault="00BB67AF" w:rsidP="003E6750">
      <w:pPr>
        <w:pStyle w:val="Heading2Notes"/>
      </w:pPr>
      <w:bookmarkStart w:id="16" w:name="_Toc445283165"/>
      <w:r w:rsidRPr="006436B0">
        <w:t xml:space="preserve">Note 7: </w:t>
      </w:r>
      <w:r w:rsidRPr="006436B0">
        <w:tab/>
        <w:t>Other revenue</w:t>
      </w:r>
      <w:bookmarkEnd w:id="16"/>
    </w:p>
    <w:p w:rsidR="00BB67AF" w:rsidRPr="006E014F" w:rsidRDefault="00BB67AF" w:rsidP="003E6750">
      <w:pPr>
        <w:pStyle w:val="million"/>
        <w:rPr>
          <w:b/>
          <w:bCs/>
          <w:lang w:val="en-US"/>
        </w:rPr>
      </w:pPr>
      <w:r>
        <w:t>($ million)</w:t>
      </w:r>
    </w:p>
    <w:tbl>
      <w:tblPr>
        <w:tblW w:w="9639" w:type="dxa"/>
        <w:tblInd w:w="45" w:type="dxa"/>
        <w:tblLayout w:type="fixed"/>
        <w:tblCellMar>
          <w:left w:w="45" w:type="dxa"/>
          <w:right w:w="45" w:type="dxa"/>
        </w:tblCellMar>
        <w:tblLook w:val="0000" w:firstRow="0" w:lastRow="0" w:firstColumn="0" w:lastColumn="0" w:noHBand="0" w:noVBand="0"/>
      </w:tblPr>
      <w:tblGrid>
        <w:gridCol w:w="5097"/>
        <w:gridCol w:w="1134"/>
        <w:gridCol w:w="1134"/>
        <w:gridCol w:w="6"/>
        <w:gridCol w:w="1131"/>
        <w:gridCol w:w="1137"/>
      </w:tblGrid>
      <w:tr w:rsidR="00897890" w:rsidRPr="00645124" w:rsidTr="00897890">
        <w:trPr>
          <w:tblHeader/>
        </w:trPr>
        <w:tc>
          <w:tcPr>
            <w:tcW w:w="5097" w:type="dxa"/>
            <w:tcBorders>
              <w:top w:val="nil"/>
              <w:left w:val="nil"/>
              <w:bottom w:val="nil"/>
              <w:right w:val="nil"/>
            </w:tcBorders>
            <w:shd w:val="solid" w:color="000000" w:fill="auto"/>
            <w:vAlign w:val="bottom"/>
          </w:tcPr>
          <w:p w:rsidR="00897890" w:rsidRPr="00645124" w:rsidRDefault="00897890"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2274" w:type="dxa"/>
            <w:gridSpan w:val="3"/>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State of Victoria</w:t>
            </w:r>
          </w:p>
        </w:tc>
        <w:tc>
          <w:tcPr>
            <w:tcW w:w="2268" w:type="dxa"/>
            <w:gridSpan w:val="2"/>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General </w:t>
            </w:r>
            <w:r w:rsidRPr="00645124">
              <w:rPr>
                <w:rFonts w:ascii="Calibri" w:eastAsiaTheme="minorEastAsia" w:hAnsi="Calibri" w:cs="Calibri"/>
                <w:i/>
                <w:iCs/>
                <w:color w:val="FFFFFF"/>
                <w:sz w:val="22"/>
                <w:szCs w:val="22"/>
                <w:lang w:eastAsia="en-AU"/>
              </w:rPr>
              <w:br/>
              <w:t>government sector</w:t>
            </w:r>
          </w:p>
        </w:tc>
      </w:tr>
      <w:tr w:rsidR="00BB67AF" w:rsidRPr="00645124" w:rsidTr="003E6750">
        <w:trPr>
          <w:tblHeader/>
        </w:trPr>
        <w:tc>
          <w:tcPr>
            <w:tcW w:w="5097"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113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2014</w:t>
            </w:r>
          </w:p>
        </w:tc>
        <w:tc>
          <w:tcPr>
            <w:tcW w:w="1137" w:type="dxa"/>
            <w:gridSpan w:val="2"/>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7"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2014</w:t>
            </w:r>
          </w:p>
        </w:tc>
      </w:tr>
      <w:tr w:rsidR="00BB67AF" w:rsidRPr="00645124" w:rsidTr="003E6750">
        <w:tc>
          <w:tcPr>
            <w:tcW w:w="509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Fair value of assets received free of charge or for nominal consideration</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118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80</w:t>
            </w:r>
          </w:p>
        </w:tc>
        <w:tc>
          <w:tcPr>
            <w:tcW w:w="113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w:t>
            </w:r>
          </w:p>
        </w:tc>
        <w:tc>
          <w:tcPr>
            <w:tcW w:w="113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w:t>
            </w:r>
          </w:p>
        </w:tc>
      </w:tr>
      <w:tr w:rsidR="00BB67AF" w:rsidRPr="00645124" w:rsidTr="003E6750">
        <w:tc>
          <w:tcPr>
            <w:tcW w:w="509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Fines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399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375</w:t>
            </w:r>
          </w:p>
        </w:tc>
        <w:tc>
          <w:tcPr>
            <w:tcW w:w="113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398</w:t>
            </w:r>
          </w:p>
        </w:tc>
        <w:tc>
          <w:tcPr>
            <w:tcW w:w="113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374</w:t>
            </w:r>
          </w:p>
        </w:tc>
      </w:tr>
      <w:tr w:rsidR="00BB67AF" w:rsidRPr="00645124" w:rsidTr="003E6750">
        <w:tc>
          <w:tcPr>
            <w:tcW w:w="509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Royalties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29</w:t>
            </w:r>
          </w:p>
        </w:tc>
        <w:tc>
          <w:tcPr>
            <w:tcW w:w="113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28</w:t>
            </w:r>
          </w:p>
        </w:tc>
        <w:tc>
          <w:tcPr>
            <w:tcW w:w="113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22</w:t>
            </w:r>
          </w:p>
        </w:tc>
      </w:tr>
      <w:tr w:rsidR="00BB67AF" w:rsidRPr="00645124" w:rsidTr="003E6750">
        <w:tc>
          <w:tcPr>
            <w:tcW w:w="509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Donations and gifts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142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145</w:t>
            </w:r>
          </w:p>
        </w:tc>
        <w:tc>
          <w:tcPr>
            <w:tcW w:w="113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110</w:t>
            </w:r>
          </w:p>
        </w:tc>
        <w:tc>
          <w:tcPr>
            <w:tcW w:w="113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124</w:t>
            </w:r>
          </w:p>
        </w:tc>
      </w:tr>
      <w:tr w:rsidR="00BB67AF" w:rsidRPr="00645124" w:rsidTr="003E6750">
        <w:tc>
          <w:tcPr>
            <w:tcW w:w="509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Other non-property rental</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41</w:t>
            </w:r>
          </w:p>
        </w:tc>
        <w:tc>
          <w:tcPr>
            <w:tcW w:w="113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14</w:t>
            </w:r>
          </w:p>
        </w:tc>
        <w:tc>
          <w:tcPr>
            <w:tcW w:w="113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14</w:t>
            </w:r>
          </w:p>
        </w:tc>
      </w:tr>
      <w:tr w:rsidR="00BB67AF" w:rsidRPr="00645124" w:rsidTr="003E6750">
        <w:tc>
          <w:tcPr>
            <w:tcW w:w="509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Other miscellaneous revenue </w:t>
            </w:r>
            <w:r w:rsidRPr="00645124">
              <w:rPr>
                <w:rFonts w:ascii="Calibri" w:eastAsiaTheme="minorEastAsia" w:hAnsi="Calibri" w:cs="Calibri"/>
                <w:color w:val="000000"/>
                <w:sz w:val="22"/>
                <w:szCs w:val="22"/>
                <w:vertAlign w:val="superscript"/>
                <w:lang w:eastAsia="en-AU"/>
              </w:rPr>
              <w:t>(a)</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1 329</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745</w:t>
            </w:r>
          </w:p>
        </w:tc>
        <w:tc>
          <w:tcPr>
            <w:tcW w:w="1137"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1 170</w:t>
            </w:r>
          </w:p>
        </w:tc>
        <w:tc>
          <w:tcPr>
            <w:tcW w:w="113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617</w:t>
            </w:r>
          </w:p>
        </w:tc>
      </w:tr>
      <w:tr w:rsidR="00BB67AF" w:rsidRPr="00645124" w:rsidTr="003E6750">
        <w:tc>
          <w:tcPr>
            <w:tcW w:w="5097"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other revenue</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2 065</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1 415</w:t>
            </w:r>
          </w:p>
        </w:tc>
        <w:tc>
          <w:tcPr>
            <w:tcW w:w="1137" w:type="dxa"/>
            <w:gridSpan w:val="2"/>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1 726</w:t>
            </w:r>
          </w:p>
        </w:tc>
        <w:tc>
          <w:tcPr>
            <w:tcW w:w="1137"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1 155</w:t>
            </w:r>
          </w:p>
        </w:tc>
      </w:tr>
    </w:tbl>
    <w:p w:rsidR="00BB67AF" w:rsidRDefault="00BB67AF" w:rsidP="003E6750">
      <w:pPr>
        <w:pStyle w:val="Notes"/>
      </w:pPr>
      <w:r>
        <w:t>Note:</w:t>
      </w:r>
    </w:p>
    <w:p w:rsidR="00BB67AF" w:rsidRDefault="00BB67AF" w:rsidP="003E6750">
      <w:pPr>
        <w:pStyle w:val="Notes"/>
      </w:pPr>
      <w:r>
        <w:t>(a)</w:t>
      </w:r>
      <w:r>
        <w:tab/>
        <w:t>Other miscellaneous revenue includes revenue from Tatts following the decision by the High Court of Australia to overturn the Court of Appeal’s decision relating to Tatts’ ‘Gambling Licences’ proceedings.</w:t>
      </w:r>
    </w:p>
    <w:p w:rsidR="00BB67AF" w:rsidRDefault="00BB67AF" w:rsidP="003E6750">
      <w:pPr>
        <w:pStyle w:val="Notes"/>
        <w:ind w:left="0" w:firstLine="0"/>
      </w:pPr>
    </w:p>
    <w:p w:rsidR="00BB67AF" w:rsidRDefault="00BB67AF" w:rsidP="003E6750"/>
    <w:p w:rsidR="00BB67AF" w:rsidRDefault="00BB67AF">
      <w:pPr>
        <w:spacing w:after="0"/>
        <w:rPr>
          <w:rFonts w:ascii="Calibri" w:hAnsi="Calibri"/>
          <w:b/>
          <w:kern w:val="28"/>
          <w:sz w:val="28"/>
          <w:szCs w:val="22"/>
        </w:rPr>
      </w:pPr>
      <w:r>
        <w:br w:type="page"/>
      </w:r>
    </w:p>
    <w:p w:rsidR="00BB67AF" w:rsidRDefault="00BB67AF" w:rsidP="003E6750">
      <w:pPr>
        <w:pStyle w:val="Heading2Notes"/>
      </w:pPr>
      <w:bookmarkStart w:id="17" w:name="_Toc445283166"/>
      <w:r>
        <w:lastRenderedPageBreak/>
        <w:t xml:space="preserve">Note 8: </w:t>
      </w:r>
      <w:r>
        <w:tab/>
        <w:t>Superannuation</w:t>
      </w:r>
      <w:bookmarkEnd w:id="17"/>
      <w:r>
        <w:t xml:space="preserve"> </w:t>
      </w:r>
    </w:p>
    <w:p w:rsidR="00BB67AF" w:rsidRDefault="00BB67AF" w:rsidP="003E6750">
      <w:pPr>
        <w:pStyle w:val="Tableheading"/>
      </w:pPr>
      <w:r>
        <w:t xml:space="preserve">(a) </w:t>
      </w:r>
      <w:r>
        <w:tab/>
        <w:t>Superannuation costs recognised in the operating statement</w:t>
      </w:r>
    </w:p>
    <w:p w:rsidR="00BB67AF" w:rsidRPr="004D1572" w:rsidRDefault="00BB67AF" w:rsidP="003E6750">
      <w:pPr>
        <w:pStyle w:val="million"/>
        <w:rPr>
          <w:b/>
          <w:bCs/>
          <w:lang w:val="en-US"/>
        </w:rPr>
      </w:pPr>
      <w:r>
        <w:t>($ million)</w:t>
      </w:r>
    </w:p>
    <w:tbl>
      <w:tblPr>
        <w:tblW w:w="9639" w:type="dxa"/>
        <w:tblInd w:w="45" w:type="dxa"/>
        <w:tblLayout w:type="fixed"/>
        <w:tblCellMar>
          <w:left w:w="45" w:type="dxa"/>
          <w:right w:w="45" w:type="dxa"/>
        </w:tblCellMar>
        <w:tblLook w:val="0000" w:firstRow="0" w:lastRow="0" w:firstColumn="0" w:lastColumn="0" w:noHBand="0" w:noVBand="0"/>
      </w:tblPr>
      <w:tblGrid>
        <w:gridCol w:w="7369"/>
        <w:gridCol w:w="1135"/>
        <w:gridCol w:w="1135"/>
      </w:tblGrid>
      <w:tr w:rsidR="00897890" w:rsidRPr="00645124" w:rsidTr="00897890">
        <w:trPr>
          <w:tblHeader/>
        </w:trPr>
        <w:tc>
          <w:tcPr>
            <w:tcW w:w="7369" w:type="dxa"/>
            <w:tcBorders>
              <w:top w:val="nil"/>
              <w:left w:val="nil"/>
              <w:bottom w:val="nil"/>
              <w:right w:val="nil"/>
            </w:tcBorders>
            <w:shd w:val="solid" w:color="000000" w:fill="auto"/>
            <w:vAlign w:val="bottom"/>
          </w:tcPr>
          <w:p w:rsidR="00897890" w:rsidRPr="00645124" w:rsidRDefault="00897890"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2270" w:type="dxa"/>
            <w:gridSpan w:val="2"/>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State of Victoria</w:t>
            </w:r>
          </w:p>
        </w:tc>
      </w:tr>
      <w:tr w:rsidR="00BB67AF" w:rsidRPr="00645124" w:rsidTr="003E6750">
        <w:trPr>
          <w:tblHeader/>
        </w:trPr>
        <w:tc>
          <w:tcPr>
            <w:tcW w:w="7369"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1135"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5"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vertAlign w:val="superscript"/>
                <w:lang w:eastAsia="en-AU"/>
              </w:rPr>
            </w:pPr>
            <w:r w:rsidRPr="00645124">
              <w:rPr>
                <w:rFonts w:ascii="Calibri" w:eastAsiaTheme="minorEastAsia" w:hAnsi="Calibri" w:cs="Calibri"/>
                <w:i/>
                <w:iCs/>
                <w:color w:val="FFFFFF"/>
                <w:sz w:val="22"/>
                <w:szCs w:val="22"/>
                <w:lang w:eastAsia="en-AU"/>
              </w:rPr>
              <w:t xml:space="preserve">2014 </w:t>
            </w:r>
            <w:r w:rsidRPr="00645124">
              <w:rPr>
                <w:rFonts w:ascii="Calibri" w:eastAsiaTheme="minorEastAsia" w:hAnsi="Calibri" w:cs="Calibri"/>
                <w:i/>
                <w:iCs/>
                <w:color w:val="FFFFFF"/>
                <w:sz w:val="22"/>
                <w:szCs w:val="22"/>
                <w:vertAlign w:val="superscript"/>
                <w:lang w:eastAsia="en-AU"/>
              </w:rPr>
              <w:t>(a)</w:t>
            </w:r>
          </w:p>
        </w:tc>
      </w:tr>
      <w:tr w:rsidR="00BB67AF" w:rsidRPr="00645124" w:rsidTr="003E6750">
        <w:tc>
          <w:tcPr>
            <w:tcW w:w="736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Defined benefit plans </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3E6750">
        <w:tc>
          <w:tcPr>
            <w:tcW w:w="736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Net superannuation interest expense</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441</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512</w:t>
            </w:r>
          </w:p>
        </w:tc>
      </w:tr>
      <w:tr w:rsidR="00BB67AF" w:rsidRPr="00645124" w:rsidTr="003E6750">
        <w:tc>
          <w:tcPr>
            <w:tcW w:w="736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Current service cost </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394</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374</w:t>
            </w:r>
          </w:p>
        </w:tc>
      </w:tr>
      <w:tr w:rsidR="00BB67AF" w:rsidRPr="00645124" w:rsidTr="003E6750">
        <w:tc>
          <w:tcPr>
            <w:tcW w:w="736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proofErr w:type="spellStart"/>
            <w:r w:rsidRPr="00645124">
              <w:rPr>
                <w:rFonts w:ascii="Calibri" w:eastAsiaTheme="minorEastAsia" w:hAnsi="Calibri" w:cs="Calibri"/>
                <w:color w:val="000000"/>
                <w:sz w:val="22"/>
                <w:szCs w:val="22"/>
                <w:lang w:eastAsia="en-AU"/>
              </w:rPr>
              <w:t>Remeasurements</w:t>
            </w:r>
            <w:proofErr w:type="spellEnd"/>
            <w:r w:rsidRPr="00645124">
              <w:rPr>
                <w:rFonts w:ascii="Calibri" w:eastAsiaTheme="minorEastAsia" w:hAnsi="Calibri" w:cs="Calibri"/>
                <w:color w:val="000000"/>
                <w:sz w:val="22"/>
                <w:szCs w:val="22"/>
                <w:lang w:eastAsia="en-AU"/>
              </w:rPr>
              <w:t>:</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r>
      <w:tr w:rsidR="00BB67AF" w:rsidRPr="00645124" w:rsidTr="003E6750">
        <w:tc>
          <w:tcPr>
            <w:tcW w:w="736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Expected return on superannuation assets excluding interest income</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(394)</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(318)</w:t>
            </w:r>
          </w:p>
        </w:tc>
      </w:tr>
      <w:tr w:rsidR="00BB67AF" w:rsidRPr="00645124" w:rsidTr="003E6750">
        <w:tc>
          <w:tcPr>
            <w:tcW w:w="736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Other actuarial (gain)/loss on superannuation assets</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383</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(422)</w:t>
            </w:r>
          </w:p>
        </w:tc>
      </w:tr>
      <w:tr w:rsidR="00BB67AF" w:rsidRPr="00645124" w:rsidTr="003E6750">
        <w:tc>
          <w:tcPr>
            <w:tcW w:w="7369"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Actuarial and other adjustments to unfunded superannuation liability</w:t>
            </w:r>
          </w:p>
        </w:tc>
        <w:tc>
          <w:tcPr>
            <w:tcW w:w="11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715</w:t>
            </w:r>
          </w:p>
        </w:tc>
        <w:tc>
          <w:tcPr>
            <w:tcW w:w="11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3 207</w:t>
            </w:r>
          </w:p>
        </w:tc>
      </w:tr>
      <w:tr w:rsidR="00BB67AF" w:rsidRPr="00645124" w:rsidTr="003E6750">
        <w:tc>
          <w:tcPr>
            <w:tcW w:w="7369"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(gain)/expenses recognised in respect of defined benefit plans</w:t>
            </w:r>
          </w:p>
        </w:tc>
        <w:tc>
          <w:tcPr>
            <w:tcW w:w="1135"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1 539</w:t>
            </w:r>
          </w:p>
        </w:tc>
        <w:tc>
          <w:tcPr>
            <w:tcW w:w="1135"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3 354</w:t>
            </w:r>
          </w:p>
        </w:tc>
      </w:tr>
      <w:tr w:rsidR="00BB67AF" w:rsidRPr="00645124" w:rsidTr="003E6750">
        <w:tc>
          <w:tcPr>
            <w:tcW w:w="736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Defined contribution plans</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3E6750">
        <w:tc>
          <w:tcPr>
            <w:tcW w:w="736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Employer contributions to defined contribution plans </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784</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679</w:t>
            </w:r>
          </w:p>
        </w:tc>
      </w:tr>
      <w:tr w:rsidR="00BB67AF" w:rsidRPr="00645124" w:rsidTr="003E6750">
        <w:tc>
          <w:tcPr>
            <w:tcW w:w="7369"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Other (including pensions)</w:t>
            </w:r>
          </w:p>
        </w:tc>
        <w:tc>
          <w:tcPr>
            <w:tcW w:w="11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46</w:t>
            </w:r>
          </w:p>
        </w:tc>
        <w:tc>
          <w:tcPr>
            <w:tcW w:w="11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41</w:t>
            </w:r>
          </w:p>
        </w:tc>
      </w:tr>
      <w:tr w:rsidR="00BB67AF" w:rsidRPr="00645124" w:rsidTr="003E6750">
        <w:tc>
          <w:tcPr>
            <w:tcW w:w="7369"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expense recognised in respect of defined contribution plans</w:t>
            </w:r>
          </w:p>
        </w:tc>
        <w:tc>
          <w:tcPr>
            <w:tcW w:w="1135"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829</w:t>
            </w:r>
          </w:p>
        </w:tc>
        <w:tc>
          <w:tcPr>
            <w:tcW w:w="1135"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720</w:t>
            </w:r>
          </w:p>
        </w:tc>
      </w:tr>
      <w:tr w:rsidR="00BB67AF" w:rsidRPr="00645124" w:rsidTr="003E6750">
        <w:tc>
          <w:tcPr>
            <w:tcW w:w="7369"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superannuation (gain)/expense recognised in operating statement</w:t>
            </w:r>
          </w:p>
        </w:tc>
        <w:tc>
          <w:tcPr>
            <w:tcW w:w="1135"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2 368</w:t>
            </w:r>
          </w:p>
        </w:tc>
        <w:tc>
          <w:tcPr>
            <w:tcW w:w="1135"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4 073</w:t>
            </w:r>
          </w:p>
        </w:tc>
      </w:tr>
      <w:tr w:rsidR="00BB67AF" w:rsidRPr="00645124" w:rsidTr="003E6750">
        <w:tc>
          <w:tcPr>
            <w:tcW w:w="7369"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Represented by:</w:t>
            </w:r>
          </w:p>
        </w:tc>
        <w:tc>
          <w:tcPr>
            <w:tcW w:w="1135"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5"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3E6750">
        <w:tc>
          <w:tcPr>
            <w:tcW w:w="736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Superannuation interest expense</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441</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512</w:t>
            </w:r>
          </w:p>
        </w:tc>
      </w:tr>
      <w:tr w:rsidR="00BB67AF" w:rsidRPr="00645124" w:rsidTr="003E6750">
        <w:tc>
          <w:tcPr>
            <w:tcW w:w="7369"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Other superannuation</w:t>
            </w:r>
          </w:p>
        </w:tc>
        <w:tc>
          <w:tcPr>
            <w:tcW w:w="11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1 223</w:t>
            </w:r>
          </w:p>
        </w:tc>
        <w:tc>
          <w:tcPr>
            <w:tcW w:w="11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1 094</w:t>
            </w:r>
          </w:p>
        </w:tc>
      </w:tr>
      <w:tr w:rsidR="00BB67AF" w:rsidRPr="00645124" w:rsidTr="003E6750">
        <w:tc>
          <w:tcPr>
            <w:tcW w:w="7369"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Superannuation expense from transactions</w:t>
            </w:r>
          </w:p>
        </w:tc>
        <w:tc>
          <w:tcPr>
            <w:tcW w:w="1135"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1 665</w:t>
            </w:r>
          </w:p>
        </w:tc>
        <w:tc>
          <w:tcPr>
            <w:tcW w:w="1135"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1 606</w:t>
            </w:r>
          </w:p>
        </w:tc>
      </w:tr>
      <w:tr w:rsidR="00BB67AF" w:rsidRPr="00645124" w:rsidTr="003E6750">
        <w:tc>
          <w:tcPr>
            <w:tcW w:w="7369"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proofErr w:type="spellStart"/>
            <w:r w:rsidRPr="00645124">
              <w:rPr>
                <w:rFonts w:ascii="Calibri" w:eastAsiaTheme="minorEastAsia" w:hAnsi="Calibri" w:cs="Calibri"/>
                <w:b/>
                <w:bCs/>
                <w:color w:val="000000"/>
                <w:sz w:val="22"/>
                <w:szCs w:val="22"/>
                <w:lang w:eastAsia="en-AU"/>
              </w:rPr>
              <w:t>Remeasurement</w:t>
            </w:r>
            <w:proofErr w:type="spellEnd"/>
            <w:r w:rsidRPr="00645124">
              <w:rPr>
                <w:rFonts w:ascii="Calibri" w:eastAsiaTheme="minorEastAsia" w:hAnsi="Calibri" w:cs="Calibri"/>
                <w:b/>
                <w:bCs/>
                <w:color w:val="000000"/>
                <w:sz w:val="22"/>
                <w:szCs w:val="22"/>
                <w:lang w:eastAsia="en-AU"/>
              </w:rPr>
              <w:t xml:space="preserve"> recognised in other comprehensive income</w:t>
            </w:r>
          </w:p>
        </w:tc>
        <w:tc>
          <w:tcPr>
            <w:tcW w:w="11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704</w:t>
            </w:r>
          </w:p>
        </w:tc>
        <w:tc>
          <w:tcPr>
            <w:tcW w:w="11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2 467</w:t>
            </w:r>
          </w:p>
        </w:tc>
      </w:tr>
      <w:tr w:rsidR="00BB67AF" w:rsidRPr="00645124" w:rsidTr="003E6750">
        <w:tc>
          <w:tcPr>
            <w:tcW w:w="7369"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superannuation costs recognised in operating statement</w:t>
            </w:r>
          </w:p>
        </w:tc>
        <w:tc>
          <w:tcPr>
            <w:tcW w:w="1135"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2 368</w:t>
            </w:r>
          </w:p>
        </w:tc>
        <w:tc>
          <w:tcPr>
            <w:tcW w:w="1135"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4 073</w:t>
            </w:r>
          </w:p>
        </w:tc>
      </w:tr>
    </w:tbl>
    <w:p w:rsidR="00BB67AF" w:rsidRDefault="00BB67AF" w:rsidP="003E6750">
      <w:pPr>
        <w:pStyle w:val="Notes"/>
      </w:pPr>
      <w:r>
        <w:t>Note:</w:t>
      </w:r>
    </w:p>
    <w:p w:rsidR="00BB67AF" w:rsidRPr="00717E8D" w:rsidRDefault="00BB67AF" w:rsidP="003E6750">
      <w:pPr>
        <w:pStyle w:val="Notes"/>
      </w:pPr>
      <w:r>
        <w:t>(a)</w:t>
      </w:r>
      <w:r>
        <w:tab/>
        <w:t xml:space="preserve">The December 2014 comparative figures have been restated to reflect more current information, mainly including adjustments outlined in Note 37 of the </w:t>
      </w:r>
      <w:r>
        <w:rPr>
          <w:i w:val="0"/>
        </w:rPr>
        <w:t>2014</w:t>
      </w:r>
      <w:r>
        <w:rPr>
          <w:i w:val="0"/>
        </w:rPr>
        <w:noBreakHyphen/>
        <w:t>15 Financial Report</w:t>
      </w:r>
      <w:r>
        <w:t>.</w:t>
      </w:r>
    </w:p>
    <w:p w:rsidR="00BB67AF" w:rsidRDefault="00BB67AF" w:rsidP="003E6750"/>
    <w:p w:rsidR="00BB67AF" w:rsidRDefault="00BB67AF" w:rsidP="003E6750">
      <w:pPr>
        <w:pStyle w:val="Tableheading"/>
      </w:pPr>
      <w:r w:rsidRPr="00F80B3F">
        <w:t xml:space="preserve">(b) </w:t>
      </w:r>
      <w:r w:rsidRPr="00F80B3F">
        <w:tab/>
        <w:t xml:space="preserve">Superannuation liabilities </w:t>
      </w:r>
    </w:p>
    <w:p w:rsidR="00BB67AF" w:rsidRPr="00D838D9" w:rsidRDefault="00BB67AF" w:rsidP="003E6750">
      <w:pPr>
        <w:pStyle w:val="million"/>
        <w:rPr>
          <w:b/>
          <w:bCs/>
          <w:lang w:val="en-US"/>
        </w:rPr>
      </w:pPr>
      <w:r>
        <w:t>($ million)</w:t>
      </w:r>
    </w:p>
    <w:tbl>
      <w:tblPr>
        <w:tblW w:w="9638" w:type="dxa"/>
        <w:tblInd w:w="45" w:type="dxa"/>
        <w:tblLayout w:type="fixed"/>
        <w:tblCellMar>
          <w:left w:w="45" w:type="dxa"/>
          <w:right w:w="45" w:type="dxa"/>
        </w:tblCellMar>
        <w:tblLook w:val="0000" w:firstRow="0" w:lastRow="0" w:firstColumn="0" w:lastColumn="0" w:noHBand="0" w:noVBand="0"/>
      </w:tblPr>
      <w:tblGrid>
        <w:gridCol w:w="7370"/>
        <w:gridCol w:w="1134"/>
        <w:gridCol w:w="1134"/>
      </w:tblGrid>
      <w:tr w:rsidR="00897890" w:rsidRPr="00645124" w:rsidTr="00897890">
        <w:trPr>
          <w:tblHeader/>
        </w:trPr>
        <w:tc>
          <w:tcPr>
            <w:tcW w:w="7370" w:type="dxa"/>
            <w:tcBorders>
              <w:top w:val="nil"/>
              <w:left w:val="nil"/>
              <w:bottom w:val="nil"/>
              <w:right w:val="nil"/>
            </w:tcBorders>
            <w:shd w:val="solid" w:color="000000" w:fill="auto"/>
            <w:vAlign w:val="bottom"/>
          </w:tcPr>
          <w:p w:rsidR="00897890" w:rsidRPr="00645124" w:rsidRDefault="00897890"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2268" w:type="dxa"/>
            <w:gridSpan w:val="2"/>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State of Victoria</w:t>
            </w:r>
          </w:p>
        </w:tc>
      </w:tr>
      <w:tr w:rsidR="00897890" w:rsidRPr="00645124" w:rsidTr="00897890">
        <w:trPr>
          <w:trHeight w:val="537"/>
          <w:tblHeader/>
        </w:trPr>
        <w:tc>
          <w:tcPr>
            <w:tcW w:w="7370" w:type="dxa"/>
            <w:tcBorders>
              <w:top w:val="nil"/>
              <w:left w:val="nil"/>
              <w:right w:val="nil"/>
            </w:tcBorders>
            <w:shd w:val="solid" w:color="000000" w:fill="auto"/>
            <w:vAlign w:val="bottom"/>
          </w:tcPr>
          <w:p w:rsidR="00897890" w:rsidRPr="00645124" w:rsidRDefault="00897890"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p w:rsidR="00897890" w:rsidRPr="00645124" w:rsidRDefault="00897890" w:rsidP="003E6750">
            <w:pPr>
              <w:autoSpaceDE w:val="0"/>
              <w:autoSpaceDN w:val="0"/>
              <w:adjustRightInd w:val="0"/>
              <w:spacing w:after="0"/>
              <w:ind w:left="227" w:hanging="227"/>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1134" w:type="dxa"/>
            <w:tcBorders>
              <w:top w:val="nil"/>
              <w:left w:val="nil"/>
              <w:right w:val="nil"/>
            </w:tcBorders>
            <w:shd w:val="solid" w:color="000000" w:fill="auto"/>
            <w:vAlign w:val="bottom"/>
          </w:tcPr>
          <w:p w:rsidR="00897890" w:rsidRPr="00645124" w:rsidRDefault="00897890"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Dec</w:t>
            </w:r>
          </w:p>
          <w:p w:rsidR="00897890" w:rsidRPr="00645124" w:rsidRDefault="00897890"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4" w:type="dxa"/>
            <w:tcBorders>
              <w:top w:val="nil"/>
              <w:left w:val="nil"/>
              <w:right w:val="nil"/>
            </w:tcBorders>
            <w:shd w:val="solid" w:color="000000" w:fill="auto"/>
            <w:vAlign w:val="bottom"/>
          </w:tcPr>
          <w:p w:rsidR="00897890" w:rsidRPr="00645124" w:rsidRDefault="00897890"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Jun</w:t>
            </w:r>
          </w:p>
          <w:p w:rsidR="00897890" w:rsidRPr="00645124" w:rsidRDefault="00897890"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r>
      <w:tr w:rsidR="00BB67AF" w:rsidRPr="00645124" w:rsidTr="003E6750">
        <w:tc>
          <w:tcPr>
            <w:tcW w:w="737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Current liability</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1 004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1 210</w:t>
            </w:r>
          </w:p>
        </w:tc>
      </w:tr>
      <w:tr w:rsidR="00BB67AF" w:rsidRPr="00645124" w:rsidTr="003E6750">
        <w:tc>
          <w:tcPr>
            <w:tcW w:w="7370"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Non</w:t>
            </w:r>
            <w:r w:rsidRPr="00645124">
              <w:rPr>
                <w:rFonts w:ascii="Calibri" w:eastAsiaTheme="minorEastAsia" w:hAnsi="Calibri" w:cs="Calibri"/>
                <w:color w:val="000000"/>
                <w:sz w:val="22"/>
                <w:szCs w:val="22"/>
                <w:lang w:eastAsia="en-AU"/>
              </w:rPr>
              <w:noBreakHyphen/>
              <w:t>current liability</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25 758</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24 778</w:t>
            </w:r>
          </w:p>
        </w:tc>
      </w:tr>
      <w:tr w:rsidR="00BB67AF" w:rsidRPr="00645124" w:rsidTr="003E6750">
        <w:tc>
          <w:tcPr>
            <w:tcW w:w="7370"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superannuation liability</w:t>
            </w:r>
          </w:p>
        </w:tc>
        <w:tc>
          <w:tcPr>
            <w:tcW w:w="113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26 762</w:t>
            </w:r>
          </w:p>
        </w:tc>
        <w:tc>
          <w:tcPr>
            <w:tcW w:w="113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25 988</w:t>
            </w:r>
          </w:p>
        </w:tc>
      </w:tr>
      <w:tr w:rsidR="00BB67AF" w:rsidRPr="00645124" w:rsidTr="003E6750">
        <w:tc>
          <w:tcPr>
            <w:tcW w:w="7370"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Represented by:</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3E6750">
        <w:tc>
          <w:tcPr>
            <w:tcW w:w="737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Emergency Services and State Super</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25 711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24 967</w:t>
            </w:r>
          </w:p>
        </w:tc>
      </w:tr>
      <w:tr w:rsidR="00BB67AF" w:rsidRPr="00645124" w:rsidTr="003E6750">
        <w:tc>
          <w:tcPr>
            <w:tcW w:w="7370"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Other funds</w:t>
            </w:r>
          </w:p>
        </w:tc>
        <w:tc>
          <w:tcPr>
            <w:tcW w:w="1134"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1 051</w:t>
            </w:r>
          </w:p>
        </w:tc>
        <w:tc>
          <w:tcPr>
            <w:tcW w:w="1134"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1 021</w:t>
            </w:r>
          </w:p>
        </w:tc>
      </w:tr>
    </w:tbl>
    <w:p w:rsidR="00BB67AF" w:rsidRDefault="00BB67AF" w:rsidP="003E6750"/>
    <w:p w:rsidR="00BB67AF" w:rsidRDefault="00BB67AF">
      <w:pPr>
        <w:spacing w:after="0"/>
        <w:rPr>
          <w:rFonts w:ascii="Calibri" w:hAnsi="Calibri"/>
          <w:b/>
          <w:kern w:val="28"/>
          <w:sz w:val="28"/>
          <w:szCs w:val="22"/>
        </w:rPr>
      </w:pPr>
      <w:r>
        <w:br w:type="page"/>
      </w:r>
    </w:p>
    <w:p w:rsidR="00BB67AF" w:rsidRDefault="00BB67AF" w:rsidP="003E6750">
      <w:pPr>
        <w:pStyle w:val="Heading2Notes"/>
      </w:pPr>
      <w:bookmarkStart w:id="18" w:name="_Toc445283167"/>
      <w:r w:rsidRPr="00F80B3F">
        <w:lastRenderedPageBreak/>
        <w:t xml:space="preserve">Note 9: </w:t>
      </w:r>
      <w:r w:rsidRPr="00F80B3F">
        <w:tab/>
        <w:t>Depreciation</w:t>
      </w:r>
      <w:bookmarkEnd w:id="18"/>
    </w:p>
    <w:p w:rsidR="00BB67AF" w:rsidRPr="004D1572" w:rsidRDefault="00BB67AF" w:rsidP="003E6750">
      <w:pPr>
        <w:pStyle w:val="million"/>
        <w:rPr>
          <w:b/>
          <w:bCs/>
          <w:lang w:val="en-US"/>
        </w:rPr>
      </w:pPr>
      <w:r>
        <w:t>($ million)</w:t>
      </w:r>
    </w:p>
    <w:tbl>
      <w:tblPr>
        <w:tblW w:w="9645" w:type="dxa"/>
        <w:tblInd w:w="45" w:type="dxa"/>
        <w:tblLayout w:type="fixed"/>
        <w:tblCellMar>
          <w:left w:w="45" w:type="dxa"/>
          <w:right w:w="45" w:type="dxa"/>
        </w:tblCellMar>
        <w:tblLook w:val="0000" w:firstRow="0" w:lastRow="0" w:firstColumn="0" w:lastColumn="0" w:noHBand="0" w:noVBand="0"/>
      </w:tblPr>
      <w:tblGrid>
        <w:gridCol w:w="5093"/>
        <w:gridCol w:w="10"/>
        <w:gridCol w:w="1123"/>
        <w:gridCol w:w="11"/>
        <w:gridCol w:w="1128"/>
        <w:gridCol w:w="6"/>
        <w:gridCol w:w="1134"/>
        <w:gridCol w:w="1134"/>
        <w:gridCol w:w="6"/>
      </w:tblGrid>
      <w:tr w:rsidR="00897890" w:rsidRPr="00645124" w:rsidTr="00AC25A6">
        <w:trPr>
          <w:gridAfter w:val="1"/>
          <w:wAfter w:w="6" w:type="dxa"/>
          <w:tblHeader/>
        </w:trPr>
        <w:tc>
          <w:tcPr>
            <w:tcW w:w="5093" w:type="dxa"/>
            <w:tcBorders>
              <w:top w:val="nil"/>
              <w:left w:val="nil"/>
              <w:bottom w:val="nil"/>
              <w:right w:val="nil"/>
            </w:tcBorders>
            <w:shd w:val="solid" w:color="000000" w:fill="auto"/>
            <w:vAlign w:val="bottom"/>
          </w:tcPr>
          <w:p w:rsidR="00897890" w:rsidRPr="00645124" w:rsidRDefault="00897890"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2272" w:type="dxa"/>
            <w:gridSpan w:val="4"/>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State of Victoria</w:t>
            </w:r>
          </w:p>
        </w:tc>
        <w:tc>
          <w:tcPr>
            <w:tcW w:w="2274" w:type="dxa"/>
            <w:gridSpan w:val="3"/>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General </w:t>
            </w:r>
            <w:r w:rsidRPr="00645124">
              <w:rPr>
                <w:rFonts w:ascii="Calibri" w:eastAsiaTheme="minorEastAsia" w:hAnsi="Calibri" w:cs="Calibri"/>
                <w:i/>
                <w:iCs/>
                <w:color w:val="FFFFFF"/>
                <w:sz w:val="22"/>
                <w:szCs w:val="22"/>
                <w:lang w:eastAsia="en-AU"/>
              </w:rPr>
              <w:br/>
              <w:t>government sector</w:t>
            </w:r>
          </w:p>
        </w:tc>
      </w:tr>
      <w:tr w:rsidR="00BB67AF" w:rsidRPr="00645124" w:rsidTr="00AC25A6">
        <w:trPr>
          <w:gridAfter w:val="1"/>
          <w:wAfter w:w="6" w:type="dxa"/>
          <w:tblHeader/>
        </w:trPr>
        <w:tc>
          <w:tcPr>
            <w:tcW w:w="5093"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1133" w:type="dxa"/>
            <w:gridSpan w:val="2"/>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9" w:type="dxa"/>
            <w:gridSpan w:val="2"/>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2014</w:t>
            </w:r>
          </w:p>
        </w:tc>
        <w:tc>
          <w:tcPr>
            <w:tcW w:w="1140" w:type="dxa"/>
            <w:gridSpan w:val="2"/>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2014</w:t>
            </w:r>
          </w:p>
        </w:tc>
      </w:tr>
      <w:tr w:rsidR="00BB67AF" w:rsidRPr="00645124" w:rsidTr="003E6750">
        <w:tc>
          <w:tcPr>
            <w:tcW w:w="5093"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 xml:space="preserve">Buildings </w:t>
            </w:r>
            <w:r w:rsidRPr="00645124">
              <w:rPr>
                <w:rFonts w:ascii="Calibri" w:eastAsiaTheme="minorEastAsia" w:hAnsi="Calibri" w:cs="Calibri"/>
                <w:color w:val="000000"/>
                <w:sz w:val="22"/>
                <w:szCs w:val="22"/>
                <w:vertAlign w:val="superscript"/>
                <w:lang w:eastAsia="en-AU"/>
              </w:rPr>
              <w:t>(a)</w:t>
            </w:r>
          </w:p>
        </w:tc>
        <w:tc>
          <w:tcPr>
            <w:tcW w:w="113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704</w:t>
            </w:r>
          </w:p>
        </w:tc>
        <w:tc>
          <w:tcPr>
            <w:tcW w:w="1139"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696</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507</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508</w:t>
            </w:r>
          </w:p>
        </w:tc>
      </w:tr>
      <w:tr w:rsidR="00BB67AF" w:rsidRPr="00645124" w:rsidTr="003E6750">
        <w:tc>
          <w:tcPr>
            <w:tcW w:w="5093"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Leasehold buildings</w:t>
            </w:r>
          </w:p>
        </w:tc>
        <w:tc>
          <w:tcPr>
            <w:tcW w:w="113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47</w:t>
            </w:r>
          </w:p>
        </w:tc>
        <w:tc>
          <w:tcPr>
            <w:tcW w:w="1139"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48</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44</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45</w:t>
            </w:r>
          </w:p>
        </w:tc>
      </w:tr>
      <w:tr w:rsidR="00BB67AF" w:rsidRPr="00645124" w:rsidTr="003E6750">
        <w:tc>
          <w:tcPr>
            <w:tcW w:w="5093"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Infrastructure systems</w:t>
            </w:r>
          </w:p>
        </w:tc>
        <w:tc>
          <w:tcPr>
            <w:tcW w:w="113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715</w:t>
            </w:r>
          </w:p>
        </w:tc>
        <w:tc>
          <w:tcPr>
            <w:tcW w:w="1139"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626</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17</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13</w:t>
            </w:r>
          </w:p>
        </w:tc>
      </w:tr>
      <w:tr w:rsidR="00BB67AF" w:rsidRPr="00645124" w:rsidTr="003E6750">
        <w:tc>
          <w:tcPr>
            <w:tcW w:w="5093"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Plant, equipment and vehicles</w:t>
            </w:r>
          </w:p>
        </w:tc>
        <w:tc>
          <w:tcPr>
            <w:tcW w:w="113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469</w:t>
            </w:r>
          </w:p>
        </w:tc>
        <w:tc>
          <w:tcPr>
            <w:tcW w:w="1139"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426</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267</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269</w:t>
            </w:r>
          </w:p>
        </w:tc>
      </w:tr>
      <w:tr w:rsidR="00BB67AF" w:rsidRPr="00645124" w:rsidTr="003E6750">
        <w:tc>
          <w:tcPr>
            <w:tcW w:w="5093"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Road and road networks</w:t>
            </w:r>
          </w:p>
        </w:tc>
        <w:tc>
          <w:tcPr>
            <w:tcW w:w="113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303</w:t>
            </w:r>
          </w:p>
        </w:tc>
        <w:tc>
          <w:tcPr>
            <w:tcW w:w="1139"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295</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301</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293</w:t>
            </w:r>
          </w:p>
        </w:tc>
      </w:tr>
      <w:tr w:rsidR="00BB67AF" w:rsidRPr="00645124" w:rsidTr="003E6750">
        <w:tc>
          <w:tcPr>
            <w:tcW w:w="5093"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Cultural assets</w:t>
            </w:r>
          </w:p>
        </w:tc>
        <w:tc>
          <w:tcPr>
            <w:tcW w:w="113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w:t>
            </w:r>
          </w:p>
        </w:tc>
        <w:tc>
          <w:tcPr>
            <w:tcW w:w="1139"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w:t>
            </w:r>
          </w:p>
        </w:tc>
      </w:tr>
      <w:tr w:rsidR="00BB67AF" w:rsidRPr="00645124" w:rsidTr="003E6750">
        <w:tc>
          <w:tcPr>
            <w:tcW w:w="5093"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 xml:space="preserve">Intangible produced assets </w:t>
            </w:r>
            <w:r w:rsidRPr="00645124">
              <w:rPr>
                <w:rFonts w:ascii="Calibri" w:eastAsiaTheme="minorEastAsia" w:hAnsi="Calibri" w:cs="Calibri"/>
                <w:color w:val="000000"/>
                <w:sz w:val="22"/>
                <w:szCs w:val="22"/>
                <w:vertAlign w:val="superscript"/>
                <w:lang w:eastAsia="en-AU"/>
              </w:rPr>
              <w:t>(b)</w:t>
            </w:r>
          </w:p>
        </w:tc>
        <w:tc>
          <w:tcPr>
            <w:tcW w:w="1133"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76</w:t>
            </w:r>
          </w:p>
        </w:tc>
        <w:tc>
          <w:tcPr>
            <w:tcW w:w="1139"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98</w:t>
            </w:r>
          </w:p>
        </w:tc>
        <w:tc>
          <w:tcPr>
            <w:tcW w:w="1140"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57</w:t>
            </w:r>
          </w:p>
        </w:tc>
        <w:tc>
          <w:tcPr>
            <w:tcW w:w="1140"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59</w:t>
            </w:r>
          </w:p>
        </w:tc>
      </w:tr>
      <w:tr w:rsidR="00BB67AF" w:rsidRPr="00645124" w:rsidTr="003E6750">
        <w:trPr>
          <w:gridAfter w:val="1"/>
          <w:wAfter w:w="6" w:type="dxa"/>
        </w:trPr>
        <w:tc>
          <w:tcPr>
            <w:tcW w:w="5103" w:type="dxa"/>
            <w:gridSpan w:val="2"/>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depreciation</w:t>
            </w:r>
          </w:p>
        </w:tc>
        <w:tc>
          <w:tcPr>
            <w:tcW w:w="1134" w:type="dxa"/>
            <w:gridSpan w:val="2"/>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2 322</w:t>
            </w:r>
          </w:p>
        </w:tc>
        <w:tc>
          <w:tcPr>
            <w:tcW w:w="1134" w:type="dxa"/>
            <w:gridSpan w:val="2"/>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2 198</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1 200</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1 198</w:t>
            </w:r>
          </w:p>
        </w:tc>
      </w:tr>
    </w:tbl>
    <w:p w:rsidR="00BB67AF" w:rsidRDefault="00BB67AF" w:rsidP="003E6750">
      <w:pPr>
        <w:pStyle w:val="Notes"/>
      </w:pPr>
      <w:r>
        <w:t>Notes:</w:t>
      </w:r>
    </w:p>
    <w:p w:rsidR="00BB67AF" w:rsidRPr="00717E8D" w:rsidRDefault="00BB67AF" w:rsidP="003E6750">
      <w:pPr>
        <w:pStyle w:val="Notes"/>
      </w:pPr>
      <w:r>
        <w:t>(a)</w:t>
      </w:r>
      <w:r>
        <w:tab/>
        <w:t xml:space="preserve">The December 2014 comparative figures have been restated to reflect more current information, mainly including adjustments outlined in Note 37 of the </w:t>
      </w:r>
      <w:r>
        <w:rPr>
          <w:i w:val="0"/>
        </w:rPr>
        <w:t>2014</w:t>
      </w:r>
      <w:r>
        <w:rPr>
          <w:i w:val="0"/>
        </w:rPr>
        <w:noBreakHyphen/>
        <w:t>15 Financial Report</w:t>
      </w:r>
      <w:r>
        <w:t>.</w:t>
      </w:r>
    </w:p>
    <w:p w:rsidR="00BB67AF" w:rsidRDefault="00BB67AF" w:rsidP="003E6750">
      <w:pPr>
        <w:pStyle w:val="Notes"/>
      </w:pPr>
      <w:r>
        <w:t>(b)</w:t>
      </w:r>
      <w:r>
        <w:tab/>
        <w:t>Amortisation of intangible non produced assets is included under other economic flows.</w:t>
      </w:r>
    </w:p>
    <w:p w:rsidR="00BB67AF" w:rsidRDefault="00BB67AF" w:rsidP="003E6750"/>
    <w:p w:rsidR="00BB67AF" w:rsidRDefault="00BB67AF" w:rsidP="003E6750"/>
    <w:p w:rsidR="00BB67AF" w:rsidRDefault="00BB67AF" w:rsidP="003E6750">
      <w:pPr>
        <w:pStyle w:val="Heading2Notes"/>
      </w:pPr>
      <w:bookmarkStart w:id="19" w:name="_Toc445283168"/>
      <w:r w:rsidRPr="005B7837">
        <w:t xml:space="preserve">Note 10: </w:t>
      </w:r>
      <w:r w:rsidRPr="005B7837">
        <w:tab/>
        <w:t>Interest expense</w:t>
      </w:r>
      <w:bookmarkEnd w:id="19"/>
    </w:p>
    <w:p w:rsidR="00BB67AF" w:rsidRPr="004D1572" w:rsidRDefault="00BB67AF" w:rsidP="003E6750">
      <w:pPr>
        <w:pStyle w:val="million"/>
        <w:rPr>
          <w:b/>
          <w:bCs/>
          <w:lang w:val="en-US"/>
        </w:rPr>
      </w:pPr>
      <w:r>
        <w:t>($ million)</w:t>
      </w:r>
    </w:p>
    <w:tbl>
      <w:tblPr>
        <w:tblW w:w="9645" w:type="dxa"/>
        <w:tblInd w:w="45" w:type="dxa"/>
        <w:tblLayout w:type="fixed"/>
        <w:tblCellMar>
          <w:left w:w="45" w:type="dxa"/>
          <w:right w:w="45" w:type="dxa"/>
        </w:tblCellMar>
        <w:tblLook w:val="0000" w:firstRow="0" w:lastRow="0" w:firstColumn="0" w:lastColumn="0" w:noHBand="0" w:noVBand="0"/>
      </w:tblPr>
      <w:tblGrid>
        <w:gridCol w:w="5094"/>
        <w:gridCol w:w="1133"/>
        <w:gridCol w:w="1139"/>
        <w:gridCol w:w="1139"/>
        <w:gridCol w:w="1134"/>
        <w:gridCol w:w="6"/>
      </w:tblGrid>
      <w:tr w:rsidR="00897890" w:rsidRPr="00645124" w:rsidTr="00AC25A6">
        <w:trPr>
          <w:gridAfter w:val="1"/>
          <w:wAfter w:w="6" w:type="dxa"/>
          <w:tblHeader/>
        </w:trPr>
        <w:tc>
          <w:tcPr>
            <w:tcW w:w="5094" w:type="dxa"/>
            <w:tcBorders>
              <w:top w:val="nil"/>
              <w:left w:val="nil"/>
              <w:bottom w:val="nil"/>
              <w:right w:val="nil"/>
            </w:tcBorders>
            <w:shd w:val="solid" w:color="000000" w:fill="auto"/>
            <w:vAlign w:val="bottom"/>
          </w:tcPr>
          <w:p w:rsidR="00897890" w:rsidRPr="00645124" w:rsidRDefault="00897890"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2272" w:type="dxa"/>
            <w:gridSpan w:val="2"/>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State of Victoria</w:t>
            </w:r>
          </w:p>
        </w:tc>
        <w:tc>
          <w:tcPr>
            <w:tcW w:w="2273" w:type="dxa"/>
            <w:gridSpan w:val="2"/>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General </w:t>
            </w:r>
            <w:r w:rsidRPr="00645124">
              <w:rPr>
                <w:rFonts w:ascii="Calibri" w:eastAsiaTheme="minorEastAsia" w:hAnsi="Calibri" w:cs="Calibri"/>
                <w:i/>
                <w:iCs/>
                <w:color w:val="FFFFFF"/>
                <w:sz w:val="22"/>
                <w:szCs w:val="22"/>
                <w:lang w:eastAsia="en-AU"/>
              </w:rPr>
              <w:br/>
              <w:t>government sector</w:t>
            </w:r>
          </w:p>
        </w:tc>
      </w:tr>
      <w:tr w:rsidR="00BB67AF" w:rsidRPr="00645124" w:rsidTr="00AC25A6">
        <w:trPr>
          <w:gridAfter w:val="1"/>
          <w:wAfter w:w="6" w:type="dxa"/>
          <w:tblHeader/>
        </w:trPr>
        <w:tc>
          <w:tcPr>
            <w:tcW w:w="509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1133"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9"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2014</w:t>
            </w:r>
          </w:p>
        </w:tc>
        <w:tc>
          <w:tcPr>
            <w:tcW w:w="1139"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2014</w:t>
            </w:r>
          </w:p>
        </w:tc>
      </w:tr>
      <w:tr w:rsidR="00BB67AF" w:rsidRPr="00645124" w:rsidTr="00897890">
        <w:tc>
          <w:tcPr>
            <w:tcW w:w="50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Interest on long</w:t>
            </w:r>
            <w:r w:rsidRPr="00645124">
              <w:rPr>
                <w:rFonts w:ascii="Calibri" w:eastAsiaTheme="minorEastAsia" w:hAnsi="Calibri" w:cs="Calibri"/>
                <w:color w:val="000000"/>
                <w:sz w:val="22"/>
                <w:szCs w:val="22"/>
                <w:lang w:eastAsia="en-AU"/>
              </w:rPr>
              <w:noBreakHyphen/>
              <w:t>term interest</w:t>
            </w:r>
            <w:r w:rsidRPr="00645124">
              <w:rPr>
                <w:rFonts w:ascii="Calibri" w:eastAsiaTheme="minorEastAsia" w:hAnsi="Calibri" w:cs="Calibri"/>
                <w:color w:val="000000"/>
                <w:sz w:val="22"/>
                <w:szCs w:val="22"/>
                <w:lang w:eastAsia="en-AU"/>
              </w:rPr>
              <w:noBreakHyphen/>
              <w:t>bearing liabilities</w:t>
            </w:r>
          </w:p>
        </w:tc>
        <w:tc>
          <w:tcPr>
            <w:tcW w:w="113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920</w:t>
            </w:r>
          </w:p>
        </w:tc>
        <w:tc>
          <w:tcPr>
            <w:tcW w:w="11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968</w:t>
            </w:r>
          </w:p>
        </w:tc>
        <w:tc>
          <w:tcPr>
            <w:tcW w:w="11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637</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638</w:t>
            </w:r>
          </w:p>
        </w:tc>
      </w:tr>
      <w:tr w:rsidR="00BB67AF" w:rsidRPr="00645124" w:rsidTr="00897890">
        <w:tc>
          <w:tcPr>
            <w:tcW w:w="50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Interest on short</w:t>
            </w:r>
            <w:r w:rsidRPr="00645124">
              <w:rPr>
                <w:rFonts w:ascii="Calibri" w:eastAsiaTheme="minorEastAsia" w:hAnsi="Calibri" w:cs="Calibri"/>
                <w:color w:val="000000"/>
                <w:sz w:val="22"/>
                <w:szCs w:val="22"/>
                <w:lang w:eastAsia="en-AU"/>
              </w:rPr>
              <w:noBreakHyphen/>
              <w:t>term interest</w:t>
            </w:r>
            <w:r w:rsidRPr="00645124">
              <w:rPr>
                <w:rFonts w:ascii="Calibri" w:eastAsiaTheme="minorEastAsia" w:hAnsi="Calibri" w:cs="Calibri"/>
                <w:color w:val="000000"/>
                <w:sz w:val="22"/>
                <w:szCs w:val="22"/>
                <w:lang w:eastAsia="en-AU"/>
              </w:rPr>
              <w:noBreakHyphen/>
              <w:t>bearing liabilities</w:t>
            </w:r>
          </w:p>
        </w:tc>
        <w:tc>
          <w:tcPr>
            <w:tcW w:w="113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25</w:t>
            </w:r>
          </w:p>
        </w:tc>
        <w:tc>
          <w:tcPr>
            <w:tcW w:w="11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31</w:t>
            </w:r>
          </w:p>
        </w:tc>
        <w:tc>
          <w:tcPr>
            <w:tcW w:w="11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15</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18</w:t>
            </w:r>
          </w:p>
        </w:tc>
      </w:tr>
      <w:tr w:rsidR="00BB67AF" w:rsidRPr="00645124" w:rsidTr="00897890">
        <w:tc>
          <w:tcPr>
            <w:tcW w:w="509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Finance charges on finance leases</w:t>
            </w:r>
          </w:p>
        </w:tc>
        <w:tc>
          <w:tcPr>
            <w:tcW w:w="113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393</w:t>
            </w:r>
          </w:p>
        </w:tc>
        <w:tc>
          <w:tcPr>
            <w:tcW w:w="11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406</w:t>
            </w:r>
          </w:p>
        </w:tc>
        <w:tc>
          <w:tcPr>
            <w:tcW w:w="11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362</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371</w:t>
            </w:r>
          </w:p>
        </w:tc>
      </w:tr>
      <w:tr w:rsidR="00BB67AF" w:rsidRPr="00645124" w:rsidTr="00897890">
        <w:tc>
          <w:tcPr>
            <w:tcW w:w="509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Discount interest on payables</w:t>
            </w:r>
          </w:p>
        </w:tc>
        <w:tc>
          <w:tcPr>
            <w:tcW w:w="1133"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18</w:t>
            </w:r>
          </w:p>
        </w:tc>
        <w:tc>
          <w:tcPr>
            <w:tcW w:w="1139"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19</w:t>
            </w:r>
          </w:p>
        </w:tc>
        <w:tc>
          <w:tcPr>
            <w:tcW w:w="1139"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20</w:t>
            </w:r>
          </w:p>
        </w:tc>
        <w:tc>
          <w:tcPr>
            <w:tcW w:w="1140"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21</w:t>
            </w:r>
          </w:p>
        </w:tc>
      </w:tr>
      <w:tr w:rsidR="00BB67AF" w:rsidRPr="00645124" w:rsidTr="00897890">
        <w:tc>
          <w:tcPr>
            <w:tcW w:w="509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interest expense</w:t>
            </w:r>
          </w:p>
        </w:tc>
        <w:tc>
          <w:tcPr>
            <w:tcW w:w="1133"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1 356</w:t>
            </w:r>
          </w:p>
        </w:tc>
        <w:tc>
          <w:tcPr>
            <w:tcW w:w="1139"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1 424</w:t>
            </w:r>
          </w:p>
        </w:tc>
        <w:tc>
          <w:tcPr>
            <w:tcW w:w="1139"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1 034</w:t>
            </w:r>
          </w:p>
        </w:tc>
        <w:tc>
          <w:tcPr>
            <w:tcW w:w="1140" w:type="dxa"/>
            <w:gridSpan w:val="2"/>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1 048</w:t>
            </w:r>
          </w:p>
        </w:tc>
      </w:tr>
    </w:tbl>
    <w:p w:rsidR="00BB67AF" w:rsidRDefault="00BB67AF" w:rsidP="003E6750"/>
    <w:p w:rsidR="00BB67AF" w:rsidRDefault="00BB67AF">
      <w:pPr>
        <w:spacing w:after="0"/>
        <w:rPr>
          <w:rFonts w:ascii="Calibri" w:hAnsi="Calibri"/>
          <w:b/>
          <w:kern w:val="28"/>
          <w:sz w:val="28"/>
          <w:szCs w:val="22"/>
        </w:rPr>
      </w:pPr>
      <w:r>
        <w:br w:type="page"/>
      </w:r>
    </w:p>
    <w:p w:rsidR="00BB67AF" w:rsidRDefault="00BB67AF" w:rsidP="003E6750">
      <w:pPr>
        <w:pStyle w:val="Heading2Notes"/>
      </w:pPr>
      <w:bookmarkStart w:id="20" w:name="_Toc445283169"/>
      <w:r w:rsidRPr="00F87F4B">
        <w:lastRenderedPageBreak/>
        <w:t>Note 11:</w:t>
      </w:r>
      <w:r w:rsidRPr="00F87F4B">
        <w:tab/>
        <w:t>Grant expense</w:t>
      </w:r>
      <w:bookmarkEnd w:id="20"/>
    </w:p>
    <w:p w:rsidR="00BB67AF" w:rsidRPr="004D1572" w:rsidRDefault="00BB67AF" w:rsidP="003E6750">
      <w:pPr>
        <w:pStyle w:val="million"/>
        <w:rPr>
          <w:b/>
          <w:bCs/>
          <w:lang w:val="en-US"/>
        </w:rPr>
      </w:pPr>
      <w:r>
        <w:t>($ million)</w:t>
      </w:r>
    </w:p>
    <w:tbl>
      <w:tblPr>
        <w:tblW w:w="9645" w:type="dxa"/>
        <w:tblInd w:w="45" w:type="dxa"/>
        <w:tblLayout w:type="fixed"/>
        <w:tblCellMar>
          <w:left w:w="45" w:type="dxa"/>
          <w:right w:w="45" w:type="dxa"/>
        </w:tblCellMar>
        <w:tblLook w:val="0000" w:firstRow="0" w:lastRow="0" w:firstColumn="0" w:lastColumn="0" w:noHBand="0" w:noVBand="0"/>
      </w:tblPr>
      <w:tblGrid>
        <w:gridCol w:w="5093"/>
        <w:gridCol w:w="10"/>
        <w:gridCol w:w="1123"/>
        <w:gridCol w:w="11"/>
        <w:gridCol w:w="1128"/>
        <w:gridCol w:w="6"/>
        <w:gridCol w:w="1134"/>
        <w:gridCol w:w="1134"/>
        <w:gridCol w:w="6"/>
      </w:tblGrid>
      <w:tr w:rsidR="00897890" w:rsidRPr="00645124" w:rsidTr="00AC25A6">
        <w:trPr>
          <w:gridAfter w:val="1"/>
          <w:wAfter w:w="6" w:type="dxa"/>
          <w:tblHeader/>
        </w:trPr>
        <w:tc>
          <w:tcPr>
            <w:tcW w:w="5093" w:type="dxa"/>
            <w:tcBorders>
              <w:top w:val="nil"/>
              <w:left w:val="nil"/>
              <w:bottom w:val="nil"/>
              <w:right w:val="nil"/>
            </w:tcBorders>
            <w:shd w:val="solid" w:color="000000" w:fill="auto"/>
            <w:vAlign w:val="bottom"/>
          </w:tcPr>
          <w:p w:rsidR="00897890" w:rsidRPr="00645124" w:rsidRDefault="00897890"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2272" w:type="dxa"/>
            <w:gridSpan w:val="4"/>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State of Victoria</w:t>
            </w:r>
          </w:p>
        </w:tc>
        <w:tc>
          <w:tcPr>
            <w:tcW w:w="2274" w:type="dxa"/>
            <w:gridSpan w:val="3"/>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General </w:t>
            </w:r>
            <w:r w:rsidRPr="00645124">
              <w:rPr>
                <w:rFonts w:ascii="Calibri" w:eastAsiaTheme="minorEastAsia" w:hAnsi="Calibri" w:cs="Calibri"/>
                <w:i/>
                <w:iCs/>
                <w:color w:val="FFFFFF"/>
                <w:sz w:val="22"/>
                <w:szCs w:val="22"/>
                <w:lang w:eastAsia="en-AU"/>
              </w:rPr>
              <w:br/>
              <w:t>government sector</w:t>
            </w:r>
          </w:p>
        </w:tc>
      </w:tr>
      <w:tr w:rsidR="00BB67AF" w:rsidRPr="00645124" w:rsidTr="00AC25A6">
        <w:trPr>
          <w:gridAfter w:val="1"/>
          <w:wAfter w:w="6" w:type="dxa"/>
          <w:tblHeader/>
        </w:trPr>
        <w:tc>
          <w:tcPr>
            <w:tcW w:w="5093"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1133" w:type="dxa"/>
            <w:gridSpan w:val="2"/>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9" w:type="dxa"/>
            <w:gridSpan w:val="2"/>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2014</w:t>
            </w:r>
          </w:p>
        </w:tc>
        <w:tc>
          <w:tcPr>
            <w:tcW w:w="1140" w:type="dxa"/>
            <w:gridSpan w:val="2"/>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2014</w:t>
            </w:r>
          </w:p>
        </w:tc>
      </w:tr>
      <w:tr w:rsidR="00BB67AF" w:rsidRPr="00645124" w:rsidTr="003E6750">
        <w:tc>
          <w:tcPr>
            <w:tcW w:w="5093"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Current grant expense</w:t>
            </w:r>
          </w:p>
        </w:tc>
        <w:tc>
          <w:tcPr>
            <w:tcW w:w="113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9"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3E6750">
        <w:tc>
          <w:tcPr>
            <w:tcW w:w="5093"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Commonwealth government</w:t>
            </w:r>
          </w:p>
        </w:tc>
        <w:tc>
          <w:tcPr>
            <w:tcW w:w="113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177</w:t>
            </w:r>
          </w:p>
        </w:tc>
        <w:tc>
          <w:tcPr>
            <w:tcW w:w="1139"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105</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176</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104</w:t>
            </w:r>
          </w:p>
        </w:tc>
      </w:tr>
      <w:tr w:rsidR="00BB67AF" w:rsidRPr="00645124" w:rsidTr="003E6750">
        <w:tc>
          <w:tcPr>
            <w:tcW w:w="5093"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Local government (including grants for on</w:t>
            </w:r>
            <w:r w:rsidRPr="00645124">
              <w:rPr>
                <w:rFonts w:ascii="Calibri" w:eastAsiaTheme="minorEastAsia" w:hAnsi="Calibri" w:cs="Calibri"/>
                <w:color w:val="000000"/>
                <w:sz w:val="22"/>
                <w:szCs w:val="22"/>
                <w:lang w:eastAsia="en-AU"/>
              </w:rPr>
              <w:noBreakHyphen/>
              <w:t>passing)</w:t>
            </w:r>
          </w:p>
        </w:tc>
        <w:tc>
          <w:tcPr>
            <w:tcW w:w="113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267</w:t>
            </w:r>
          </w:p>
        </w:tc>
        <w:tc>
          <w:tcPr>
            <w:tcW w:w="1139"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432</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267</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432</w:t>
            </w:r>
          </w:p>
        </w:tc>
      </w:tr>
      <w:tr w:rsidR="00BB67AF" w:rsidRPr="00645124" w:rsidTr="003E6750">
        <w:tc>
          <w:tcPr>
            <w:tcW w:w="5093"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Private sector and not</w:t>
            </w:r>
            <w:r w:rsidRPr="00645124">
              <w:rPr>
                <w:rFonts w:ascii="Calibri" w:eastAsiaTheme="minorEastAsia" w:hAnsi="Calibri" w:cs="Calibri"/>
                <w:color w:val="000000"/>
                <w:sz w:val="22"/>
                <w:szCs w:val="22"/>
                <w:lang w:eastAsia="en-AU"/>
              </w:rPr>
              <w:noBreakHyphen/>
              <w:t>for</w:t>
            </w:r>
            <w:r w:rsidRPr="00645124">
              <w:rPr>
                <w:rFonts w:ascii="Calibri" w:eastAsiaTheme="minorEastAsia" w:hAnsi="Calibri" w:cs="Calibri"/>
                <w:color w:val="000000"/>
                <w:sz w:val="22"/>
                <w:szCs w:val="22"/>
                <w:lang w:eastAsia="en-AU"/>
              </w:rPr>
              <w:noBreakHyphen/>
              <w:t>profit on</w:t>
            </w:r>
            <w:r w:rsidRPr="00645124">
              <w:rPr>
                <w:rFonts w:ascii="Calibri" w:eastAsiaTheme="minorEastAsia" w:hAnsi="Calibri" w:cs="Calibri"/>
                <w:color w:val="000000"/>
                <w:sz w:val="22"/>
                <w:szCs w:val="22"/>
                <w:lang w:eastAsia="en-AU"/>
              </w:rPr>
              <w:noBreakHyphen/>
              <w:t>passing</w:t>
            </w:r>
          </w:p>
        </w:tc>
        <w:tc>
          <w:tcPr>
            <w:tcW w:w="113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1 362</w:t>
            </w:r>
          </w:p>
        </w:tc>
        <w:tc>
          <w:tcPr>
            <w:tcW w:w="1139"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1 310</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1 362</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1 310</w:t>
            </w:r>
          </w:p>
        </w:tc>
      </w:tr>
      <w:tr w:rsidR="00BB67AF" w:rsidRPr="00645124" w:rsidTr="003E6750">
        <w:tc>
          <w:tcPr>
            <w:tcW w:w="5093"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Other private sector and not</w:t>
            </w:r>
            <w:r w:rsidRPr="00645124">
              <w:rPr>
                <w:rFonts w:ascii="Calibri" w:eastAsiaTheme="minorEastAsia" w:hAnsi="Calibri" w:cs="Calibri"/>
                <w:color w:val="000000"/>
                <w:sz w:val="22"/>
                <w:szCs w:val="22"/>
                <w:lang w:eastAsia="en-AU"/>
              </w:rPr>
              <w:noBreakHyphen/>
              <w:t>for</w:t>
            </w:r>
            <w:r w:rsidRPr="00645124">
              <w:rPr>
                <w:rFonts w:ascii="Calibri" w:eastAsiaTheme="minorEastAsia" w:hAnsi="Calibri" w:cs="Calibri"/>
                <w:color w:val="000000"/>
                <w:sz w:val="22"/>
                <w:szCs w:val="22"/>
                <w:lang w:eastAsia="en-AU"/>
              </w:rPr>
              <w:noBreakHyphen/>
              <w:t>profit</w:t>
            </w:r>
          </w:p>
        </w:tc>
        <w:tc>
          <w:tcPr>
            <w:tcW w:w="113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868</w:t>
            </w:r>
          </w:p>
        </w:tc>
        <w:tc>
          <w:tcPr>
            <w:tcW w:w="1139"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791</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855</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779</w:t>
            </w:r>
          </w:p>
        </w:tc>
      </w:tr>
      <w:tr w:rsidR="00BB67AF" w:rsidRPr="00645124" w:rsidTr="003E6750">
        <w:tc>
          <w:tcPr>
            <w:tcW w:w="5093"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Grants within the Victorian government</w:t>
            </w:r>
          </w:p>
        </w:tc>
        <w:tc>
          <w:tcPr>
            <w:tcW w:w="113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9"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1 498</w:t>
            </w:r>
          </w:p>
        </w:tc>
        <w:tc>
          <w:tcPr>
            <w:tcW w:w="114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1 433</w:t>
            </w:r>
          </w:p>
        </w:tc>
      </w:tr>
      <w:tr w:rsidR="00BB67AF" w:rsidRPr="00645124" w:rsidTr="003E6750">
        <w:trPr>
          <w:trHeight w:val="202"/>
        </w:trPr>
        <w:tc>
          <w:tcPr>
            <w:tcW w:w="5093"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Grants to other state governments</w:t>
            </w:r>
          </w:p>
        </w:tc>
        <w:tc>
          <w:tcPr>
            <w:tcW w:w="1133"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w:t>
            </w:r>
          </w:p>
        </w:tc>
        <w:tc>
          <w:tcPr>
            <w:tcW w:w="1139"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w:t>
            </w:r>
          </w:p>
        </w:tc>
        <w:tc>
          <w:tcPr>
            <w:tcW w:w="1140"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w:t>
            </w:r>
          </w:p>
        </w:tc>
        <w:tc>
          <w:tcPr>
            <w:tcW w:w="1140"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w:t>
            </w:r>
          </w:p>
        </w:tc>
      </w:tr>
      <w:tr w:rsidR="00BB67AF" w:rsidRPr="00645124" w:rsidTr="003E6750">
        <w:trPr>
          <w:gridAfter w:val="1"/>
          <w:wAfter w:w="6" w:type="dxa"/>
        </w:trPr>
        <w:tc>
          <w:tcPr>
            <w:tcW w:w="5103" w:type="dxa"/>
            <w:gridSpan w:val="2"/>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current grant expense</w:t>
            </w:r>
          </w:p>
        </w:tc>
        <w:tc>
          <w:tcPr>
            <w:tcW w:w="1134" w:type="dxa"/>
            <w:gridSpan w:val="2"/>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2 681</w:t>
            </w:r>
          </w:p>
        </w:tc>
        <w:tc>
          <w:tcPr>
            <w:tcW w:w="1134" w:type="dxa"/>
            <w:gridSpan w:val="2"/>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2 639</w:t>
            </w:r>
          </w:p>
        </w:tc>
        <w:tc>
          <w:tcPr>
            <w:tcW w:w="113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4 165</w:t>
            </w:r>
          </w:p>
        </w:tc>
        <w:tc>
          <w:tcPr>
            <w:tcW w:w="113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4 058</w:t>
            </w:r>
          </w:p>
        </w:tc>
      </w:tr>
      <w:tr w:rsidR="00BB67AF" w:rsidRPr="00645124" w:rsidTr="003E6750">
        <w:trPr>
          <w:gridAfter w:val="1"/>
          <w:wAfter w:w="6" w:type="dxa"/>
        </w:trPr>
        <w:tc>
          <w:tcPr>
            <w:tcW w:w="5103" w:type="dxa"/>
            <w:gridSpan w:val="2"/>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Capital grant expense</w:t>
            </w:r>
          </w:p>
        </w:tc>
        <w:tc>
          <w:tcPr>
            <w:tcW w:w="1134" w:type="dxa"/>
            <w:gridSpan w:val="2"/>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gridSpan w:val="2"/>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3E6750">
        <w:trPr>
          <w:gridAfter w:val="1"/>
          <w:wAfter w:w="6" w:type="dxa"/>
        </w:trPr>
        <w:tc>
          <w:tcPr>
            <w:tcW w:w="510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Commonwealth Government</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r>
      <w:tr w:rsidR="00BB67AF" w:rsidRPr="00645124" w:rsidTr="003E6750">
        <w:trPr>
          <w:gridAfter w:val="1"/>
          <w:wAfter w:w="6" w:type="dxa"/>
        </w:trPr>
        <w:tc>
          <w:tcPr>
            <w:tcW w:w="510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Local government (including grants for on</w:t>
            </w:r>
            <w:r w:rsidRPr="00645124">
              <w:rPr>
                <w:rFonts w:ascii="Calibri" w:eastAsiaTheme="minorEastAsia" w:hAnsi="Calibri" w:cs="Calibri"/>
                <w:color w:val="000000"/>
                <w:sz w:val="22"/>
                <w:szCs w:val="22"/>
                <w:lang w:eastAsia="en-AU"/>
              </w:rPr>
              <w:noBreakHyphen/>
              <w:t>passing)</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13</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13</w:t>
            </w:r>
          </w:p>
        </w:tc>
      </w:tr>
      <w:tr w:rsidR="00BB67AF" w:rsidRPr="00645124" w:rsidTr="003E6750">
        <w:trPr>
          <w:gridAfter w:val="1"/>
          <w:wAfter w:w="6" w:type="dxa"/>
        </w:trPr>
        <w:tc>
          <w:tcPr>
            <w:tcW w:w="510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Private sector and not</w:t>
            </w:r>
            <w:r w:rsidRPr="00645124">
              <w:rPr>
                <w:rFonts w:ascii="Calibri" w:eastAsiaTheme="minorEastAsia" w:hAnsi="Calibri" w:cs="Calibri"/>
                <w:color w:val="000000"/>
                <w:sz w:val="22"/>
                <w:szCs w:val="22"/>
                <w:lang w:eastAsia="en-AU"/>
              </w:rPr>
              <w:noBreakHyphen/>
              <w:t>for</w:t>
            </w:r>
            <w:r w:rsidRPr="00645124">
              <w:rPr>
                <w:rFonts w:ascii="Calibri" w:eastAsiaTheme="minorEastAsia" w:hAnsi="Calibri" w:cs="Calibri"/>
                <w:color w:val="000000"/>
                <w:sz w:val="22"/>
                <w:szCs w:val="22"/>
                <w:lang w:eastAsia="en-AU"/>
              </w:rPr>
              <w:noBreakHyphen/>
              <w:t>profit on</w:t>
            </w:r>
            <w:r w:rsidRPr="00645124">
              <w:rPr>
                <w:rFonts w:ascii="Calibri" w:eastAsiaTheme="minorEastAsia" w:hAnsi="Calibri" w:cs="Calibri"/>
                <w:color w:val="000000"/>
                <w:sz w:val="22"/>
                <w:szCs w:val="22"/>
                <w:lang w:eastAsia="en-AU"/>
              </w:rPr>
              <w:noBreakHyphen/>
              <w:t>passing</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150</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57</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150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53</w:t>
            </w:r>
          </w:p>
        </w:tc>
      </w:tr>
      <w:tr w:rsidR="00BB67AF" w:rsidRPr="00645124" w:rsidTr="003E6750">
        <w:trPr>
          <w:gridAfter w:val="1"/>
          <w:wAfter w:w="6" w:type="dxa"/>
        </w:trPr>
        <w:tc>
          <w:tcPr>
            <w:tcW w:w="510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Other private sector and not</w:t>
            </w:r>
            <w:r w:rsidRPr="00645124">
              <w:rPr>
                <w:rFonts w:ascii="Calibri" w:eastAsiaTheme="minorEastAsia" w:hAnsi="Calibri" w:cs="Calibri"/>
                <w:color w:val="000000"/>
                <w:sz w:val="22"/>
                <w:szCs w:val="22"/>
                <w:lang w:eastAsia="en-AU"/>
              </w:rPr>
              <w:noBreakHyphen/>
              <w:t>for</w:t>
            </w:r>
            <w:r w:rsidRPr="00645124">
              <w:rPr>
                <w:rFonts w:ascii="Calibri" w:eastAsiaTheme="minorEastAsia" w:hAnsi="Calibri" w:cs="Calibri"/>
                <w:color w:val="000000"/>
                <w:sz w:val="22"/>
                <w:szCs w:val="22"/>
                <w:lang w:eastAsia="en-AU"/>
              </w:rPr>
              <w:noBreakHyphen/>
              <w:t>profit</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3E6750">
        <w:trPr>
          <w:gridAfter w:val="1"/>
          <w:wAfter w:w="6" w:type="dxa"/>
        </w:trPr>
        <w:tc>
          <w:tcPr>
            <w:tcW w:w="5103"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Grants within the Victorian government</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3E6750">
        <w:trPr>
          <w:gridAfter w:val="1"/>
          <w:wAfter w:w="6" w:type="dxa"/>
        </w:trPr>
        <w:tc>
          <w:tcPr>
            <w:tcW w:w="5103"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Other grants</w:t>
            </w:r>
          </w:p>
        </w:tc>
        <w:tc>
          <w:tcPr>
            <w:tcW w:w="1134"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10</w:t>
            </w:r>
          </w:p>
        </w:tc>
        <w:tc>
          <w:tcPr>
            <w:tcW w:w="1134"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12</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w:t>
            </w:r>
          </w:p>
        </w:tc>
      </w:tr>
      <w:tr w:rsidR="00BB67AF" w:rsidRPr="00645124" w:rsidTr="003E6750">
        <w:trPr>
          <w:gridAfter w:val="1"/>
          <w:wAfter w:w="6" w:type="dxa"/>
        </w:trPr>
        <w:tc>
          <w:tcPr>
            <w:tcW w:w="5103" w:type="dxa"/>
            <w:gridSpan w:val="2"/>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capital grant expense</w:t>
            </w:r>
          </w:p>
        </w:tc>
        <w:tc>
          <w:tcPr>
            <w:tcW w:w="1134" w:type="dxa"/>
            <w:gridSpan w:val="2"/>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160</w:t>
            </w:r>
          </w:p>
        </w:tc>
        <w:tc>
          <w:tcPr>
            <w:tcW w:w="1134" w:type="dxa"/>
            <w:gridSpan w:val="2"/>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82</w:t>
            </w:r>
          </w:p>
        </w:tc>
        <w:tc>
          <w:tcPr>
            <w:tcW w:w="113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151</w:t>
            </w:r>
          </w:p>
        </w:tc>
        <w:tc>
          <w:tcPr>
            <w:tcW w:w="113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72</w:t>
            </w:r>
          </w:p>
        </w:tc>
      </w:tr>
      <w:tr w:rsidR="00BB67AF" w:rsidRPr="00645124" w:rsidTr="003E6750">
        <w:trPr>
          <w:gridAfter w:val="1"/>
          <w:wAfter w:w="6" w:type="dxa"/>
        </w:trPr>
        <w:tc>
          <w:tcPr>
            <w:tcW w:w="5103" w:type="dxa"/>
            <w:gridSpan w:val="2"/>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grant expense</w:t>
            </w:r>
          </w:p>
        </w:tc>
        <w:tc>
          <w:tcPr>
            <w:tcW w:w="1134" w:type="dxa"/>
            <w:gridSpan w:val="2"/>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2 841</w:t>
            </w:r>
          </w:p>
        </w:tc>
        <w:tc>
          <w:tcPr>
            <w:tcW w:w="1134" w:type="dxa"/>
            <w:gridSpan w:val="2"/>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2 721</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4 315</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4 130</w:t>
            </w:r>
          </w:p>
        </w:tc>
      </w:tr>
    </w:tbl>
    <w:p w:rsidR="00BB67AF" w:rsidRDefault="00BB67AF" w:rsidP="003E6750"/>
    <w:p w:rsidR="00BB67AF" w:rsidRDefault="00BB67AF" w:rsidP="003E6750"/>
    <w:p w:rsidR="00BB67AF" w:rsidRDefault="00BB67AF" w:rsidP="003E6750">
      <w:pPr>
        <w:pStyle w:val="Heading2Notes"/>
      </w:pPr>
      <w:bookmarkStart w:id="21" w:name="_Toc445283170"/>
      <w:r w:rsidRPr="00326708">
        <w:t xml:space="preserve">Note 12: </w:t>
      </w:r>
      <w:r w:rsidRPr="00326708">
        <w:tab/>
        <w:t>Other operating expenses</w:t>
      </w:r>
      <w:bookmarkEnd w:id="21"/>
    </w:p>
    <w:p w:rsidR="00BB67AF" w:rsidRPr="004D1572" w:rsidRDefault="00BB67AF" w:rsidP="003E6750">
      <w:pPr>
        <w:pStyle w:val="million"/>
        <w:rPr>
          <w:b/>
          <w:bCs/>
          <w:lang w:val="en-US"/>
        </w:rPr>
      </w:pPr>
      <w:r>
        <w:t>($ million)</w:t>
      </w:r>
    </w:p>
    <w:tbl>
      <w:tblPr>
        <w:tblW w:w="9645" w:type="dxa"/>
        <w:tblInd w:w="45" w:type="dxa"/>
        <w:tblLayout w:type="fixed"/>
        <w:tblCellMar>
          <w:left w:w="45" w:type="dxa"/>
          <w:right w:w="45" w:type="dxa"/>
        </w:tblCellMar>
        <w:tblLook w:val="0000" w:firstRow="0" w:lastRow="0" w:firstColumn="0" w:lastColumn="0" w:noHBand="0" w:noVBand="0"/>
      </w:tblPr>
      <w:tblGrid>
        <w:gridCol w:w="5090"/>
        <w:gridCol w:w="1134"/>
        <w:gridCol w:w="1140"/>
        <w:gridCol w:w="1140"/>
        <w:gridCol w:w="1135"/>
        <w:gridCol w:w="6"/>
      </w:tblGrid>
      <w:tr w:rsidR="00897890" w:rsidRPr="00645124" w:rsidTr="00AC25A6">
        <w:trPr>
          <w:gridAfter w:val="1"/>
          <w:wAfter w:w="6" w:type="dxa"/>
          <w:tblHeader/>
        </w:trPr>
        <w:tc>
          <w:tcPr>
            <w:tcW w:w="5090" w:type="dxa"/>
            <w:tcBorders>
              <w:top w:val="nil"/>
              <w:left w:val="nil"/>
              <w:bottom w:val="nil"/>
              <w:right w:val="nil"/>
            </w:tcBorders>
            <w:shd w:val="solid" w:color="000000" w:fill="auto"/>
            <w:vAlign w:val="bottom"/>
          </w:tcPr>
          <w:p w:rsidR="00897890" w:rsidRPr="00645124" w:rsidRDefault="00897890"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2274" w:type="dxa"/>
            <w:gridSpan w:val="2"/>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State of Victoria</w:t>
            </w:r>
          </w:p>
        </w:tc>
        <w:tc>
          <w:tcPr>
            <w:tcW w:w="2275" w:type="dxa"/>
            <w:gridSpan w:val="2"/>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General </w:t>
            </w:r>
            <w:r w:rsidRPr="00645124">
              <w:rPr>
                <w:rFonts w:ascii="Calibri" w:eastAsiaTheme="minorEastAsia" w:hAnsi="Calibri" w:cs="Calibri"/>
                <w:i/>
                <w:iCs/>
                <w:color w:val="FFFFFF"/>
                <w:sz w:val="22"/>
                <w:szCs w:val="22"/>
                <w:lang w:eastAsia="en-AU"/>
              </w:rPr>
              <w:br/>
              <w:t>government sector</w:t>
            </w:r>
          </w:p>
        </w:tc>
      </w:tr>
      <w:tr w:rsidR="00BB67AF" w:rsidRPr="00645124" w:rsidTr="00AC25A6">
        <w:trPr>
          <w:gridAfter w:val="1"/>
          <w:wAfter w:w="6" w:type="dxa"/>
          <w:tblHeader/>
        </w:trPr>
        <w:tc>
          <w:tcPr>
            <w:tcW w:w="5090"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113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40"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2014</w:t>
            </w:r>
          </w:p>
        </w:tc>
        <w:tc>
          <w:tcPr>
            <w:tcW w:w="1140"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5"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2014</w:t>
            </w:r>
          </w:p>
        </w:tc>
      </w:tr>
      <w:tr w:rsidR="00BB67AF" w:rsidRPr="00645124" w:rsidTr="00897890">
        <w:tc>
          <w:tcPr>
            <w:tcW w:w="509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 xml:space="preserve">Purchase of supplies and consumables </w:t>
            </w:r>
            <w:r w:rsidRPr="00645124">
              <w:rPr>
                <w:rFonts w:ascii="Calibri" w:eastAsiaTheme="minorEastAsia" w:hAnsi="Calibri" w:cs="Calibri"/>
                <w:color w:val="000000"/>
                <w:sz w:val="22"/>
                <w:szCs w:val="22"/>
                <w:vertAlign w:val="superscript"/>
                <w:lang w:eastAsia="en-AU"/>
              </w:rPr>
              <w:t>(a)</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3 956</w:t>
            </w:r>
          </w:p>
        </w:tc>
        <w:tc>
          <w:tcPr>
            <w:tcW w:w="114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3 904</w:t>
            </w:r>
          </w:p>
        </w:tc>
        <w:tc>
          <w:tcPr>
            <w:tcW w:w="114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3 393</w:t>
            </w:r>
          </w:p>
        </w:tc>
        <w:tc>
          <w:tcPr>
            <w:tcW w:w="1141"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3 418</w:t>
            </w:r>
          </w:p>
        </w:tc>
      </w:tr>
      <w:tr w:rsidR="00BB67AF" w:rsidRPr="00645124" w:rsidTr="00897890">
        <w:tc>
          <w:tcPr>
            <w:tcW w:w="509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Cost of goods sold</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95</w:t>
            </w:r>
          </w:p>
        </w:tc>
        <w:tc>
          <w:tcPr>
            <w:tcW w:w="114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216</w:t>
            </w:r>
          </w:p>
        </w:tc>
        <w:tc>
          <w:tcPr>
            <w:tcW w:w="114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16</w:t>
            </w:r>
          </w:p>
        </w:tc>
        <w:tc>
          <w:tcPr>
            <w:tcW w:w="1141"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114</w:t>
            </w:r>
          </w:p>
        </w:tc>
      </w:tr>
      <w:tr w:rsidR="00BB67AF" w:rsidRPr="00645124" w:rsidTr="00897890">
        <w:tc>
          <w:tcPr>
            <w:tcW w:w="509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Finance expenses and fees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219</w:t>
            </w:r>
          </w:p>
        </w:tc>
        <w:tc>
          <w:tcPr>
            <w:tcW w:w="114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204</w:t>
            </w:r>
          </w:p>
        </w:tc>
        <w:tc>
          <w:tcPr>
            <w:tcW w:w="114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17</w:t>
            </w:r>
          </w:p>
        </w:tc>
        <w:tc>
          <w:tcPr>
            <w:tcW w:w="1141"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13</w:t>
            </w:r>
          </w:p>
        </w:tc>
      </w:tr>
      <w:tr w:rsidR="00BB67AF" w:rsidRPr="00645124" w:rsidTr="00897890">
        <w:tc>
          <w:tcPr>
            <w:tcW w:w="509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Purchase of services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4 442</w:t>
            </w:r>
          </w:p>
        </w:tc>
        <w:tc>
          <w:tcPr>
            <w:tcW w:w="114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4 308</w:t>
            </w:r>
          </w:p>
        </w:tc>
        <w:tc>
          <w:tcPr>
            <w:tcW w:w="114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4 075</w:t>
            </w:r>
          </w:p>
        </w:tc>
        <w:tc>
          <w:tcPr>
            <w:tcW w:w="1141"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3 957</w:t>
            </w:r>
          </w:p>
        </w:tc>
      </w:tr>
      <w:tr w:rsidR="00BB67AF" w:rsidRPr="00645124" w:rsidTr="00897890">
        <w:tc>
          <w:tcPr>
            <w:tcW w:w="509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Insurance claims expense</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2 375</w:t>
            </w:r>
          </w:p>
        </w:tc>
        <w:tc>
          <w:tcPr>
            <w:tcW w:w="114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2 284</w:t>
            </w:r>
          </w:p>
        </w:tc>
        <w:tc>
          <w:tcPr>
            <w:tcW w:w="114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70</w:t>
            </w:r>
          </w:p>
        </w:tc>
        <w:tc>
          <w:tcPr>
            <w:tcW w:w="1141"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11</w:t>
            </w:r>
          </w:p>
        </w:tc>
      </w:tr>
      <w:tr w:rsidR="00BB67AF" w:rsidRPr="00645124" w:rsidTr="00897890">
        <w:tc>
          <w:tcPr>
            <w:tcW w:w="509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 xml:space="preserve">Maintenance </w:t>
            </w:r>
            <w:r w:rsidRPr="00645124">
              <w:rPr>
                <w:rFonts w:ascii="Calibri" w:eastAsiaTheme="minorEastAsia" w:hAnsi="Calibri" w:cs="Calibri"/>
                <w:color w:val="000000"/>
                <w:sz w:val="22"/>
                <w:szCs w:val="22"/>
                <w:vertAlign w:val="superscript"/>
                <w:lang w:eastAsia="en-AU"/>
              </w:rPr>
              <w:t>(a)</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587</w:t>
            </w:r>
          </w:p>
        </w:tc>
        <w:tc>
          <w:tcPr>
            <w:tcW w:w="114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602</w:t>
            </w:r>
          </w:p>
        </w:tc>
        <w:tc>
          <w:tcPr>
            <w:tcW w:w="114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328</w:t>
            </w:r>
          </w:p>
        </w:tc>
        <w:tc>
          <w:tcPr>
            <w:tcW w:w="1141"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332</w:t>
            </w:r>
          </w:p>
        </w:tc>
      </w:tr>
      <w:tr w:rsidR="00BB67AF" w:rsidRPr="00645124" w:rsidTr="00897890">
        <w:tc>
          <w:tcPr>
            <w:tcW w:w="509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Operating lease payments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206</w:t>
            </w:r>
          </w:p>
        </w:tc>
        <w:tc>
          <w:tcPr>
            <w:tcW w:w="114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181</w:t>
            </w:r>
          </w:p>
        </w:tc>
        <w:tc>
          <w:tcPr>
            <w:tcW w:w="114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171</w:t>
            </w:r>
          </w:p>
        </w:tc>
        <w:tc>
          <w:tcPr>
            <w:tcW w:w="1141"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144</w:t>
            </w:r>
          </w:p>
        </w:tc>
      </w:tr>
      <w:tr w:rsidR="00BB67AF" w:rsidRPr="00645124" w:rsidTr="00897890">
        <w:tc>
          <w:tcPr>
            <w:tcW w:w="5090"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Other</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387</w:t>
            </w:r>
          </w:p>
        </w:tc>
        <w:tc>
          <w:tcPr>
            <w:tcW w:w="1140"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390</w:t>
            </w:r>
          </w:p>
        </w:tc>
        <w:tc>
          <w:tcPr>
            <w:tcW w:w="1140"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387</w:t>
            </w:r>
          </w:p>
        </w:tc>
        <w:tc>
          <w:tcPr>
            <w:tcW w:w="1141"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351</w:t>
            </w:r>
          </w:p>
        </w:tc>
      </w:tr>
      <w:tr w:rsidR="00BB67AF" w:rsidRPr="00645124" w:rsidTr="00897890">
        <w:tc>
          <w:tcPr>
            <w:tcW w:w="5090"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vertAlign w:val="superscript"/>
                <w:lang w:eastAsia="en-AU"/>
              </w:rPr>
            </w:pPr>
            <w:r w:rsidRPr="00645124">
              <w:rPr>
                <w:rFonts w:ascii="Calibri" w:eastAsiaTheme="minorEastAsia" w:hAnsi="Calibri" w:cs="Calibri"/>
                <w:b/>
                <w:bCs/>
                <w:color w:val="000000"/>
                <w:sz w:val="22"/>
                <w:szCs w:val="22"/>
                <w:lang w:eastAsia="en-AU"/>
              </w:rPr>
              <w:t xml:space="preserve">Total other operating expenses </w:t>
            </w:r>
            <w:r w:rsidRPr="00645124">
              <w:rPr>
                <w:rFonts w:ascii="Calibri" w:eastAsiaTheme="minorEastAsia" w:hAnsi="Calibri" w:cs="Calibri"/>
                <w:b/>
                <w:bCs/>
                <w:color w:val="000000"/>
                <w:sz w:val="22"/>
                <w:szCs w:val="22"/>
                <w:vertAlign w:val="superscript"/>
                <w:lang w:eastAsia="en-AU"/>
              </w:rPr>
              <w:t>(a)</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12 267</w:t>
            </w:r>
          </w:p>
        </w:tc>
        <w:tc>
          <w:tcPr>
            <w:tcW w:w="1140"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12 090</w:t>
            </w:r>
          </w:p>
        </w:tc>
        <w:tc>
          <w:tcPr>
            <w:tcW w:w="1140"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8 457</w:t>
            </w:r>
          </w:p>
        </w:tc>
        <w:tc>
          <w:tcPr>
            <w:tcW w:w="1141" w:type="dxa"/>
            <w:gridSpan w:val="2"/>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8 340</w:t>
            </w:r>
          </w:p>
        </w:tc>
      </w:tr>
    </w:tbl>
    <w:p w:rsidR="00BB67AF" w:rsidRDefault="00BB67AF" w:rsidP="003E6750">
      <w:pPr>
        <w:pStyle w:val="Notes"/>
      </w:pPr>
      <w:r>
        <w:t>Note:</w:t>
      </w:r>
    </w:p>
    <w:p w:rsidR="00BB67AF" w:rsidRPr="00717E8D" w:rsidRDefault="00BB67AF" w:rsidP="003E6750">
      <w:pPr>
        <w:pStyle w:val="Notes"/>
      </w:pPr>
      <w:r>
        <w:t>(a)</w:t>
      </w:r>
      <w:r>
        <w:tab/>
        <w:t xml:space="preserve">The December 2014 comparative figures have been restated to reflect more current information, mainly including adjustments outlined in Note 37 of the </w:t>
      </w:r>
      <w:r>
        <w:rPr>
          <w:i w:val="0"/>
        </w:rPr>
        <w:t>2014</w:t>
      </w:r>
      <w:r>
        <w:rPr>
          <w:i w:val="0"/>
        </w:rPr>
        <w:noBreakHyphen/>
        <w:t>15 Financial Report</w:t>
      </w:r>
      <w:r>
        <w:t>.</w:t>
      </w:r>
    </w:p>
    <w:p w:rsidR="00BB67AF" w:rsidRDefault="00BB67AF" w:rsidP="003E6750">
      <w:pPr>
        <w:pStyle w:val="Notes"/>
      </w:pPr>
    </w:p>
    <w:p w:rsidR="00BB67AF" w:rsidRDefault="00BB67AF" w:rsidP="003E6750"/>
    <w:p w:rsidR="00BB67AF" w:rsidRDefault="00BB67AF">
      <w:pPr>
        <w:spacing w:after="0"/>
      </w:pPr>
      <w:r>
        <w:br w:type="page"/>
      </w:r>
    </w:p>
    <w:p w:rsidR="00BB67AF" w:rsidRDefault="00BB67AF" w:rsidP="003E6750">
      <w:pPr>
        <w:pStyle w:val="Heading2Notes"/>
      </w:pPr>
      <w:bookmarkStart w:id="22" w:name="_Toc445283171"/>
      <w:r>
        <w:lastRenderedPageBreak/>
        <w:t xml:space="preserve">Note 13: </w:t>
      </w:r>
      <w:r>
        <w:tab/>
        <w:t>Total expenses by government purpose and by department</w:t>
      </w:r>
      <w:bookmarkEnd w:id="22"/>
    </w:p>
    <w:p w:rsidR="00BB67AF" w:rsidRDefault="00BB67AF" w:rsidP="003E6750">
      <w:pPr>
        <w:pStyle w:val="Tableheading"/>
      </w:pPr>
      <w:r>
        <w:t>(a)</w:t>
      </w:r>
      <w:r>
        <w:tab/>
        <w:t>Expenses by government purpose classification</w:t>
      </w:r>
      <w:r w:rsidRPr="00DA5436">
        <w:rPr>
          <w:vertAlign w:val="superscript"/>
        </w:rPr>
        <w:t>(a)</w:t>
      </w:r>
    </w:p>
    <w:p w:rsidR="00BB67AF" w:rsidRPr="00D838D9" w:rsidRDefault="00BB67AF" w:rsidP="003E6750">
      <w:pPr>
        <w:pStyle w:val="million"/>
        <w:rPr>
          <w:b/>
          <w:bCs/>
          <w:lang w:val="en-US"/>
        </w:rPr>
      </w:pPr>
      <w:r>
        <w:t>($ million)</w:t>
      </w:r>
    </w:p>
    <w:tbl>
      <w:tblPr>
        <w:tblW w:w="9638" w:type="dxa"/>
        <w:tblInd w:w="45" w:type="dxa"/>
        <w:tblLayout w:type="fixed"/>
        <w:tblCellMar>
          <w:left w:w="45" w:type="dxa"/>
          <w:right w:w="45" w:type="dxa"/>
        </w:tblCellMar>
        <w:tblLook w:val="0000" w:firstRow="0" w:lastRow="0" w:firstColumn="0" w:lastColumn="0" w:noHBand="0" w:noVBand="0"/>
      </w:tblPr>
      <w:tblGrid>
        <w:gridCol w:w="5244"/>
        <w:gridCol w:w="992"/>
        <w:gridCol w:w="1134"/>
        <w:gridCol w:w="1134"/>
        <w:gridCol w:w="1134"/>
      </w:tblGrid>
      <w:tr w:rsidR="00897890" w:rsidRPr="00645124" w:rsidTr="00897890">
        <w:trPr>
          <w:tblHeader/>
        </w:trPr>
        <w:tc>
          <w:tcPr>
            <w:tcW w:w="5244" w:type="dxa"/>
            <w:tcBorders>
              <w:top w:val="nil"/>
              <w:left w:val="nil"/>
              <w:bottom w:val="nil"/>
              <w:right w:val="nil"/>
            </w:tcBorders>
            <w:shd w:val="solid" w:color="000000" w:fill="auto"/>
            <w:vAlign w:val="bottom"/>
          </w:tcPr>
          <w:p w:rsidR="00897890" w:rsidRPr="00645124" w:rsidRDefault="00897890"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2126" w:type="dxa"/>
            <w:gridSpan w:val="2"/>
            <w:tcBorders>
              <w:top w:val="nil"/>
              <w:left w:val="nil"/>
              <w:bottom w:val="nil"/>
              <w:right w:val="nil"/>
            </w:tcBorders>
            <w:shd w:val="solid" w:color="000000" w:fill="auto"/>
            <w:vAlign w:val="bottom"/>
          </w:tcPr>
          <w:p w:rsidR="00897890" w:rsidRPr="00645124" w:rsidRDefault="00897890" w:rsidP="003E675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State of Victoria</w:t>
            </w:r>
          </w:p>
        </w:tc>
        <w:tc>
          <w:tcPr>
            <w:tcW w:w="2268" w:type="dxa"/>
            <w:gridSpan w:val="2"/>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General </w:t>
            </w:r>
            <w:r w:rsidRPr="00645124">
              <w:rPr>
                <w:rFonts w:ascii="Calibri" w:eastAsiaTheme="minorEastAsia" w:hAnsi="Calibri" w:cs="Calibri"/>
                <w:i/>
                <w:iCs/>
                <w:color w:val="FFFFFF"/>
                <w:sz w:val="22"/>
                <w:szCs w:val="22"/>
                <w:lang w:eastAsia="en-AU"/>
              </w:rPr>
              <w:br/>
              <w:t>government sector</w:t>
            </w:r>
          </w:p>
        </w:tc>
      </w:tr>
      <w:tr w:rsidR="00BB67AF" w:rsidRPr="00645124" w:rsidTr="003E6750">
        <w:trPr>
          <w:tblHeader/>
        </w:trPr>
        <w:tc>
          <w:tcPr>
            <w:tcW w:w="524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992"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2014</w:t>
            </w:r>
          </w:p>
        </w:tc>
        <w:tc>
          <w:tcPr>
            <w:tcW w:w="113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2014</w:t>
            </w:r>
          </w:p>
        </w:tc>
      </w:tr>
      <w:tr w:rsidR="00BB67AF" w:rsidRPr="00645124" w:rsidTr="003E6750">
        <w:tc>
          <w:tcPr>
            <w:tcW w:w="524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 xml:space="preserve">General public services </w:t>
            </w:r>
            <w:r w:rsidRPr="00645124">
              <w:rPr>
                <w:rFonts w:ascii="Calibri" w:eastAsiaTheme="minorEastAsia" w:hAnsi="Calibri" w:cs="Calibri"/>
                <w:color w:val="000000"/>
                <w:sz w:val="22"/>
                <w:szCs w:val="22"/>
                <w:vertAlign w:val="superscript"/>
                <w:lang w:eastAsia="en-AU"/>
              </w:rPr>
              <w:t>(b)</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2 662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2 420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955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876</w:t>
            </w:r>
          </w:p>
        </w:tc>
      </w:tr>
      <w:tr w:rsidR="00BB67AF" w:rsidRPr="00645124" w:rsidTr="003E6750">
        <w:tc>
          <w:tcPr>
            <w:tcW w:w="524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Public order and safety</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2 938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2 746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2 997</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2 797</w:t>
            </w:r>
          </w:p>
        </w:tc>
      </w:tr>
      <w:tr w:rsidR="00BB67AF" w:rsidRPr="00645124" w:rsidTr="003E6750">
        <w:tc>
          <w:tcPr>
            <w:tcW w:w="524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 xml:space="preserve">Education </w:t>
            </w:r>
            <w:r w:rsidRPr="00645124">
              <w:rPr>
                <w:rFonts w:ascii="Calibri" w:eastAsiaTheme="minorEastAsia" w:hAnsi="Calibri" w:cs="Calibri"/>
                <w:color w:val="000000"/>
                <w:sz w:val="22"/>
                <w:szCs w:val="22"/>
                <w:vertAlign w:val="superscript"/>
                <w:lang w:eastAsia="en-AU"/>
              </w:rPr>
              <w:t>(b)</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6 789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6 498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6 822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6 531</w:t>
            </w:r>
          </w:p>
        </w:tc>
      </w:tr>
      <w:tr w:rsidR="00BB67AF" w:rsidRPr="00645124" w:rsidTr="003E6750">
        <w:tc>
          <w:tcPr>
            <w:tcW w:w="524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Health</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7 518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7 171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7 582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7 228</w:t>
            </w:r>
          </w:p>
        </w:tc>
      </w:tr>
      <w:tr w:rsidR="00BB67AF" w:rsidRPr="00645124" w:rsidTr="003E6750">
        <w:tc>
          <w:tcPr>
            <w:tcW w:w="524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Social security and welfare</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2 041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1 910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2 055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1 923</w:t>
            </w:r>
          </w:p>
        </w:tc>
      </w:tr>
      <w:tr w:rsidR="00BB67AF" w:rsidRPr="00645124" w:rsidTr="003E6750">
        <w:tc>
          <w:tcPr>
            <w:tcW w:w="524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 xml:space="preserve">Housing and community amenities </w:t>
            </w:r>
            <w:r w:rsidRPr="00645124">
              <w:rPr>
                <w:rFonts w:ascii="Calibri" w:eastAsiaTheme="minorEastAsia" w:hAnsi="Calibri" w:cs="Calibri"/>
                <w:color w:val="000000"/>
                <w:sz w:val="22"/>
                <w:szCs w:val="22"/>
                <w:vertAlign w:val="superscript"/>
                <w:lang w:eastAsia="en-AU"/>
              </w:rPr>
              <w:t>(b)</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2 792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2 902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1 236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1 344</w:t>
            </w:r>
          </w:p>
        </w:tc>
      </w:tr>
      <w:tr w:rsidR="00BB67AF" w:rsidRPr="00645124" w:rsidTr="003E6750">
        <w:tc>
          <w:tcPr>
            <w:tcW w:w="524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Recreation and culture</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712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672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372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335</w:t>
            </w:r>
          </w:p>
        </w:tc>
      </w:tr>
      <w:tr w:rsidR="00BB67AF" w:rsidRPr="00645124" w:rsidTr="003E6750">
        <w:tc>
          <w:tcPr>
            <w:tcW w:w="524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Fuel and energy</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77</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59</w:t>
            </w:r>
          </w:p>
        </w:tc>
      </w:tr>
      <w:tr w:rsidR="00BB67AF" w:rsidRPr="00645124" w:rsidTr="003E6750">
        <w:tc>
          <w:tcPr>
            <w:tcW w:w="524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Agriculture, forestry, fishing and hunting </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213</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245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166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199</w:t>
            </w:r>
          </w:p>
        </w:tc>
      </w:tr>
      <w:tr w:rsidR="00BB67AF" w:rsidRPr="00645124" w:rsidTr="003E6750">
        <w:tc>
          <w:tcPr>
            <w:tcW w:w="524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 xml:space="preserve">Transport and communications </w:t>
            </w:r>
            <w:r w:rsidRPr="00645124">
              <w:rPr>
                <w:rFonts w:ascii="Calibri" w:eastAsiaTheme="minorEastAsia" w:hAnsi="Calibri" w:cs="Calibri"/>
                <w:color w:val="000000"/>
                <w:sz w:val="22"/>
                <w:szCs w:val="22"/>
                <w:vertAlign w:val="superscript"/>
                <w:lang w:eastAsia="en-AU"/>
              </w:rPr>
              <w:t>(b)</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2 705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2 615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3 004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2 931</w:t>
            </w:r>
          </w:p>
        </w:tc>
      </w:tr>
      <w:tr w:rsidR="00BB67AF" w:rsidRPr="00645124" w:rsidTr="003E6750">
        <w:tc>
          <w:tcPr>
            <w:tcW w:w="5244"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Other economic affairs</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345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581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418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661</w:t>
            </w:r>
          </w:p>
        </w:tc>
      </w:tr>
      <w:tr w:rsidR="00BB67AF" w:rsidRPr="00645124" w:rsidTr="003E6750">
        <w:tc>
          <w:tcPr>
            <w:tcW w:w="524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 xml:space="preserve">Other purpose </w:t>
            </w:r>
            <w:r w:rsidRPr="00645124">
              <w:rPr>
                <w:rFonts w:ascii="Calibri" w:eastAsiaTheme="minorEastAsia" w:hAnsi="Calibri" w:cs="Calibri"/>
                <w:color w:val="000000"/>
                <w:sz w:val="22"/>
                <w:szCs w:val="22"/>
                <w:vertAlign w:val="superscript"/>
                <w:lang w:eastAsia="en-AU"/>
              </w:rPr>
              <w:t>(b)</w:t>
            </w:r>
          </w:p>
        </w:tc>
        <w:tc>
          <w:tcPr>
            <w:tcW w:w="992"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1 919</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2 020</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692</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697</w:t>
            </w:r>
          </w:p>
        </w:tc>
      </w:tr>
      <w:tr w:rsidR="00BB67AF" w:rsidRPr="00645124" w:rsidTr="003E6750">
        <w:tc>
          <w:tcPr>
            <w:tcW w:w="5244"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color w:val="000000"/>
                <w:sz w:val="22"/>
                <w:szCs w:val="22"/>
                <w:vertAlign w:val="superscript"/>
                <w:lang w:eastAsia="en-AU"/>
              </w:rPr>
            </w:pPr>
            <w:r w:rsidRPr="00645124">
              <w:rPr>
                <w:rFonts w:ascii="Calibri" w:eastAsiaTheme="minorEastAsia" w:hAnsi="Calibri" w:cs="Calibri"/>
                <w:b/>
                <w:bCs/>
                <w:color w:val="000000"/>
                <w:sz w:val="22"/>
                <w:szCs w:val="22"/>
                <w:lang w:eastAsia="en-AU"/>
              </w:rPr>
              <w:t>Total expenses by government purpose classification</w:t>
            </w:r>
            <w:r w:rsidRPr="00645124">
              <w:rPr>
                <w:rFonts w:ascii="Calibri" w:eastAsiaTheme="minorEastAsia" w:hAnsi="Calibri" w:cs="Calibri"/>
                <w:b/>
                <w:color w:val="000000"/>
                <w:sz w:val="22"/>
                <w:szCs w:val="22"/>
                <w:lang w:eastAsia="en-AU"/>
              </w:rPr>
              <w:t xml:space="preserve"> </w:t>
            </w:r>
            <w:r w:rsidRPr="00645124">
              <w:rPr>
                <w:rFonts w:ascii="Calibri" w:eastAsiaTheme="minorEastAsia" w:hAnsi="Calibri" w:cs="Calibri"/>
                <w:b/>
                <w:color w:val="000000"/>
                <w:sz w:val="22"/>
                <w:szCs w:val="22"/>
                <w:vertAlign w:val="superscript"/>
                <w:lang w:eastAsia="en-AU"/>
              </w:rPr>
              <w:t>(b)</w:t>
            </w:r>
          </w:p>
        </w:tc>
        <w:tc>
          <w:tcPr>
            <w:tcW w:w="992"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30 711</w:t>
            </w:r>
          </w:p>
        </w:tc>
        <w:tc>
          <w:tcPr>
            <w:tcW w:w="1134"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29 841</w:t>
            </w:r>
          </w:p>
        </w:tc>
        <w:tc>
          <w:tcPr>
            <w:tcW w:w="1134"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26 373</w:t>
            </w:r>
          </w:p>
        </w:tc>
        <w:tc>
          <w:tcPr>
            <w:tcW w:w="1134"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25 581</w:t>
            </w:r>
          </w:p>
        </w:tc>
      </w:tr>
    </w:tbl>
    <w:p w:rsidR="00BB67AF" w:rsidRDefault="00BB67AF" w:rsidP="003E6750">
      <w:pPr>
        <w:pStyle w:val="Notes"/>
      </w:pPr>
      <w:r>
        <w:t>Notes:</w:t>
      </w:r>
    </w:p>
    <w:p w:rsidR="00BB67AF" w:rsidRDefault="00BB67AF" w:rsidP="003E6750">
      <w:pPr>
        <w:pStyle w:val="Notes"/>
      </w:pPr>
      <w:r>
        <w:t>(a)</w:t>
      </w:r>
      <w:r>
        <w:tab/>
        <w:t xml:space="preserve">Note 41 of the </w:t>
      </w:r>
      <w:r w:rsidRPr="00DA5436">
        <w:rPr>
          <w:i w:val="0"/>
        </w:rPr>
        <w:t>2014</w:t>
      </w:r>
      <w:r>
        <w:rPr>
          <w:i w:val="0"/>
        </w:rPr>
        <w:noBreakHyphen/>
      </w:r>
      <w:r w:rsidRPr="00DA5436">
        <w:rPr>
          <w:i w:val="0"/>
        </w:rPr>
        <w:t>15 Financial Report for the State of Victoria</w:t>
      </w:r>
      <w:r>
        <w:t xml:space="preserve"> provides definitions and descriptions of government purpose classifications.</w:t>
      </w:r>
    </w:p>
    <w:p w:rsidR="00BB67AF" w:rsidRPr="00717E8D" w:rsidRDefault="00BB67AF" w:rsidP="003E6750">
      <w:pPr>
        <w:pStyle w:val="Notes"/>
      </w:pPr>
      <w:r>
        <w:t>(b)</w:t>
      </w:r>
      <w:r>
        <w:tab/>
        <w:t xml:space="preserve">The December 2014 comparative figures have been restated to reflect more current information, mainly including adjustments outlined in Note 37 of the </w:t>
      </w:r>
      <w:r>
        <w:rPr>
          <w:i w:val="0"/>
        </w:rPr>
        <w:t>2014</w:t>
      </w:r>
      <w:r>
        <w:rPr>
          <w:i w:val="0"/>
        </w:rPr>
        <w:noBreakHyphen/>
        <w:t>15 Financial Report</w:t>
      </w:r>
      <w:r>
        <w:t>.</w:t>
      </w:r>
    </w:p>
    <w:p w:rsidR="00BB67AF" w:rsidRDefault="00BB67AF" w:rsidP="003E6750">
      <w:pPr>
        <w:pStyle w:val="Notes"/>
      </w:pPr>
    </w:p>
    <w:p w:rsidR="00BB67AF" w:rsidRDefault="00BB67AF" w:rsidP="003E6750"/>
    <w:p w:rsidR="00BB67AF" w:rsidRDefault="00BB67AF">
      <w:pPr>
        <w:spacing w:after="0"/>
        <w:rPr>
          <w:rFonts w:ascii="Calibri" w:hAnsi="Calibri"/>
          <w:b/>
          <w:kern w:val="28"/>
          <w:sz w:val="28"/>
          <w:szCs w:val="22"/>
        </w:rPr>
      </w:pPr>
      <w:r>
        <w:br w:type="page"/>
      </w:r>
    </w:p>
    <w:p w:rsidR="00BB67AF" w:rsidRDefault="00BB67AF" w:rsidP="003E6750">
      <w:pPr>
        <w:pStyle w:val="Heading2NotesContd"/>
      </w:pPr>
      <w:r>
        <w:lastRenderedPageBreak/>
        <w:t xml:space="preserve">Note 13: </w:t>
      </w:r>
      <w:r>
        <w:tab/>
        <w:t xml:space="preserve">Total expenses by government purpose and by department </w:t>
      </w:r>
      <w:r w:rsidRPr="00544058">
        <w:rPr>
          <w:i/>
        </w:rPr>
        <w:t>(continued)</w:t>
      </w:r>
    </w:p>
    <w:p w:rsidR="00BB67AF" w:rsidRDefault="00BB67AF" w:rsidP="003E6750">
      <w:pPr>
        <w:pStyle w:val="Tableheading"/>
      </w:pPr>
      <w:r>
        <w:t xml:space="preserve">(b) </w:t>
      </w:r>
      <w:r>
        <w:tab/>
        <w:t>Total expenses by department</w:t>
      </w:r>
      <w:r w:rsidRPr="00544058">
        <w:rPr>
          <w:vertAlign w:val="superscript"/>
        </w:rPr>
        <w:t>(a)</w:t>
      </w:r>
    </w:p>
    <w:p w:rsidR="00BB67AF" w:rsidRPr="00D838D9" w:rsidRDefault="00BB67AF" w:rsidP="003E6750">
      <w:pPr>
        <w:pStyle w:val="million"/>
        <w:rPr>
          <w:b/>
          <w:bCs/>
          <w:lang w:val="en-US"/>
        </w:rPr>
      </w:pPr>
      <w:r>
        <w:t>($ million)</w:t>
      </w:r>
    </w:p>
    <w:tbl>
      <w:tblPr>
        <w:tblW w:w="9638" w:type="dxa"/>
        <w:tblInd w:w="45" w:type="dxa"/>
        <w:tblLayout w:type="fixed"/>
        <w:tblCellMar>
          <w:left w:w="45" w:type="dxa"/>
          <w:right w:w="45" w:type="dxa"/>
        </w:tblCellMar>
        <w:tblLook w:val="0000" w:firstRow="0" w:lastRow="0" w:firstColumn="0" w:lastColumn="0" w:noHBand="0" w:noVBand="0"/>
      </w:tblPr>
      <w:tblGrid>
        <w:gridCol w:w="5245"/>
        <w:gridCol w:w="284"/>
        <w:gridCol w:w="705"/>
        <w:gridCol w:w="1136"/>
        <w:gridCol w:w="1134"/>
        <w:gridCol w:w="1134"/>
      </w:tblGrid>
      <w:tr w:rsidR="00897890" w:rsidRPr="00645124" w:rsidTr="00897890">
        <w:trPr>
          <w:tblHeader/>
        </w:trPr>
        <w:tc>
          <w:tcPr>
            <w:tcW w:w="5245" w:type="dxa"/>
            <w:tcBorders>
              <w:top w:val="nil"/>
              <w:left w:val="nil"/>
              <w:bottom w:val="nil"/>
              <w:right w:val="nil"/>
            </w:tcBorders>
            <w:shd w:val="solid" w:color="000000" w:fill="auto"/>
            <w:vAlign w:val="bottom"/>
          </w:tcPr>
          <w:p w:rsidR="00897890" w:rsidRPr="00645124" w:rsidRDefault="00897890"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2125" w:type="dxa"/>
            <w:gridSpan w:val="3"/>
            <w:tcBorders>
              <w:top w:val="nil"/>
              <w:left w:val="nil"/>
              <w:bottom w:val="nil"/>
              <w:right w:val="nil"/>
            </w:tcBorders>
            <w:shd w:val="solid" w:color="000000" w:fill="auto"/>
            <w:vAlign w:val="bottom"/>
          </w:tcPr>
          <w:p w:rsidR="00897890" w:rsidRPr="00645124" w:rsidRDefault="00897890" w:rsidP="003E675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State of Victoria</w:t>
            </w:r>
          </w:p>
        </w:tc>
        <w:tc>
          <w:tcPr>
            <w:tcW w:w="2268" w:type="dxa"/>
            <w:gridSpan w:val="2"/>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General </w:t>
            </w:r>
            <w:r w:rsidRPr="00645124">
              <w:rPr>
                <w:rFonts w:ascii="Calibri" w:eastAsiaTheme="minorEastAsia" w:hAnsi="Calibri" w:cs="Calibri"/>
                <w:i/>
                <w:iCs/>
                <w:color w:val="FFFFFF"/>
                <w:sz w:val="22"/>
                <w:szCs w:val="22"/>
                <w:lang w:eastAsia="en-AU"/>
              </w:rPr>
              <w:br/>
              <w:t>government sector</w:t>
            </w:r>
          </w:p>
        </w:tc>
      </w:tr>
      <w:tr w:rsidR="00BB67AF" w:rsidRPr="00645124" w:rsidTr="00897890">
        <w:trPr>
          <w:tblHeader/>
        </w:trPr>
        <w:tc>
          <w:tcPr>
            <w:tcW w:w="5245"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989" w:type="dxa"/>
            <w:gridSpan w:val="2"/>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6"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2014</w:t>
            </w:r>
          </w:p>
        </w:tc>
        <w:tc>
          <w:tcPr>
            <w:tcW w:w="113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2014</w:t>
            </w:r>
          </w:p>
        </w:tc>
      </w:tr>
      <w:tr w:rsidR="00BB67AF" w:rsidRPr="00645124" w:rsidTr="00897890">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Economic Development, Jobs, Transport and Resources </w:t>
            </w:r>
          </w:p>
        </w:tc>
        <w:tc>
          <w:tcPr>
            <w:tcW w:w="989"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5 969</w:t>
            </w:r>
          </w:p>
        </w:tc>
        <w:tc>
          <w:tcPr>
            <w:tcW w:w="11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718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3 917</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609</w:t>
            </w:r>
          </w:p>
        </w:tc>
      </w:tr>
      <w:tr w:rsidR="00BB67AF" w:rsidRPr="00645124" w:rsidTr="00897890">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 xml:space="preserve">Education and Training </w:t>
            </w:r>
            <w:r w:rsidRPr="00645124">
              <w:rPr>
                <w:rFonts w:ascii="Calibri" w:eastAsiaTheme="minorEastAsia" w:hAnsi="Calibri" w:cs="Calibri"/>
                <w:color w:val="000000"/>
                <w:sz w:val="22"/>
                <w:szCs w:val="22"/>
                <w:vertAlign w:val="superscript"/>
                <w:lang w:eastAsia="en-AU"/>
              </w:rPr>
              <w:t>(b)</w:t>
            </w:r>
          </w:p>
        </w:tc>
        <w:tc>
          <w:tcPr>
            <w:tcW w:w="989"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7 621</w:t>
            </w:r>
          </w:p>
        </w:tc>
        <w:tc>
          <w:tcPr>
            <w:tcW w:w="11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7 306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7 621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7 306</w:t>
            </w:r>
          </w:p>
        </w:tc>
      </w:tr>
      <w:tr w:rsidR="00BB67AF" w:rsidRPr="00645124" w:rsidTr="00897890">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Environment, Land, Water and Planning </w:t>
            </w:r>
          </w:p>
        </w:tc>
        <w:tc>
          <w:tcPr>
            <w:tcW w:w="989"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4 103</w:t>
            </w:r>
          </w:p>
        </w:tc>
        <w:tc>
          <w:tcPr>
            <w:tcW w:w="11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3 787</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1 321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1 185</w:t>
            </w:r>
          </w:p>
        </w:tc>
      </w:tr>
      <w:tr w:rsidR="00BB67AF" w:rsidRPr="00645124" w:rsidTr="00897890">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Health and Human Services</w:t>
            </w:r>
          </w:p>
        </w:tc>
        <w:tc>
          <w:tcPr>
            <w:tcW w:w="989"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11 057</w:t>
            </w:r>
          </w:p>
        </w:tc>
        <w:tc>
          <w:tcPr>
            <w:tcW w:w="11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8 087</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10 521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8 045</w:t>
            </w:r>
          </w:p>
        </w:tc>
      </w:tr>
      <w:tr w:rsidR="00BB67AF" w:rsidRPr="00645124" w:rsidTr="00897890">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 xml:space="preserve">Human Services </w:t>
            </w:r>
            <w:r w:rsidRPr="00645124">
              <w:rPr>
                <w:rFonts w:ascii="Calibri" w:eastAsiaTheme="minorEastAsia" w:hAnsi="Calibri" w:cs="Calibri"/>
                <w:color w:val="000000"/>
                <w:sz w:val="22"/>
                <w:szCs w:val="22"/>
                <w:vertAlign w:val="superscript"/>
                <w:lang w:eastAsia="en-AU"/>
              </w:rPr>
              <w:t>(b)</w:t>
            </w:r>
          </w:p>
        </w:tc>
        <w:tc>
          <w:tcPr>
            <w:tcW w:w="989"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2 433</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1 923</w:t>
            </w:r>
          </w:p>
        </w:tc>
      </w:tr>
      <w:tr w:rsidR="00BB67AF" w:rsidRPr="00645124" w:rsidTr="00897890">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Justice and Regulation</w:t>
            </w:r>
          </w:p>
        </w:tc>
        <w:tc>
          <w:tcPr>
            <w:tcW w:w="989"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2 863</w:t>
            </w:r>
          </w:p>
        </w:tc>
        <w:tc>
          <w:tcPr>
            <w:tcW w:w="11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2 749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2 779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2 669</w:t>
            </w:r>
          </w:p>
        </w:tc>
      </w:tr>
      <w:tr w:rsidR="00BB67AF" w:rsidRPr="00645124" w:rsidTr="00897890">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Premier and Cabinet</w:t>
            </w:r>
          </w:p>
        </w:tc>
        <w:tc>
          <w:tcPr>
            <w:tcW w:w="989"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174</w:t>
            </w:r>
          </w:p>
        </w:tc>
        <w:tc>
          <w:tcPr>
            <w:tcW w:w="11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412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166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358</w:t>
            </w:r>
          </w:p>
        </w:tc>
      </w:tr>
      <w:tr w:rsidR="00BB67AF" w:rsidRPr="00645124" w:rsidTr="00897890">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 xml:space="preserve">Transport, Planning and Local Infrastructure </w:t>
            </w:r>
            <w:r w:rsidRPr="00645124">
              <w:rPr>
                <w:rFonts w:ascii="Calibri" w:eastAsiaTheme="minorEastAsia" w:hAnsi="Calibri" w:cs="Calibri"/>
                <w:color w:val="000000"/>
                <w:sz w:val="22"/>
                <w:szCs w:val="22"/>
                <w:vertAlign w:val="superscript"/>
                <w:lang w:eastAsia="en-AU"/>
              </w:rPr>
              <w:t>(b)</w:t>
            </w:r>
          </w:p>
        </w:tc>
        <w:tc>
          <w:tcPr>
            <w:tcW w:w="989"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5 211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3 457</w:t>
            </w:r>
          </w:p>
        </w:tc>
      </w:tr>
      <w:tr w:rsidR="00BB67AF" w:rsidRPr="00645124" w:rsidTr="00897890">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 xml:space="preserve">Treasury and Finance </w:t>
            </w:r>
          </w:p>
        </w:tc>
        <w:tc>
          <w:tcPr>
            <w:tcW w:w="989"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7 144</w:t>
            </w:r>
          </w:p>
        </w:tc>
        <w:tc>
          <w:tcPr>
            <w:tcW w:w="11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7 124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3 261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3 303</w:t>
            </w:r>
          </w:p>
        </w:tc>
      </w:tr>
      <w:tr w:rsidR="00BB67AF" w:rsidRPr="00645124" w:rsidTr="00897890">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Parliament</w:t>
            </w:r>
          </w:p>
        </w:tc>
        <w:tc>
          <w:tcPr>
            <w:tcW w:w="989"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85</w:t>
            </w:r>
          </w:p>
        </w:tc>
        <w:tc>
          <w:tcPr>
            <w:tcW w:w="11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85</w:t>
            </w:r>
          </w:p>
        </w:tc>
      </w:tr>
      <w:tr w:rsidR="00BB67AF" w:rsidRPr="00645124" w:rsidTr="00897890">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Courts</w:t>
            </w:r>
          </w:p>
        </w:tc>
        <w:tc>
          <w:tcPr>
            <w:tcW w:w="989"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248</w:t>
            </w:r>
          </w:p>
        </w:tc>
        <w:tc>
          <w:tcPr>
            <w:tcW w:w="11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240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248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240</w:t>
            </w:r>
          </w:p>
        </w:tc>
      </w:tr>
      <w:tr w:rsidR="00BB67AF" w:rsidRPr="00645124" w:rsidTr="003E6750">
        <w:tc>
          <w:tcPr>
            <w:tcW w:w="5529"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 xml:space="preserve">Regulatory bodies and other part budget funded agencies </w:t>
            </w:r>
            <w:r w:rsidRPr="00645124">
              <w:rPr>
                <w:rFonts w:ascii="Calibri" w:eastAsiaTheme="minorEastAsia" w:hAnsi="Calibri" w:cs="Calibri"/>
                <w:color w:val="000000"/>
                <w:sz w:val="22"/>
                <w:szCs w:val="22"/>
                <w:vertAlign w:val="superscript"/>
                <w:lang w:eastAsia="en-AU"/>
              </w:rPr>
              <w:t>(c)</w:t>
            </w:r>
          </w:p>
        </w:tc>
        <w:tc>
          <w:tcPr>
            <w:tcW w:w="705"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978</w:t>
            </w:r>
          </w:p>
        </w:tc>
        <w:tc>
          <w:tcPr>
            <w:tcW w:w="1136"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947</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978</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947</w:t>
            </w:r>
          </w:p>
        </w:tc>
      </w:tr>
      <w:tr w:rsidR="00BB67AF" w:rsidRPr="00645124" w:rsidTr="00897890">
        <w:tc>
          <w:tcPr>
            <w:tcW w:w="5245"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vertAlign w:val="superscript"/>
                <w:lang w:eastAsia="en-AU"/>
              </w:rPr>
            </w:pPr>
            <w:r w:rsidRPr="00645124">
              <w:rPr>
                <w:rFonts w:ascii="Calibri" w:eastAsiaTheme="minorEastAsia" w:hAnsi="Calibri" w:cs="Calibri"/>
                <w:b/>
                <w:bCs/>
                <w:color w:val="000000"/>
                <w:sz w:val="22"/>
                <w:szCs w:val="22"/>
                <w:lang w:eastAsia="en-AU"/>
              </w:rPr>
              <w:t xml:space="preserve">Total expenses by department </w:t>
            </w:r>
            <w:r w:rsidRPr="00645124">
              <w:rPr>
                <w:rFonts w:ascii="Calibri" w:eastAsiaTheme="minorEastAsia" w:hAnsi="Calibri" w:cs="Calibri"/>
                <w:b/>
                <w:bCs/>
                <w:color w:val="000000"/>
                <w:sz w:val="22"/>
                <w:szCs w:val="22"/>
                <w:vertAlign w:val="superscript"/>
                <w:lang w:eastAsia="en-AU"/>
              </w:rPr>
              <w:t>(b)</w:t>
            </w:r>
          </w:p>
        </w:tc>
        <w:tc>
          <w:tcPr>
            <w:tcW w:w="989"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40 242</w:t>
            </w:r>
          </w:p>
        </w:tc>
        <w:tc>
          <w:tcPr>
            <w:tcW w:w="1136"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39 100</w:t>
            </w:r>
          </w:p>
        </w:tc>
        <w:tc>
          <w:tcPr>
            <w:tcW w:w="113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30 897</w:t>
            </w:r>
          </w:p>
        </w:tc>
        <w:tc>
          <w:tcPr>
            <w:tcW w:w="113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30 126</w:t>
            </w:r>
          </w:p>
        </w:tc>
      </w:tr>
      <w:tr w:rsidR="00BB67AF" w:rsidRPr="00645124" w:rsidTr="00897890">
        <w:tc>
          <w:tcPr>
            <w:tcW w:w="5245"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i/>
                <w:iCs/>
                <w:color w:val="000000"/>
                <w:sz w:val="22"/>
                <w:szCs w:val="22"/>
                <w:vertAlign w:val="superscript"/>
                <w:lang w:eastAsia="en-AU"/>
              </w:rPr>
            </w:pPr>
            <w:r w:rsidRPr="00645124">
              <w:rPr>
                <w:rFonts w:ascii="Calibri" w:eastAsiaTheme="minorEastAsia" w:hAnsi="Calibri" w:cs="Calibri"/>
                <w:i/>
                <w:iCs/>
                <w:color w:val="000000"/>
                <w:sz w:val="22"/>
                <w:szCs w:val="22"/>
                <w:lang w:eastAsia="en-AU"/>
              </w:rPr>
              <w:t xml:space="preserve">Less eliminations and adjustments </w:t>
            </w:r>
            <w:r w:rsidRPr="00645124">
              <w:rPr>
                <w:rFonts w:ascii="Calibri" w:eastAsiaTheme="minorEastAsia" w:hAnsi="Calibri" w:cs="Calibri"/>
                <w:i/>
                <w:iCs/>
                <w:color w:val="000000"/>
                <w:sz w:val="22"/>
                <w:szCs w:val="22"/>
                <w:vertAlign w:val="superscript"/>
                <w:lang w:eastAsia="en-AU"/>
              </w:rPr>
              <w:t>(d)</w:t>
            </w:r>
          </w:p>
        </w:tc>
        <w:tc>
          <w:tcPr>
            <w:tcW w:w="989"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(9 531)</w:t>
            </w:r>
          </w:p>
        </w:tc>
        <w:tc>
          <w:tcPr>
            <w:tcW w:w="1136"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(9 259)</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(4 523)</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(4 545)</w:t>
            </w:r>
          </w:p>
        </w:tc>
      </w:tr>
      <w:tr w:rsidR="00BB67AF" w:rsidRPr="00645124" w:rsidTr="00897890">
        <w:tc>
          <w:tcPr>
            <w:tcW w:w="5245"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vertAlign w:val="superscript"/>
                <w:lang w:eastAsia="en-AU"/>
              </w:rPr>
            </w:pPr>
            <w:r w:rsidRPr="00645124">
              <w:rPr>
                <w:rFonts w:ascii="Calibri" w:eastAsiaTheme="minorEastAsia" w:hAnsi="Calibri" w:cs="Calibri"/>
                <w:b/>
                <w:bCs/>
                <w:color w:val="000000"/>
                <w:sz w:val="22"/>
                <w:szCs w:val="22"/>
                <w:lang w:eastAsia="en-AU"/>
              </w:rPr>
              <w:t xml:space="preserve">Total expenses from transactions </w:t>
            </w:r>
            <w:r w:rsidRPr="00645124">
              <w:rPr>
                <w:rFonts w:ascii="Calibri" w:eastAsiaTheme="minorEastAsia" w:hAnsi="Calibri" w:cs="Calibri"/>
                <w:b/>
                <w:bCs/>
                <w:color w:val="000000"/>
                <w:sz w:val="22"/>
                <w:szCs w:val="22"/>
                <w:vertAlign w:val="superscript"/>
                <w:lang w:eastAsia="en-AU"/>
              </w:rPr>
              <w:t>(b)</w:t>
            </w:r>
          </w:p>
        </w:tc>
        <w:tc>
          <w:tcPr>
            <w:tcW w:w="989" w:type="dxa"/>
            <w:gridSpan w:val="2"/>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30 711</w:t>
            </w:r>
          </w:p>
        </w:tc>
        <w:tc>
          <w:tcPr>
            <w:tcW w:w="1136"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29 841</w:t>
            </w:r>
          </w:p>
        </w:tc>
        <w:tc>
          <w:tcPr>
            <w:tcW w:w="1134"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26 373</w:t>
            </w:r>
          </w:p>
        </w:tc>
        <w:tc>
          <w:tcPr>
            <w:tcW w:w="1134"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25 581</w:t>
            </w:r>
          </w:p>
        </w:tc>
      </w:tr>
    </w:tbl>
    <w:p w:rsidR="00BB67AF" w:rsidRDefault="00BB67AF" w:rsidP="003E6750">
      <w:pPr>
        <w:pStyle w:val="Notes"/>
      </w:pPr>
      <w:r>
        <w:t>Notes:</w:t>
      </w:r>
    </w:p>
    <w:p w:rsidR="00BB67AF" w:rsidRDefault="00BB67AF" w:rsidP="003E6750">
      <w:pPr>
        <w:pStyle w:val="Notes"/>
      </w:pPr>
      <w:r>
        <w:t>(a)</w:t>
      </w:r>
      <w:r>
        <w:tab/>
        <w:t>Effective 1 January 2015 several departments were renamed due to machinery of government changes:</w:t>
      </w:r>
    </w:p>
    <w:p w:rsidR="00BB67AF" w:rsidRDefault="00BB67AF" w:rsidP="003E6750">
      <w:pPr>
        <w:pStyle w:val="NotesDash"/>
        <w:numPr>
          <w:ilvl w:val="0"/>
          <w:numId w:val="27"/>
        </w:numPr>
        <w:tabs>
          <w:tab w:val="clear" w:pos="749"/>
          <w:tab w:val="clear" w:pos="922"/>
          <w:tab w:val="num" w:pos="810"/>
        </w:tabs>
        <w:ind w:left="810" w:hanging="356"/>
      </w:pPr>
      <w:r>
        <w:t>the Department of Education and Early Childhood Development was renamed the Department of Education and Training;</w:t>
      </w:r>
    </w:p>
    <w:p w:rsidR="00BB67AF" w:rsidRDefault="00BB67AF" w:rsidP="003E6750">
      <w:pPr>
        <w:pStyle w:val="NotesDash"/>
        <w:numPr>
          <w:ilvl w:val="0"/>
          <w:numId w:val="27"/>
        </w:numPr>
        <w:tabs>
          <w:tab w:val="clear" w:pos="749"/>
          <w:tab w:val="clear" w:pos="922"/>
          <w:tab w:val="num" w:pos="810"/>
        </w:tabs>
        <w:ind w:left="810" w:hanging="356"/>
      </w:pPr>
      <w:r>
        <w:t>the Department of Environment and Primary Industries was renamed the Department of Environment, Land, Water and Planning;</w:t>
      </w:r>
    </w:p>
    <w:p w:rsidR="00BB67AF" w:rsidRDefault="00BB67AF" w:rsidP="003E6750">
      <w:pPr>
        <w:pStyle w:val="NotesDash"/>
        <w:numPr>
          <w:ilvl w:val="0"/>
          <w:numId w:val="27"/>
        </w:numPr>
        <w:tabs>
          <w:tab w:val="clear" w:pos="749"/>
          <w:tab w:val="clear" w:pos="922"/>
          <w:tab w:val="num" w:pos="810"/>
        </w:tabs>
        <w:ind w:left="810" w:hanging="356"/>
      </w:pPr>
      <w:r>
        <w:t>the Department of Health was renamed the Department of Health and Human Services;</w:t>
      </w:r>
    </w:p>
    <w:p w:rsidR="00BB67AF" w:rsidRDefault="00BB67AF" w:rsidP="003E6750">
      <w:pPr>
        <w:pStyle w:val="NotesDash"/>
        <w:numPr>
          <w:ilvl w:val="0"/>
          <w:numId w:val="27"/>
        </w:numPr>
        <w:tabs>
          <w:tab w:val="clear" w:pos="749"/>
          <w:tab w:val="clear" w:pos="922"/>
          <w:tab w:val="num" w:pos="810"/>
        </w:tabs>
        <w:ind w:left="810" w:hanging="356"/>
      </w:pPr>
      <w:r>
        <w:t>the Department of Justice was renamed the Department of Justice and Regulation;</w:t>
      </w:r>
    </w:p>
    <w:p w:rsidR="00BB67AF" w:rsidRDefault="00BB67AF" w:rsidP="003E6750">
      <w:pPr>
        <w:pStyle w:val="NotesDash"/>
        <w:numPr>
          <w:ilvl w:val="0"/>
          <w:numId w:val="27"/>
        </w:numPr>
        <w:tabs>
          <w:tab w:val="clear" w:pos="749"/>
          <w:tab w:val="clear" w:pos="922"/>
          <w:tab w:val="num" w:pos="810"/>
        </w:tabs>
        <w:ind w:left="810" w:hanging="356"/>
      </w:pPr>
      <w:r>
        <w:t>the Department of State Development, Business and Innovation was renamed the Department of Economic Development, Jobs, Transport and Resources;</w:t>
      </w:r>
    </w:p>
    <w:p w:rsidR="00BB67AF" w:rsidRDefault="00BB67AF" w:rsidP="003E6750">
      <w:pPr>
        <w:pStyle w:val="NotesDash"/>
        <w:numPr>
          <w:ilvl w:val="0"/>
          <w:numId w:val="27"/>
        </w:numPr>
        <w:tabs>
          <w:tab w:val="clear" w:pos="749"/>
          <w:tab w:val="clear" w:pos="922"/>
          <w:tab w:val="num" w:pos="810"/>
        </w:tabs>
        <w:ind w:left="810" w:hanging="356"/>
      </w:pPr>
      <w:r>
        <w:t>the Department of Human Services was abolished; and</w:t>
      </w:r>
    </w:p>
    <w:p w:rsidR="00BB67AF" w:rsidRDefault="00BB67AF" w:rsidP="003E6750">
      <w:pPr>
        <w:pStyle w:val="NotesDash"/>
        <w:numPr>
          <w:ilvl w:val="0"/>
          <w:numId w:val="27"/>
        </w:numPr>
        <w:tabs>
          <w:tab w:val="clear" w:pos="749"/>
          <w:tab w:val="clear" w:pos="922"/>
          <w:tab w:val="num" w:pos="810"/>
        </w:tabs>
        <w:ind w:left="810" w:hanging="356"/>
      </w:pPr>
      <w:r>
        <w:t>the Department of Transport, Planning and Local Infrastructure was abolished.</w:t>
      </w:r>
    </w:p>
    <w:p w:rsidR="00BB67AF" w:rsidRDefault="00BB67AF" w:rsidP="003E6750">
      <w:pPr>
        <w:pStyle w:val="Notes"/>
      </w:pPr>
      <w:r>
        <w:tab/>
        <w:t>The two abolished departments had their functions and operations transferred to other Victorian government departments. Functions and operations of the Department of Human Services were transferred to the Department of Health and Human Services and to the Department of Premier and Cabinet. Functions and operations of the Department of Transport, Planning and Local Infrastructure were transferred to the Department of Environment, Land, Water and Planning, the Department of Health and Humans Services and to the Department of Economic Development, Jobs, Transport and Resources. Certain functions and operations of continuing Victorian government departments were also transferred among departments as part of the machinery of government changes. Controlled entities which have been transferred as part of the machinery of government changes are listed under their new portfolio departments.</w:t>
      </w:r>
    </w:p>
    <w:p w:rsidR="00BB67AF" w:rsidRPr="00717E8D" w:rsidRDefault="00BB67AF" w:rsidP="003E6750">
      <w:pPr>
        <w:pStyle w:val="Notes"/>
      </w:pPr>
      <w:r>
        <w:t>(b)</w:t>
      </w:r>
      <w:r>
        <w:tab/>
        <w:t xml:space="preserve">The December 2014 comparative figures have been restated to reflect more current information, mainly including adjustments outlined in Note 37 of the </w:t>
      </w:r>
      <w:r>
        <w:rPr>
          <w:i w:val="0"/>
        </w:rPr>
        <w:t>2014</w:t>
      </w:r>
      <w:r>
        <w:rPr>
          <w:i w:val="0"/>
        </w:rPr>
        <w:noBreakHyphen/>
        <w:t>15 Financial Report</w:t>
      </w:r>
      <w:r>
        <w:t>.</w:t>
      </w:r>
    </w:p>
    <w:p w:rsidR="00BB67AF" w:rsidRDefault="00BB67AF" w:rsidP="003E6750">
      <w:pPr>
        <w:pStyle w:val="Notes"/>
      </w:pPr>
      <w:r>
        <w:t>(c)</w:t>
      </w:r>
      <w:r>
        <w:tab/>
        <w:t>Other general government sector agencies not allocated to departmental portfolios.</w:t>
      </w:r>
    </w:p>
    <w:p w:rsidR="00BB67AF" w:rsidRDefault="00BB67AF" w:rsidP="003E6750">
      <w:pPr>
        <w:pStyle w:val="Notes"/>
      </w:pPr>
      <w:r>
        <w:t>(d)</w:t>
      </w:r>
      <w:r>
        <w:tab/>
        <w:t>Mainly comprising payroll tax, capital asset charge and inter departmental transfers.</w:t>
      </w:r>
    </w:p>
    <w:p w:rsidR="00BB67AF" w:rsidRDefault="00BB67AF" w:rsidP="003E6750"/>
    <w:p w:rsidR="00BB67AF" w:rsidRDefault="00BB67AF">
      <w:pPr>
        <w:spacing w:after="0"/>
        <w:rPr>
          <w:rFonts w:ascii="Calibri" w:hAnsi="Calibri"/>
          <w:b/>
          <w:kern w:val="28"/>
          <w:sz w:val="28"/>
          <w:szCs w:val="22"/>
        </w:rPr>
      </w:pPr>
      <w:r>
        <w:br w:type="page"/>
      </w:r>
    </w:p>
    <w:p w:rsidR="00BB67AF" w:rsidRDefault="00BB67AF" w:rsidP="003E6750">
      <w:pPr>
        <w:pStyle w:val="Heading2Notes"/>
      </w:pPr>
      <w:bookmarkStart w:id="23" w:name="_Toc445283172"/>
      <w:r w:rsidRPr="00EC65D6">
        <w:lastRenderedPageBreak/>
        <w:t xml:space="preserve">Note 14: </w:t>
      </w:r>
      <w:r w:rsidRPr="00EC65D6">
        <w:tab/>
        <w:t>Other gains/(losses) from other economic flows</w:t>
      </w:r>
      <w:bookmarkEnd w:id="23"/>
    </w:p>
    <w:p w:rsidR="00BB67AF" w:rsidRPr="004D1572" w:rsidRDefault="00BB67AF" w:rsidP="003E6750">
      <w:pPr>
        <w:pStyle w:val="million"/>
        <w:rPr>
          <w:b/>
          <w:bCs/>
          <w:lang w:val="en-US"/>
        </w:rPr>
      </w:pPr>
      <w:r>
        <w:t xml:space="preserve">($ </w:t>
      </w:r>
      <w:r w:rsidRPr="00EC65D6">
        <w:t>million</w:t>
      </w:r>
      <w:r>
        <w:t>)</w:t>
      </w:r>
    </w:p>
    <w:tbl>
      <w:tblPr>
        <w:tblW w:w="9638" w:type="dxa"/>
        <w:tblInd w:w="45" w:type="dxa"/>
        <w:tblLayout w:type="fixed"/>
        <w:tblCellMar>
          <w:left w:w="45" w:type="dxa"/>
          <w:right w:w="45" w:type="dxa"/>
        </w:tblCellMar>
        <w:tblLook w:val="0000" w:firstRow="0" w:lastRow="0" w:firstColumn="0" w:lastColumn="0" w:noHBand="0" w:noVBand="0"/>
      </w:tblPr>
      <w:tblGrid>
        <w:gridCol w:w="5245"/>
        <w:gridCol w:w="991"/>
        <w:gridCol w:w="1134"/>
        <w:gridCol w:w="1134"/>
        <w:gridCol w:w="1134"/>
      </w:tblGrid>
      <w:tr w:rsidR="00897890" w:rsidRPr="00645124" w:rsidTr="00897890">
        <w:trPr>
          <w:tblHeader/>
        </w:trPr>
        <w:tc>
          <w:tcPr>
            <w:tcW w:w="5245" w:type="dxa"/>
            <w:tcBorders>
              <w:top w:val="nil"/>
              <w:left w:val="nil"/>
              <w:bottom w:val="nil"/>
              <w:right w:val="nil"/>
            </w:tcBorders>
            <w:shd w:val="solid" w:color="000000" w:fill="auto"/>
            <w:vAlign w:val="bottom"/>
          </w:tcPr>
          <w:p w:rsidR="00897890" w:rsidRPr="00645124" w:rsidRDefault="00897890"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2125" w:type="dxa"/>
            <w:gridSpan w:val="2"/>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2"/>
                <w:szCs w:val="16"/>
                <w:lang w:eastAsia="en-AU"/>
              </w:rPr>
            </w:pPr>
            <w:r w:rsidRPr="00645124">
              <w:rPr>
                <w:rFonts w:ascii="Calibri" w:eastAsiaTheme="minorEastAsia" w:hAnsi="Calibri" w:cs="Calibri"/>
                <w:i/>
                <w:iCs/>
                <w:color w:val="FFFFFF"/>
                <w:sz w:val="22"/>
                <w:szCs w:val="16"/>
                <w:lang w:eastAsia="en-AU"/>
              </w:rPr>
              <w:t>State of Victoria</w:t>
            </w:r>
          </w:p>
        </w:tc>
        <w:tc>
          <w:tcPr>
            <w:tcW w:w="2268" w:type="dxa"/>
            <w:gridSpan w:val="2"/>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2"/>
                <w:szCs w:val="16"/>
                <w:lang w:eastAsia="en-AU"/>
              </w:rPr>
            </w:pPr>
            <w:r w:rsidRPr="00645124">
              <w:rPr>
                <w:rFonts w:ascii="Calibri" w:eastAsiaTheme="minorEastAsia" w:hAnsi="Calibri" w:cs="Calibri"/>
                <w:i/>
                <w:iCs/>
                <w:color w:val="FFFFFF"/>
                <w:sz w:val="22"/>
                <w:szCs w:val="16"/>
                <w:lang w:eastAsia="en-AU"/>
              </w:rPr>
              <w:t xml:space="preserve">General </w:t>
            </w:r>
            <w:r w:rsidRPr="00645124">
              <w:rPr>
                <w:rFonts w:ascii="Calibri" w:eastAsiaTheme="minorEastAsia" w:hAnsi="Calibri" w:cs="Calibri"/>
                <w:i/>
                <w:iCs/>
                <w:color w:val="FFFFFF"/>
                <w:sz w:val="22"/>
                <w:szCs w:val="16"/>
                <w:lang w:eastAsia="en-AU"/>
              </w:rPr>
              <w:br/>
              <w:t>government sector</w:t>
            </w:r>
          </w:p>
        </w:tc>
      </w:tr>
      <w:tr w:rsidR="00BB67AF" w:rsidRPr="00645124" w:rsidTr="00897890">
        <w:trPr>
          <w:tblHeader/>
        </w:trPr>
        <w:tc>
          <w:tcPr>
            <w:tcW w:w="5245"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991"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16"/>
                <w:lang w:eastAsia="en-AU"/>
              </w:rPr>
            </w:pPr>
            <w:r w:rsidRPr="00645124">
              <w:rPr>
                <w:rFonts w:ascii="Calibri" w:eastAsiaTheme="minorEastAsia" w:hAnsi="Calibri" w:cs="Calibri"/>
                <w:i/>
                <w:iCs/>
                <w:color w:val="FFFFFF"/>
                <w:sz w:val="22"/>
                <w:szCs w:val="16"/>
                <w:lang w:eastAsia="en-AU"/>
              </w:rPr>
              <w:t>2015</w:t>
            </w:r>
          </w:p>
        </w:tc>
        <w:tc>
          <w:tcPr>
            <w:tcW w:w="113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16"/>
                <w:lang w:eastAsia="en-AU"/>
              </w:rPr>
            </w:pPr>
            <w:r w:rsidRPr="00645124">
              <w:rPr>
                <w:rFonts w:ascii="Calibri" w:eastAsiaTheme="minorEastAsia" w:hAnsi="Calibri" w:cs="Calibri"/>
                <w:i/>
                <w:iCs/>
                <w:color w:val="FFFFFF"/>
                <w:sz w:val="22"/>
                <w:szCs w:val="16"/>
                <w:lang w:eastAsia="en-AU"/>
              </w:rPr>
              <w:t>2014</w:t>
            </w:r>
          </w:p>
        </w:tc>
        <w:tc>
          <w:tcPr>
            <w:tcW w:w="113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16"/>
                <w:lang w:eastAsia="en-AU"/>
              </w:rPr>
            </w:pPr>
            <w:r w:rsidRPr="00645124">
              <w:rPr>
                <w:rFonts w:ascii="Calibri" w:eastAsiaTheme="minorEastAsia" w:hAnsi="Calibri" w:cs="Calibri"/>
                <w:i/>
                <w:iCs/>
                <w:color w:val="FFFFFF"/>
                <w:sz w:val="22"/>
                <w:szCs w:val="16"/>
                <w:lang w:eastAsia="en-AU"/>
              </w:rPr>
              <w:t>2015</w:t>
            </w:r>
          </w:p>
        </w:tc>
        <w:tc>
          <w:tcPr>
            <w:tcW w:w="113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16"/>
                <w:lang w:eastAsia="en-AU"/>
              </w:rPr>
            </w:pPr>
            <w:r w:rsidRPr="00645124">
              <w:rPr>
                <w:rFonts w:ascii="Calibri" w:eastAsiaTheme="minorEastAsia" w:hAnsi="Calibri" w:cs="Calibri"/>
                <w:i/>
                <w:iCs/>
                <w:color w:val="FFFFFF"/>
                <w:sz w:val="22"/>
                <w:szCs w:val="16"/>
                <w:lang w:eastAsia="en-AU"/>
              </w:rPr>
              <w:t>2014</w:t>
            </w:r>
          </w:p>
        </w:tc>
      </w:tr>
      <w:tr w:rsidR="00BB67AF" w:rsidRPr="00645124" w:rsidTr="00897890">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16"/>
                <w:vertAlign w:val="superscript"/>
                <w:lang w:eastAsia="en-AU"/>
              </w:rPr>
            </w:pPr>
            <w:r w:rsidRPr="00645124">
              <w:rPr>
                <w:rFonts w:ascii="Calibri" w:eastAsiaTheme="minorEastAsia" w:hAnsi="Calibri" w:cs="Calibri"/>
                <w:color w:val="000000"/>
                <w:sz w:val="22"/>
                <w:szCs w:val="16"/>
                <w:lang w:eastAsia="en-AU"/>
              </w:rPr>
              <w:t xml:space="preserve">Net (increase)/decrease in provision for doubtful receivables </w:t>
            </w:r>
          </w:p>
        </w:tc>
        <w:tc>
          <w:tcPr>
            <w:tcW w:w="99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6"/>
                <w:szCs w:val="16"/>
                <w:lang w:eastAsia="en-AU"/>
              </w:rPr>
            </w:pPr>
            <w:r w:rsidRPr="00645124">
              <w:rPr>
                <w:rFonts w:ascii="Calibri" w:eastAsiaTheme="minorEastAsia" w:hAnsi="Calibri" w:cs="Calibri"/>
                <w:color w:val="000000"/>
                <w:sz w:val="22"/>
                <w:szCs w:val="16"/>
                <w:lang w:eastAsia="en-AU"/>
              </w:rPr>
              <w:t>(161)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6"/>
                <w:szCs w:val="16"/>
                <w:lang w:eastAsia="en-AU"/>
              </w:rPr>
            </w:pPr>
            <w:r w:rsidRPr="00645124">
              <w:rPr>
                <w:rFonts w:ascii="Calibri" w:eastAsiaTheme="minorEastAsia" w:hAnsi="Calibri" w:cs="Calibri"/>
                <w:color w:val="000000"/>
                <w:sz w:val="22"/>
                <w:szCs w:val="16"/>
                <w:lang w:eastAsia="en-AU"/>
              </w:rPr>
              <w:t>(139)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6"/>
                <w:szCs w:val="16"/>
                <w:lang w:eastAsia="en-AU"/>
              </w:rPr>
            </w:pPr>
            <w:r w:rsidRPr="00645124">
              <w:rPr>
                <w:rFonts w:ascii="Calibri" w:eastAsiaTheme="minorEastAsia" w:hAnsi="Calibri" w:cs="Calibri"/>
                <w:color w:val="000000"/>
                <w:sz w:val="22"/>
                <w:szCs w:val="16"/>
                <w:lang w:eastAsia="en-AU"/>
              </w:rPr>
              <w:t>(160)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6"/>
                <w:szCs w:val="16"/>
                <w:lang w:eastAsia="en-AU"/>
              </w:rPr>
            </w:pPr>
            <w:r w:rsidRPr="00645124">
              <w:rPr>
                <w:rFonts w:ascii="Calibri" w:eastAsiaTheme="minorEastAsia" w:hAnsi="Calibri" w:cs="Calibri"/>
                <w:color w:val="000000"/>
                <w:sz w:val="22"/>
                <w:szCs w:val="16"/>
                <w:lang w:eastAsia="en-AU"/>
              </w:rPr>
              <w:t>(139)</w:t>
            </w:r>
          </w:p>
        </w:tc>
      </w:tr>
      <w:tr w:rsidR="00BB67AF" w:rsidRPr="00645124" w:rsidTr="00897890">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16"/>
                <w:lang w:eastAsia="en-AU"/>
              </w:rPr>
            </w:pPr>
            <w:r w:rsidRPr="00645124">
              <w:rPr>
                <w:rFonts w:ascii="Calibri" w:eastAsiaTheme="minorEastAsia" w:hAnsi="Calibri" w:cs="Calibri"/>
                <w:color w:val="000000"/>
                <w:sz w:val="22"/>
                <w:szCs w:val="16"/>
                <w:lang w:eastAsia="en-AU"/>
              </w:rPr>
              <w:t>Amortisation of intangible non</w:t>
            </w:r>
            <w:r w:rsidRPr="00645124">
              <w:rPr>
                <w:rFonts w:ascii="Calibri" w:eastAsiaTheme="minorEastAsia" w:hAnsi="Calibri" w:cs="Calibri"/>
                <w:color w:val="000000"/>
                <w:sz w:val="22"/>
                <w:szCs w:val="16"/>
                <w:lang w:eastAsia="en-AU"/>
              </w:rPr>
              <w:noBreakHyphen/>
              <w:t>produced assets</w:t>
            </w:r>
          </w:p>
        </w:tc>
        <w:tc>
          <w:tcPr>
            <w:tcW w:w="99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6"/>
                <w:szCs w:val="16"/>
                <w:lang w:eastAsia="en-AU"/>
              </w:rPr>
            </w:pPr>
            <w:r w:rsidRPr="00645124">
              <w:rPr>
                <w:rFonts w:ascii="Calibri" w:eastAsiaTheme="minorEastAsia" w:hAnsi="Calibri" w:cs="Calibri"/>
                <w:color w:val="000000"/>
                <w:sz w:val="22"/>
                <w:szCs w:val="16"/>
                <w:lang w:eastAsia="en-AU"/>
              </w:rPr>
              <w:t>(17)</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6"/>
                <w:szCs w:val="16"/>
                <w:lang w:eastAsia="en-AU"/>
              </w:rPr>
            </w:pPr>
            <w:r w:rsidRPr="00645124">
              <w:rPr>
                <w:rFonts w:ascii="Calibri" w:eastAsiaTheme="minorEastAsia" w:hAnsi="Calibri" w:cs="Calibri"/>
                <w:color w:val="000000"/>
                <w:sz w:val="22"/>
                <w:szCs w:val="16"/>
                <w:lang w:eastAsia="en-AU"/>
              </w:rPr>
              <w:t>(8)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6"/>
                <w:szCs w:val="16"/>
                <w:lang w:eastAsia="en-AU"/>
              </w:rPr>
            </w:pPr>
            <w:r w:rsidRPr="00645124">
              <w:rPr>
                <w:rFonts w:ascii="Calibri" w:eastAsiaTheme="minorEastAsia" w:hAnsi="Calibri" w:cs="Calibri"/>
                <w:color w:val="000000"/>
                <w:sz w:val="22"/>
                <w:szCs w:val="16"/>
                <w:lang w:eastAsia="en-AU"/>
              </w:rPr>
              <w:t>(2)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6"/>
                <w:szCs w:val="16"/>
                <w:lang w:eastAsia="en-AU"/>
              </w:rPr>
            </w:pPr>
            <w:r w:rsidRPr="00645124">
              <w:rPr>
                <w:rFonts w:ascii="Calibri" w:eastAsiaTheme="minorEastAsia" w:hAnsi="Calibri" w:cs="Calibri"/>
                <w:color w:val="000000"/>
                <w:sz w:val="22"/>
                <w:szCs w:val="16"/>
                <w:lang w:eastAsia="en-AU"/>
              </w:rPr>
              <w:t>(4)</w:t>
            </w:r>
          </w:p>
        </w:tc>
      </w:tr>
      <w:tr w:rsidR="00BB67AF" w:rsidRPr="00645124" w:rsidTr="00897890">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16"/>
                <w:lang w:eastAsia="en-AU"/>
              </w:rPr>
            </w:pPr>
            <w:r w:rsidRPr="00645124">
              <w:rPr>
                <w:rFonts w:ascii="Calibri" w:eastAsiaTheme="minorEastAsia" w:hAnsi="Calibri" w:cs="Calibri"/>
                <w:color w:val="000000"/>
                <w:sz w:val="22"/>
                <w:szCs w:val="16"/>
                <w:lang w:eastAsia="en-AU"/>
              </w:rPr>
              <w:t>Net swap interest revenue/(expense)</w:t>
            </w:r>
          </w:p>
        </w:tc>
        <w:tc>
          <w:tcPr>
            <w:tcW w:w="99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6"/>
                <w:szCs w:val="16"/>
                <w:lang w:eastAsia="en-AU"/>
              </w:rPr>
            </w:pPr>
            <w:r w:rsidRPr="00645124">
              <w:rPr>
                <w:rFonts w:ascii="Calibri" w:eastAsiaTheme="minorEastAsia" w:hAnsi="Calibri" w:cs="Calibri"/>
                <w:color w:val="000000"/>
                <w:sz w:val="22"/>
                <w:szCs w:val="16"/>
                <w:lang w:eastAsia="en-AU"/>
              </w:rPr>
              <w:t>(96)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6"/>
                <w:szCs w:val="16"/>
                <w:lang w:eastAsia="en-AU"/>
              </w:rPr>
            </w:pPr>
            <w:r w:rsidRPr="00645124">
              <w:rPr>
                <w:rFonts w:ascii="Calibri" w:eastAsiaTheme="minorEastAsia" w:hAnsi="Calibri" w:cs="Calibri"/>
                <w:color w:val="000000"/>
                <w:sz w:val="22"/>
                <w:szCs w:val="16"/>
                <w:lang w:eastAsia="en-AU"/>
              </w:rPr>
              <w:t>(4)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16"/>
                <w:lang w:eastAsia="en-AU"/>
              </w:rPr>
            </w:pPr>
            <w:r w:rsidRPr="00645124">
              <w:rPr>
                <w:rFonts w:ascii="Calibri" w:eastAsiaTheme="minorEastAsia" w:hAnsi="Calibri" w:cs="Calibri"/>
                <w:color w:val="000000"/>
                <w:sz w:val="22"/>
                <w:szCs w:val="16"/>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16"/>
                <w:lang w:eastAsia="en-AU"/>
              </w:rPr>
            </w:pPr>
            <w:r w:rsidRPr="00645124">
              <w:rPr>
                <w:rFonts w:ascii="Calibri" w:eastAsiaTheme="minorEastAsia" w:hAnsi="Calibri" w:cs="Calibri"/>
                <w:color w:val="000000"/>
                <w:sz w:val="22"/>
                <w:szCs w:val="16"/>
                <w:lang w:eastAsia="en-AU"/>
              </w:rPr>
              <w:t>..</w:t>
            </w:r>
          </w:p>
        </w:tc>
      </w:tr>
      <w:tr w:rsidR="00BB67AF" w:rsidRPr="00645124" w:rsidTr="00897890">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16"/>
                <w:lang w:eastAsia="en-AU"/>
              </w:rPr>
            </w:pPr>
            <w:r w:rsidRPr="00645124">
              <w:rPr>
                <w:rFonts w:ascii="Calibri" w:eastAsiaTheme="minorEastAsia" w:hAnsi="Calibri" w:cs="Calibri"/>
                <w:color w:val="000000"/>
                <w:sz w:val="22"/>
                <w:szCs w:val="16"/>
                <w:lang w:eastAsia="en-AU"/>
              </w:rPr>
              <w:t>Bad debts written off</w:t>
            </w:r>
          </w:p>
        </w:tc>
        <w:tc>
          <w:tcPr>
            <w:tcW w:w="99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6"/>
                <w:szCs w:val="16"/>
                <w:lang w:eastAsia="en-AU"/>
              </w:rPr>
            </w:pPr>
            <w:r w:rsidRPr="00645124">
              <w:rPr>
                <w:rFonts w:ascii="Calibri" w:eastAsiaTheme="minorEastAsia" w:hAnsi="Calibri" w:cs="Calibri"/>
                <w:color w:val="000000"/>
                <w:sz w:val="22"/>
                <w:szCs w:val="16"/>
                <w:lang w:eastAsia="en-AU"/>
              </w:rPr>
              <w:t>(52)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6"/>
                <w:szCs w:val="16"/>
                <w:lang w:eastAsia="en-AU"/>
              </w:rPr>
            </w:pPr>
            <w:r w:rsidRPr="00645124">
              <w:rPr>
                <w:rFonts w:ascii="Calibri" w:eastAsiaTheme="minorEastAsia" w:hAnsi="Calibri" w:cs="Calibri"/>
                <w:color w:val="000000"/>
                <w:sz w:val="22"/>
                <w:szCs w:val="16"/>
                <w:lang w:eastAsia="en-AU"/>
              </w:rPr>
              <w:t>(49)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6"/>
                <w:szCs w:val="16"/>
                <w:lang w:eastAsia="en-AU"/>
              </w:rPr>
            </w:pPr>
            <w:r w:rsidRPr="00645124">
              <w:rPr>
                <w:rFonts w:ascii="Calibri" w:eastAsiaTheme="minorEastAsia" w:hAnsi="Calibri" w:cs="Calibri"/>
                <w:color w:val="000000"/>
                <w:sz w:val="22"/>
                <w:szCs w:val="16"/>
                <w:lang w:eastAsia="en-AU"/>
              </w:rPr>
              <w:t>(45)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6"/>
                <w:szCs w:val="16"/>
                <w:lang w:eastAsia="en-AU"/>
              </w:rPr>
            </w:pPr>
            <w:r w:rsidRPr="00645124">
              <w:rPr>
                <w:rFonts w:ascii="Calibri" w:eastAsiaTheme="minorEastAsia" w:hAnsi="Calibri" w:cs="Calibri"/>
                <w:color w:val="000000"/>
                <w:sz w:val="22"/>
                <w:szCs w:val="16"/>
                <w:lang w:eastAsia="en-AU"/>
              </w:rPr>
              <w:t>(41)</w:t>
            </w:r>
          </w:p>
        </w:tc>
      </w:tr>
      <w:tr w:rsidR="00BB67AF" w:rsidRPr="00645124" w:rsidTr="00897890">
        <w:tc>
          <w:tcPr>
            <w:tcW w:w="524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16"/>
                <w:vertAlign w:val="superscript"/>
                <w:lang w:eastAsia="en-AU"/>
              </w:rPr>
            </w:pPr>
            <w:r w:rsidRPr="00645124">
              <w:rPr>
                <w:rFonts w:ascii="Calibri" w:eastAsiaTheme="minorEastAsia" w:hAnsi="Calibri" w:cs="Calibri"/>
                <w:color w:val="000000"/>
                <w:sz w:val="22"/>
                <w:szCs w:val="16"/>
                <w:lang w:eastAsia="en-AU"/>
              </w:rPr>
              <w:t xml:space="preserve">Other gains/(losses) </w:t>
            </w:r>
            <w:r w:rsidRPr="00645124">
              <w:rPr>
                <w:rFonts w:ascii="Calibri" w:eastAsiaTheme="minorEastAsia" w:hAnsi="Calibri" w:cs="Calibri"/>
                <w:color w:val="000000"/>
                <w:sz w:val="22"/>
                <w:szCs w:val="16"/>
                <w:vertAlign w:val="superscript"/>
                <w:lang w:eastAsia="en-AU"/>
              </w:rPr>
              <w:t>(a)</w:t>
            </w:r>
          </w:p>
        </w:tc>
        <w:tc>
          <w:tcPr>
            <w:tcW w:w="991"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6"/>
                <w:szCs w:val="16"/>
                <w:lang w:eastAsia="en-AU"/>
              </w:rPr>
            </w:pPr>
            <w:r w:rsidRPr="00645124">
              <w:rPr>
                <w:rFonts w:ascii="Calibri" w:eastAsiaTheme="minorEastAsia" w:hAnsi="Calibri" w:cs="Calibri"/>
                <w:color w:val="000000"/>
                <w:sz w:val="22"/>
                <w:szCs w:val="16"/>
                <w:lang w:eastAsia="en-AU"/>
              </w:rPr>
              <w:t>(24)</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6"/>
                <w:szCs w:val="16"/>
                <w:lang w:eastAsia="en-AU"/>
              </w:rPr>
            </w:pPr>
            <w:r w:rsidRPr="00645124">
              <w:rPr>
                <w:rFonts w:ascii="Calibri" w:eastAsiaTheme="minorEastAsia" w:hAnsi="Calibri" w:cs="Calibri"/>
                <w:color w:val="000000"/>
                <w:sz w:val="22"/>
                <w:szCs w:val="16"/>
                <w:lang w:eastAsia="en-AU"/>
              </w:rPr>
              <w:t>(1 066)</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6"/>
                <w:szCs w:val="16"/>
                <w:lang w:eastAsia="en-AU"/>
              </w:rPr>
            </w:pPr>
            <w:r w:rsidRPr="00645124">
              <w:rPr>
                <w:rFonts w:ascii="Calibri" w:eastAsiaTheme="minorEastAsia" w:hAnsi="Calibri" w:cs="Calibri"/>
                <w:color w:val="000000"/>
                <w:sz w:val="22"/>
                <w:szCs w:val="16"/>
                <w:lang w:eastAsia="en-AU"/>
              </w:rPr>
              <w:t>(52)</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6"/>
                <w:szCs w:val="16"/>
                <w:lang w:eastAsia="en-AU"/>
              </w:rPr>
            </w:pPr>
            <w:r w:rsidRPr="00645124">
              <w:rPr>
                <w:rFonts w:ascii="Calibri" w:eastAsiaTheme="minorEastAsia" w:hAnsi="Calibri" w:cs="Calibri"/>
                <w:color w:val="000000"/>
                <w:sz w:val="22"/>
                <w:szCs w:val="16"/>
                <w:lang w:eastAsia="en-AU"/>
              </w:rPr>
              <w:t>(150)</w:t>
            </w:r>
          </w:p>
        </w:tc>
      </w:tr>
      <w:tr w:rsidR="00BB67AF" w:rsidRPr="00645124" w:rsidTr="00897890">
        <w:tc>
          <w:tcPr>
            <w:tcW w:w="5245"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16"/>
                <w:lang w:eastAsia="en-AU"/>
              </w:rPr>
            </w:pPr>
            <w:r w:rsidRPr="00645124">
              <w:rPr>
                <w:rFonts w:ascii="Calibri" w:eastAsiaTheme="minorEastAsia" w:hAnsi="Calibri" w:cs="Calibri"/>
                <w:b/>
                <w:bCs/>
                <w:color w:val="000000"/>
                <w:sz w:val="22"/>
                <w:szCs w:val="16"/>
                <w:lang w:eastAsia="en-AU"/>
              </w:rPr>
              <w:t>Total other gains/(losses) from other economic flows</w:t>
            </w:r>
            <w:r w:rsidRPr="00645124">
              <w:rPr>
                <w:rFonts w:ascii="Calibri" w:eastAsiaTheme="minorEastAsia" w:hAnsi="Calibri" w:cs="Calibri"/>
                <w:b/>
                <w:color w:val="000000"/>
                <w:sz w:val="22"/>
                <w:szCs w:val="16"/>
                <w:vertAlign w:val="superscript"/>
                <w:lang w:eastAsia="en-AU"/>
              </w:rPr>
              <w:t>(a)</w:t>
            </w:r>
          </w:p>
        </w:tc>
        <w:tc>
          <w:tcPr>
            <w:tcW w:w="991"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6"/>
                <w:szCs w:val="16"/>
                <w:lang w:eastAsia="en-AU"/>
              </w:rPr>
            </w:pPr>
            <w:r w:rsidRPr="00645124">
              <w:rPr>
                <w:rFonts w:ascii="Calibri" w:eastAsiaTheme="minorEastAsia" w:hAnsi="Calibri" w:cs="Calibri"/>
                <w:b/>
                <w:bCs/>
                <w:color w:val="000000"/>
                <w:sz w:val="22"/>
                <w:szCs w:val="16"/>
                <w:lang w:eastAsia="en-AU"/>
              </w:rPr>
              <w:t>(351)</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6"/>
                <w:szCs w:val="16"/>
                <w:lang w:eastAsia="en-AU"/>
              </w:rPr>
            </w:pPr>
            <w:r w:rsidRPr="00645124">
              <w:rPr>
                <w:rFonts w:ascii="Calibri" w:eastAsiaTheme="minorEastAsia" w:hAnsi="Calibri" w:cs="Calibri"/>
                <w:b/>
                <w:bCs/>
                <w:color w:val="000000"/>
                <w:sz w:val="22"/>
                <w:szCs w:val="16"/>
                <w:lang w:eastAsia="en-AU"/>
              </w:rPr>
              <w:t>(1 266)</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6"/>
                <w:szCs w:val="16"/>
                <w:lang w:eastAsia="en-AU"/>
              </w:rPr>
            </w:pPr>
            <w:r w:rsidRPr="00645124">
              <w:rPr>
                <w:rFonts w:ascii="Calibri" w:eastAsiaTheme="minorEastAsia" w:hAnsi="Calibri" w:cs="Calibri"/>
                <w:b/>
                <w:bCs/>
                <w:color w:val="000000"/>
                <w:sz w:val="22"/>
                <w:szCs w:val="16"/>
                <w:lang w:eastAsia="en-AU"/>
              </w:rPr>
              <w:t>(260)</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6"/>
                <w:szCs w:val="16"/>
                <w:lang w:eastAsia="en-AU"/>
              </w:rPr>
            </w:pPr>
            <w:r w:rsidRPr="00645124">
              <w:rPr>
                <w:rFonts w:ascii="Calibri" w:eastAsiaTheme="minorEastAsia" w:hAnsi="Calibri" w:cs="Calibri"/>
                <w:b/>
                <w:bCs/>
                <w:color w:val="000000"/>
                <w:sz w:val="22"/>
                <w:szCs w:val="16"/>
                <w:lang w:eastAsia="en-AU"/>
              </w:rPr>
              <w:t>(333)</w:t>
            </w:r>
          </w:p>
        </w:tc>
      </w:tr>
    </w:tbl>
    <w:p w:rsidR="00BB67AF" w:rsidRDefault="00BB67AF" w:rsidP="003E6750">
      <w:pPr>
        <w:pStyle w:val="Notes"/>
      </w:pPr>
      <w:r>
        <w:t>Note:</w:t>
      </w:r>
    </w:p>
    <w:p w:rsidR="00BB67AF" w:rsidRPr="00717E8D" w:rsidRDefault="00BB67AF" w:rsidP="003E6750">
      <w:pPr>
        <w:pStyle w:val="Notes"/>
      </w:pPr>
      <w:r>
        <w:t>(a)</w:t>
      </w:r>
      <w:r>
        <w:tab/>
        <w:t xml:space="preserve">The December 2014 comparative figures have been restated to reflect more current information, mainly including adjustments outlined in Note 37 of the </w:t>
      </w:r>
      <w:r>
        <w:rPr>
          <w:i w:val="0"/>
        </w:rPr>
        <w:t>2014</w:t>
      </w:r>
      <w:r>
        <w:rPr>
          <w:i w:val="0"/>
        </w:rPr>
        <w:noBreakHyphen/>
        <w:t>15 Financial Report</w:t>
      </w:r>
      <w:r>
        <w:t>.</w:t>
      </w:r>
    </w:p>
    <w:p w:rsidR="00BB67AF" w:rsidRDefault="00BB67AF" w:rsidP="003E6750"/>
    <w:p w:rsidR="00BB67AF" w:rsidRDefault="00BB67AF" w:rsidP="003E6750"/>
    <w:p w:rsidR="00BB67AF" w:rsidRDefault="00BB67AF" w:rsidP="003E6750">
      <w:pPr>
        <w:pStyle w:val="Heading2Notes"/>
      </w:pPr>
      <w:bookmarkStart w:id="24" w:name="_Toc445283173"/>
      <w:r w:rsidRPr="002A0269">
        <w:t xml:space="preserve">Note 15: </w:t>
      </w:r>
      <w:r w:rsidRPr="002A0269">
        <w:tab/>
        <w:t>Advances paid and investments, loans and placements</w:t>
      </w:r>
      <w:bookmarkEnd w:id="24"/>
    </w:p>
    <w:p w:rsidR="00BB67AF" w:rsidRPr="004D1572" w:rsidRDefault="00BB67AF" w:rsidP="003E6750">
      <w:pPr>
        <w:pStyle w:val="million"/>
        <w:rPr>
          <w:b/>
          <w:bCs/>
          <w:lang w:val="en-US"/>
        </w:rPr>
      </w:pPr>
      <w:r>
        <w:t>($ million)</w:t>
      </w:r>
    </w:p>
    <w:tbl>
      <w:tblPr>
        <w:tblW w:w="9638" w:type="dxa"/>
        <w:tblInd w:w="45" w:type="dxa"/>
        <w:tblLayout w:type="fixed"/>
        <w:tblCellMar>
          <w:left w:w="45" w:type="dxa"/>
          <w:right w:w="45" w:type="dxa"/>
        </w:tblCellMar>
        <w:tblLook w:val="0000" w:firstRow="0" w:lastRow="0" w:firstColumn="0" w:lastColumn="0" w:noHBand="0" w:noVBand="0"/>
      </w:tblPr>
      <w:tblGrid>
        <w:gridCol w:w="5245"/>
        <w:gridCol w:w="991"/>
        <w:gridCol w:w="1134"/>
        <w:gridCol w:w="1134"/>
        <w:gridCol w:w="1134"/>
      </w:tblGrid>
      <w:tr w:rsidR="00897890" w:rsidRPr="00645124" w:rsidTr="00897890">
        <w:trPr>
          <w:tblHeader/>
        </w:trPr>
        <w:tc>
          <w:tcPr>
            <w:tcW w:w="5245" w:type="dxa"/>
            <w:tcBorders>
              <w:top w:val="nil"/>
              <w:left w:val="nil"/>
              <w:bottom w:val="nil"/>
              <w:right w:val="nil"/>
            </w:tcBorders>
            <w:shd w:val="solid" w:color="000000" w:fill="auto"/>
            <w:vAlign w:val="bottom"/>
          </w:tcPr>
          <w:p w:rsidR="00897890" w:rsidRPr="00645124" w:rsidRDefault="00897890" w:rsidP="003E675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2125" w:type="dxa"/>
            <w:gridSpan w:val="2"/>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State of Victoria</w:t>
            </w:r>
          </w:p>
        </w:tc>
        <w:tc>
          <w:tcPr>
            <w:tcW w:w="2268" w:type="dxa"/>
            <w:gridSpan w:val="2"/>
            <w:tcBorders>
              <w:top w:val="nil"/>
              <w:left w:val="nil"/>
              <w:bottom w:val="nil"/>
              <w:right w:val="nil"/>
            </w:tcBorders>
            <w:shd w:val="solid" w:color="000000" w:fill="auto"/>
            <w:vAlign w:val="bottom"/>
          </w:tcPr>
          <w:p w:rsidR="00897890" w:rsidRPr="00645124" w:rsidRDefault="00897890" w:rsidP="0089789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General </w:t>
            </w:r>
            <w:r w:rsidRPr="00645124">
              <w:rPr>
                <w:rFonts w:ascii="Calibri" w:eastAsiaTheme="minorEastAsia" w:hAnsi="Calibri" w:cs="Calibri"/>
                <w:i/>
                <w:iCs/>
                <w:color w:val="FFFFFF"/>
                <w:sz w:val="22"/>
                <w:szCs w:val="22"/>
                <w:lang w:eastAsia="en-AU"/>
              </w:rPr>
              <w:br/>
              <w:t>government sector</w:t>
            </w:r>
          </w:p>
        </w:tc>
      </w:tr>
      <w:tr w:rsidR="00897890" w:rsidRPr="00645124" w:rsidTr="00897890">
        <w:trPr>
          <w:trHeight w:val="537"/>
          <w:tblHeader/>
        </w:trPr>
        <w:tc>
          <w:tcPr>
            <w:tcW w:w="5245" w:type="dxa"/>
            <w:tcBorders>
              <w:top w:val="nil"/>
              <w:left w:val="nil"/>
              <w:right w:val="nil"/>
            </w:tcBorders>
            <w:shd w:val="solid" w:color="000000" w:fill="auto"/>
            <w:vAlign w:val="bottom"/>
          </w:tcPr>
          <w:p w:rsidR="00897890" w:rsidRPr="00645124" w:rsidRDefault="00897890" w:rsidP="003E6750">
            <w:pPr>
              <w:autoSpaceDE w:val="0"/>
              <w:autoSpaceDN w:val="0"/>
              <w:adjustRightInd w:val="0"/>
              <w:spacing w:after="0"/>
              <w:rPr>
                <w:rFonts w:ascii="Calibri" w:eastAsiaTheme="minorEastAsia" w:hAnsi="Calibri" w:cs="Calibri"/>
                <w:i/>
                <w:iCs/>
                <w:color w:val="FFFFFF"/>
                <w:sz w:val="22"/>
                <w:szCs w:val="22"/>
                <w:lang w:eastAsia="en-AU"/>
              </w:rPr>
            </w:pPr>
          </w:p>
        </w:tc>
        <w:tc>
          <w:tcPr>
            <w:tcW w:w="991" w:type="dxa"/>
            <w:tcBorders>
              <w:top w:val="nil"/>
              <w:left w:val="nil"/>
              <w:right w:val="nil"/>
            </w:tcBorders>
            <w:shd w:val="solid" w:color="000000" w:fill="auto"/>
            <w:vAlign w:val="bottom"/>
          </w:tcPr>
          <w:p w:rsidR="00897890" w:rsidRPr="00645124" w:rsidRDefault="00897890"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Dec</w:t>
            </w:r>
          </w:p>
          <w:p w:rsidR="00897890" w:rsidRPr="00645124" w:rsidRDefault="00897890"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4" w:type="dxa"/>
            <w:tcBorders>
              <w:top w:val="nil"/>
              <w:left w:val="nil"/>
              <w:right w:val="nil"/>
            </w:tcBorders>
            <w:shd w:val="solid" w:color="000000" w:fill="auto"/>
            <w:vAlign w:val="bottom"/>
          </w:tcPr>
          <w:p w:rsidR="00897890" w:rsidRPr="00645124" w:rsidRDefault="00897890"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Jun</w:t>
            </w:r>
          </w:p>
          <w:p w:rsidR="00897890" w:rsidRPr="00645124" w:rsidRDefault="00897890"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4" w:type="dxa"/>
            <w:tcBorders>
              <w:top w:val="nil"/>
              <w:left w:val="nil"/>
              <w:right w:val="nil"/>
            </w:tcBorders>
            <w:shd w:val="solid" w:color="000000" w:fill="auto"/>
            <w:vAlign w:val="bottom"/>
          </w:tcPr>
          <w:p w:rsidR="00897890" w:rsidRPr="00645124" w:rsidRDefault="00897890"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Dec</w:t>
            </w:r>
          </w:p>
          <w:p w:rsidR="00897890" w:rsidRPr="00645124" w:rsidRDefault="00897890"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4" w:type="dxa"/>
            <w:tcBorders>
              <w:top w:val="nil"/>
              <w:left w:val="nil"/>
              <w:right w:val="nil"/>
            </w:tcBorders>
            <w:shd w:val="solid" w:color="000000" w:fill="auto"/>
            <w:vAlign w:val="bottom"/>
          </w:tcPr>
          <w:p w:rsidR="00897890" w:rsidRPr="00645124" w:rsidRDefault="00897890"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Jun</w:t>
            </w:r>
          </w:p>
          <w:p w:rsidR="00897890" w:rsidRPr="00645124" w:rsidRDefault="00897890"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r>
      <w:tr w:rsidR="008D5D2B" w:rsidRPr="00645124" w:rsidTr="008D5D2B">
        <w:tc>
          <w:tcPr>
            <w:tcW w:w="9638" w:type="dxa"/>
            <w:gridSpan w:val="5"/>
            <w:tcBorders>
              <w:top w:val="nil"/>
              <w:left w:val="nil"/>
              <w:right w:val="nil"/>
            </w:tcBorders>
            <w:shd w:val="clear" w:color="auto" w:fill="FFFFFF"/>
          </w:tcPr>
          <w:p w:rsidR="008D5D2B" w:rsidRPr="00645124" w:rsidRDefault="008D5D2B" w:rsidP="008D5D2B">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Current advances paid and investments, loans and placements</w:t>
            </w:r>
          </w:p>
        </w:tc>
      </w:tr>
      <w:tr w:rsidR="00BB67AF" w:rsidRPr="00645124" w:rsidTr="00897890">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Loans and advances paid</w:t>
            </w:r>
          </w:p>
        </w:tc>
        <w:tc>
          <w:tcPr>
            <w:tcW w:w="99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60</w:t>
            </w:r>
          </w:p>
        </w:tc>
      </w:tr>
      <w:tr w:rsidR="00BB67AF" w:rsidRPr="00645124" w:rsidTr="00897890">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Equities and managed investment schemes </w:t>
            </w:r>
          </w:p>
        </w:tc>
        <w:tc>
          <w:tcPr>
            <w:tcW w:w="99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1 028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1 320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1 016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962</w:t>
            </w:r>
          </w:p>
        </w:tc>
      </w:tr>
      <w:tr w:rsidR="00BB67AF" w:rsidRPr="00645124" w:rsidTr="00897890">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Australian dollar term deposits</w:t>
            </w:r>
          </w:p>
        </w:tc>
        <w:tc>
          <w:tcPr>
            <w:tcW w:w="99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388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390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1 714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1 932</w:t>
            </w:r>
          </w:p>
        </w:tc>
      </w:tr>
      <w:tr w:rsidR="00BB67AF" w:rsidRPr="00645124" w:rsidTr="00897890">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Debt securities</w:t>
            </w:r>
          </w:p>
        </w:tc>
        <w:tc>
          <w:tcPr>
            <w:tcW w:w="99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4 646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4 706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w:t>
            </w:r>
          </w:p>
        </w:tc>
      </w:tr>
      <w:tr w:rsidR="00BB67AF" w:rsidRPr="00645124" w:rsidTr="00897890">
        <w:tc>
          <w:tcPr>
            <w:tcW w:w="524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Derivative financial instruments</w:t>
            </w:r>
          </w:p>
        </w:tc>
        <w:tc>
          <w:tcPr>
            <w:tcW w:w="991"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230</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106</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897890">
        <w:tc>
          <w:tcPr>
            <w:tcW w:w="5245"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current advances paid and investments, loans and placements</w:t>
            </w:r>
          </w:p>
        </w:tc>
        <w:tc>
          <w:tcPr>
            <w:tcW w:w="991"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6 317</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6 552</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2 796</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2 960</w:t>
            </w:r>
          </w:p>
        </w:tc>
      </w:tr>
      <w:tr w:rsidR="008D5D2B" w:rsidRPr="00645124" w:rsidTr="008D5D2B">
        <w:tc>
          <w:tcPr>
            <w:tcW w:w="9638" w:type="dxa"/>
            <w:gridSpan w:val="5"/>
            <w:tcBorders>
              <w:top w:val="nil"/>
              <w:left w:val="nil"/>
              <w:right w:val="nil"/>
            </w:tcBorders>
            <w:shd w:val="clear" w:color="auto" w:fill="FFFFFF"/>
          </w:tcPr>
          <w:p w:rsidR="008D5D2B" w:rsidRPr="00645124" w:rsidRDefault="008D5D2B" w:rsidP="008D5D2B">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Non</w:t>
            </w:r>
            <w:r w:rsidRPr="00645124">
              <w:rPr>
                <w:rFonts w:ascii="Calibri" w:eastAsiaTheme="minorEastAsia" w:hAnsi="Calibri" w:cs="Calibri"/>
                <w:b/>
                <w:bCs/>
                <w:color w:val="000000"/>
                <w:sz w:val="22"/>
                <w:szCs w:val="22"/>
                <w:lang w:eastAsia="en-AU"/>
              </w:rPr>
              <w:noBreakHyphen/>
              <w:t>current advances paid and investments, loans and placements</w:t>
            </w:r>
          </w:p>
        </w:tc>
      </w:tr>
      <w:tr w:rsidR="00BB67AF" w:rsidRPr="00645124" w:rsidTr="00897890">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Loans and advances paid</w:t>
            </w:r>
          </w:p>
        </w:tc>
        <w:tc>
          <w:tcPr>
            <w:tcW w:w="99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117</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4 490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4 512</w:t>
            </w:r>
          </w:p>
        </w:tc>
      </w:tr>
      <w:tr w:rsidR="00BB67AF" w:rsidRPr="00645124" w:rsidTr="00897890">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Equities and managed investment schemes </w:t>
            </w:r>
          </w:p>
        </w:tc>
        <w:tc>
          <w:tcPr>
            <w:tcW w:w="99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23 619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22 876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283</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273</w:t>
            </w:r>
          </w:p>
        </w:tc>
      </w:tr>
      <w:tr w:rsidR="00BB67AF" w:rsidRPr="00645124" w:rsidTr="00897890">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Australian dollar term deposits</w:t>
            </w:r>
          </w:p>
        </w:tc>
        <w:tc>
          <w:tcPr>
            <w:tcW w:w="99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155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159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325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198</w:t>
            </w:r>
          </w:p>
        </w:tc>
      </w:tr>
      <w:tr w:rsidR="00BB67AF" w:rsidRPr="00645124" w:rsidTr="00897890">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Debt securities</w:t>
            </w:r>
          </w:p>
        </w:tc>
        <w:tc>
          <w:tcPr>
            <w:tcW w:w="99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4 422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4 211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34</w:t>
            </w:r>
          </w:p>
        </w:tc>
      </w:tr>
      <w:tr w:rsidR="00BB67AF" w:rsidRPr="00645124" w:rsidTr="00897890">
        <w:tc>
          <w:tcPr>
            <w:tcW w:w="524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Derivative financial instruments</w:t>
            </w:r>
          </w:p>
        </w:tc>
        <w:tc>
          <w:tcPr>
            <w:tcW w:w="991"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802</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549</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897890">
        <w:tc>
          <w:tcPr>
            <w:tcW w:w="5245"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non</w:t>
            </w:r>
            <w:r w:rsidRPr="00645124">
              <w:rPr>
                <w:rFonts w:ascii="Calibri" w:eastAsiaTheme="minorEastAsia" w:hAnsi="Calibri" w:cs="Calibri"/>
                <w:b/>
                <w:bCs/>
                <w:color w:val="000000"/>
                <w:sz w:val="22"/>
                <w:szCs w:val="22"/>
                <w:lang w:eastAsia="en-AU"/>
              </w:rPr>
              <w:noBreakHyphen/>
              <w:t>current advances paid and investments, loans and placements</w:t>
            </w:r>
          </w:p>
        </w:tc>
        <w:tc>
          <w:tcPr>
            <w:tcW w:w="991"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29 115</w:t>
            </w:r>
          </w:p>
        </w:tc>
        <w:tc>
          <w:tcPr>
            <w:tcW w:w="113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27 886</w:t>
            </w:r>
          </w:p>
        </w:tc>
        <w:tc>
          <w:tcPr>
            <w:tcW w:w="113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5 142</w:t>
            </w:r>
          </w:p>
        </w:tc>
        <w:tc>
          <w:tcPr>
            <w:tcW w:w="113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5 018</w:t>
            </w:r>
          </w:p>
        </w:tc>
      </w:tr>
      <w:tr w:rsidR="00BB67AF" w:rsidRPr="00645124" w:rsidTr="00897890">
        <w:tc>
          <w:tcPr>
            <w:tcW w:w="5245"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advances paid and investments, loans and placements</w:t>
            </w:r>
          </w:p>
        </w:tc>
        <w:tc>
          <w:tcPr>
            <w:tcW w:w="991"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35 432</w:t>
            </w:r>
          </w:p>
        </w:tc>
        <w:tc>
          <w:tcPr>
            <w:tcW w:w="113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34 438</w:t>
            </w:r>
          </w:p>
        </w:tc>
        <w:tc>
          <w:tcPr>
            <w:tcW w:w="113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7 939</w:t>
            </w:r>
          </w:p>
        </w:tc>
        <w:tc>
          <w:tcPr>
            <w:tcW w:w="113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7 978</w:t>
            </w:r>
          </w:p>
        </w:tc>
      </w:tr>
      <w:tr w:rsidR="00BB67AF" w:rsidRPr="00645124" w:rsidTr="00897890">
        <w:tc>
          <w:tcPr>
            <w:tcW w:w="5245"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Represented by:</w:t>
            </w:r>
          </w:p>
        </w:tc>
        <w:tc>
          <w:tcPr>
            <w:tcW w:w="991"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897890">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Advances paid</w:t>
            </w:r>
          </w:p>
        </w:tc>
        <w:tc>
          <w:tcPr>
            <w:tcW w:w="99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143</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121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4 550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4 572</w:t>
            </w:r>
          </w:p>
        </w:tc>
      </w:tr>
      <w:tr w:rsidR="00BB67AF" w:rsidRPr="00645124" w:rsidTr="00897890">
        <w:tc>
          <w:tcPr>
            <w:tcW w:w="5245"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Investments, loans and placements</w:t>
            </w:r>
          </w:p>
        </w:tc>
        <w:tc>
          <w:tcPr>
            <w:tcW w:w="991"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35 289</w:t>
            </w:r>
          </w:p>
        </w:tc>
        <w:tc>
          <w:tcPr>
            <w:tcW w:w="1134"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34 317</w:t>
            </w:r>
          </w:p>
        </w:tc>
        <w:tc>
          <w:tcPr>
            <w:tcW w:w="1134"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3 389</w:t>
            </w:r>
          </w:p>
        </w:tc>
        <w:tc>
          <w:tcPr>
            <w:tcW w:w="1134"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3 406</w:t>
            </w:r>
          </w:p>
        </w:tc>
      </w:tr>
    </w:tbl>
    <w:p w:rsidR="00BB67AF" w:rsidRDefault="00BB67AF" w:rsidP="003E6750"/>
    <w:p w:rsidR="00BB67AF" w:rsidRDefault="00BB67AF" w:rsidP="003E6750"/>
    <w:p w:rsidR="00BB67AF" w:rsidRDefault="00BB67AF">
      <w:pPr>
        <w:spacing w:after="0"/>
        <w:rPr>
          <w:rFonts w:ascii="Calibri" w:hAnsi="Calibri"/>
          <w:b/>
          <w:kern w:val="28"/>
          <w:sz w:val="28"/>
          <w:szCs w:val="22"/>
        </w:rPr>
      </w:pPr>
      <w:r>
        <w:br w:type="page"/>
      </w:r>
    </w:p>
    <w:p w:rsidR="00BB67AF" w:rsidRDefault="00BB67AF" w:rsidP="003E6750">
      <w:pPr>
        <w:pStyle w:val="Heading2Notes"/>
      </w:pPr>
      <w:bookmarkStart w:id="25" w:name="_Toc445283174"/>
      <w:r w:rsidRPr="002A0269">
        <w:lastRenderedPageBreak/>
        <w:t xml:space="preserve">Note 16: </w:t>
      </w:r>
      <w:r w:rsidRPr="002A0269">
        <w:tab/>
        <w:t>Receivables</w:t>
      </w:r>
      <w:bookmarkEnd w:id="25"/>
    </w:p>
    <w:p w:rsidR="00BB67AF" w:rsidRPr="006E014F" w:rsidRDefault="00BB67AF" w:rsidP="003E6750">
      <w:pPr>
        <w:pStyle w:val="million"/>
        <w:rPr>
          <w:b/>
          <w:bCs/>
          <w:lang w:val="en-US"/>
        </w:rPr>
      </w:pPr>
      <w:r w:rsidRPr="002A0269">
        <w:t>($ million)</w:t>
      </w:r>
    </w:p>
    <w:tbl>
      <w:tblPr>
        <w:tblW w:w="9638" w:type="dxa"/>
        <w:tblInd w:w="45" w:type="dxa"/>
        <w:tblLayout w:type="fixed"/>
        <w:tblCellMar>
          <w:left w:w="45" w:type="dxa"/>
          <w:right w:w="45" w:type="dxa"/>
        </w:tblCellMar>
        <w:tblLook w:val="0000" w:firstRow="0" w:lastRow="0" w:firstColumn="0" w:lastColumn="0" w:noHBand="0" w:noVBand="0"/>
      </w:tblPr>
      <w:tblGrid>
        <w:gridCol w:w="5102"/>
        <w:gridCol w:w="1134"/>
        <w:gridCol w:w="1134"/>
        <w:gridCol w:w="1134"/>
        <w:gridCol w:w="1134"/>
      </w:tblGrid>
      <w:tr w:rsidR="008D5D2B" w:rsidRPr="00645124" w:rsidTr="008D5D2B">
        <w:trPr>
          <w:tblHeader/>
        </w:trPr>
        <w:tc>
          <w:tcPr>
            <w:tcW w:w="5102" w:type="dxa"/>
            <w:tcBorders>
              <w:top w:val="nil"/>
              <w:left w:val="nil"/>
              <w:bottom w:val="nil"/>
              <w:right w:val="nil"/>
            </w:tcBorders>
            <w:shd w:val="solid" w:color="000000" w:fill="auto"/>
            <w:vAlign w:val="bottom"/>
          </w:tcPr>
          <w:p w:rsidR="008D5D2B" w:rsidRPr="00645124" w:rsidRDefault="008D5D2B" w:rsidP="003E6750">
            <w:pPr>
              <w:autoSpaceDE w:val="0"/>
              <w:autoSpaceDN w:val="0"/>
              <w:adjustRightInd w:val="0"/>
              <w:spacing w:after="0"/>
              <w:jc w:val="center"/>
              <w:rPr>
                <w:rFonts w:ascii="Calibri" w:eastAsiaTheme="minorEastAsia" w:hAnsi="Calibri" w:cs="Arial"/>
                <w:i/>
                <w:iCs/>
                <w:color w:val="FFFFFF"/>
                <w:sz w:val="22"/>
                <w:szCs w:val="22"/>
                <w:lang w:eastAsia="en-AU"/>
              </w:rPr>
            </w:pPr>
            <w:r w:rsidRPr="00645124">
              <w:rPr>
                <w:rFonts w:ascii="Calibri" w:eastAsiaTheme="minorEastAsia" w:hAnsi="Calibri" w:cs="Arial"/>
                <w:i/>
                <w:iCs/>
                <w:color w:val="FFFFFF"/>
                <w:sz w:val="22"/>
                <w:szCs w:val="22"/>
                <w:lang w:eastAsia="en-AU"/>
              </w:rPr>
              <w:t xml:space="preserve"> </w:t>
            </w:r>
          </w:p>
        </w:tc>
        <w:tc>
          <w:tcPr>
            <w:tcW w:w="2268" w:type="dxa"/>
            <w:gridSpan w:val="2"/>
            <w:tcBorders>
              <w:top w:val="nil"/>
              <w:left w:val="nil"/>
              <w:bottom w:val="nil"/>
              <w:right w:val="nil"/>
            </w:tcBorders>
            <w:shd w:val="solid" w:color="000000" w:fill="auto"/>
            <w:vAlign w:val="bottom"/>
          </w:tcPr>
          <w:p w:rsidR="008D5D2B" w:rsidRPr="00645124" w:rsidRDefault="008D5D2B" w:rsidP="008D5D2B">
            <w:pPr>
              <w:autoSpaceDE w:val="0"/>
              <w:autoSpaceDN w:val="0"/>
              <w:adjustRightInd w:val="0"/>
              <w:spacing w:after="0"/>
              <w:jc w:val="center"/>
              <w:rPr>
                <w:rFonts w:ascii="Calibri" w:eastAsiaTheme="minorEastAsia" w:hAnsi="Calibri" w:cs="Arial"/>
                <w:i/>
                <w:iCs/>
                <w:color w:val="FFFFFF"/>
                <w:sz w:val="22"/>
                <w:szCs w:val="22"/>
                <w:lang w:eastAsia="en-AU"/>
              </w:rPr>
            </w:pPr>
            <w:r w:rsidRPr="00645124">
              <w:rPr>
                <w:rFonts w:ascii="Calibri" w:eastAsiaTheme="minorEastAsia" w:hAnsi="Calibri" w:cs="Arial"/>
                <w:i/>
                <w:iCs/>
                <w:color w:val="FFFFFF"/>
                <w:sz w:val="22"/>
                <w:szCs w:val="22"/>
                <w:lang w:eastAsia="en-AU"/>
              </w:rPr>
              <w:t>State of Victoria</w:t>
            </w:r>
          </w:p>
        </w:tc>
        <w:tc>
          <w:tcPr>
            <w:tcW w:w="2268" w:type="dxa"/>
            <w:gridSpan w:val="2"/>
            <w:tcBorders>
              <w:top w:val="nil"/>
              <w:left w:val="nil"/>
              <w:bottom w:val="nil"/>
              <w:right w:val="nil"/>
            </w:tcBorders>
            <w:shd w:val="solid" w:color="000000" w:fill="auto"/>
            <w:vAlign w:val="bottom"/>
          </w:tcPr>
          <w:p w:rsidR="008D5D2B" w:rsidRPr="00645124" w:rsidRDefault="008D5D2B" w:rsidP="008D5D2B">
            <w:pPr>
              <w:autoSpaceDE w:val="0"/>
              <w:autoSpaceDN w:val="0"/>
              <w:adjustRightInd w:val="0"/>
              <w:spacing w:after="0"/>
              <w:jc w:val="center"/>
              <w:rPr>
                <w:rFonts w:ascii="Calibri" w:eastAsiaTheme="minorEastAsia" w:hAnsi="Calibri" w:cs="Arial"/>
                <w:i/>
                <w:iCs/>
                <w:color w:val="FFFFFF"/>
                <w:sz w:val="22"/>
                <w:szCs w:val="22"/>
                <w:lang w:eastAsia="en-AU"/>
              </w:rPr>
            </w:pPr>
            <w:r w:rsidRPr="00645124">
              <w:rPr>
                <w:rFonts w:ascii="Calibri" w:eastAsiaTheme="minorEastAsia" w:hAnsi="Calibri" w:cs="Arial"/>
                <w:i/>
                <w:iCs/>
                <w:color w:val="FFFFFF"/>
                <w:sz w:val="22"/>
                <w:szCs w:val="22"/>
                <w:lang w:eastAsia="en-AU"/>
              </w:rPr>
              <w:t xml:space="preserve">General </w:t>
            </w:r>
            <w:r w:rsidRPr="00645124">
              <w:rPr>
                <w:rFonts w:ascii="Calibri" w:eastAsiaTheme="minorEastAsia" w:hAnsi="Calibri" w:cs="Arial"/>
                <w:i/>
                <w:iCs/>
                <w:color w:val="FFFFFF"/>
                <w:sz w:val="22"/>
                <w:szCs w:val="22"/>
                <w:lang w:eastAsia="en-AU"/>
              </w:rPr>
              <w:br/>
              <w:t>government sector</w:t>
            </w:r>
          </w:p>
        </w:tc>
      </w:tr>
      <w:tr w:rsidR="008D5D2B" w:rsidRPr="00645124" w:rsidTr="008D5D2B">
        <w:trPr>
          <w:trHeight w:val="537"/>
          <w:tblHeader/>
        </w:trPr>
        <w:tc>
          <w:tcPr>
            <w:tcW w:w="5102"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ind w:left="227" w:hanging="227"/>
              <w:rPr>
                <w:rFonts w:ascii="Calibri" w:eastAsiaTheme="minorEastAsia" w:hAnsi="Calibri" w:cs="Arial"/>
                <w:i/>
                <w:iCs/>
                <w:color w:val="FFFFFF"/>
                <w:sz w:val="22"/>
                <w:szCs w:val="22"/>
                <w:lang w:eastAsia="en-AU"/>
              </w:rPr>
            </w:pPr>
            <w:r w:rsidRPr="00645124">
              <w:rPr>
                <w:rFonts w:ascii="Calibri" w:eastAsiaTheme="minorEastAsia" w:hAnsi="Calibri" w:cs="Arial"/>
                <w:i/>
                <w:iCs/>
                <w:color w:val="FFFFFF"/>
                <w:sz w:val="22"/>
                <w:szCs w:val="22"/>
                <w:lang w:eastAsia="en-AU"/>
              </w:rPr>
              <w:t xml:space="preserve"> </w:t>
            </w:r>
          </w:p>
        </w:tc>
        <w:tc>
          <w:tcPr>
            <w:tcW w:w="113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22"/>
                <w:szCs w:val="22"/>
                <w:lang w:eastAsia="en-AU"/>
              </w:rPr>
            </w:pPr>
            <w:r w:rsidRPr="00645124">
              <w:rPr>
                <w:rFonts w:ascii="Calibri" w:eastAsiaTheme="minorEastAsia" w:hAnsi="Calibri" w:cs="Arial"/>
                <w:i/>
                <w:iCs/>
                <w:color w:val="FFFFFF"/>
                <w:sz w:val="22"/>
                <w:szCs w:val="22"/>
                <w:lang w:eastAsia="en-AU"/>
              </w:rPr>
              <w:t>Dec</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22"/>
                <w:szCs w:val="22"/>
                <w:lang w:eastAsia="en-AU"/>
              </w:rPr>
            </w:pPr>
            <w:r w:rsidRPr="00645124">
              <w:rPr>
                <w:rFonts w:ascii="Calibri" w:eastAsiaTheme="minorEastAsia" w:hAnsi="Calibri" w:cs="Arial"/>
                <w:i/>
                <w:iCs/>
                <w:color w:val="FFFFFF"/>
                <w:sz w:val="22"/>
                <w:szCs w:val="22"/>
                <w:lang w:eastAsia="en-AU"/>
              </w:rPr>
              <w:t>2015</w:t>
            </w:r>
          </w:p>
        </w:tc>
        <w:tc>
          <w:tcPr>
            <w:tcW w:w="113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22"/>
                <w:szCs w:val="22"/>
                <w:lang w:eastAsia="en-AU"/>
              </w:rPr>
            </w:pPr>
            <w:r w:rsidRPr="00645124">
              <w:rPr>
                <w:rFonts w:ascii="Calibri" w:eastAsiaTheme="minorEastAsia" w:hAnsi="Calibri" w:cs="Arial"/>
                <w:i/>
                <w:iCs/>
                <w:color w:val="FFFFFF"/>
                <w:sz w:val="22"/>
                <w:szCs w:val="22"/>
                <w:lang w:eastAsia="en-AU"/>
              </w:rPr>
              <w:t>Jun</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22"/>
                <w:szCs w:val="22"/>
                <w:lang w:eastAsia="en-AU"/>
              </w:rPr>
            </w:pPr>
            <w:r w:rsidRPr="00645124">
              <w:rPr>
                <w:rFonts w:ascii="Calibri" w:eastAsiaTheme="minorEastAsia" w:hAnsi="Calibri" w:cs="Arial"/>
                <w:i/>
                <w:iCs/>
                <w:color w:val="FFFFFF"/>
                <w:sz w:val="22"/>
                <w:szCs w:val="22"/>
                <w:lang w:eastAsia="en-AU"/>
              </w:rPr>
              <w:t>2015</w:t>
            </w:r>
          </w:p>
        </w:tc>
        <w:tc>
          <w:tcPr>
            <w:tcW w:w="113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22"/>
                <w:szCs w:val="22"/>
                <w:lang w:eastAsia="en-AU"/>
              </w:rPr>
            </w:pPr>
            <w:r w:rsidRPr="00645124">
              <w:rPr>
                <w:rFonts w:ascii="Calibri" w:eastAsiaTheme="minorEastAsia" w:hAnsi="Calibri" w:cs="Arial"/>
                <w:i/>
                <w:iCs/>
                <w:color w:val="FFFFFF"/>
                <w:sz w:val="22"/>
                <w:szCs w:val="22"/>
                <w:lang w:eastAsia="en-AU"/>
              </w:rPr>
              <w:t>Dec</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22"/>
                <w:szCs w:val="22"/>
                <w:lang w:eastAsia="en-AU"/>
              </w:rPr>
            </w:pPr>
            <w:r w:rsidRPr="00645124">
              <w:rPr>
                <w:rFonts w:ascii="Calibri" w:eastAsiaTheme="minorEastAsia" w:hAnsi="Calibri" w:cs="Arial"/>
                <w:i/>
                <w:iCs/>
                <w:color w:val="FFFFFF"/>
                <w:sz w:val="22"/>
                <w:szCs w:val="22"/>
                <w:lang w:eastAsia="en-AU"/>
              </w:rPr>
              <w:t>2015</w:t>
            </w:r>
          </w:p>
        </w:tc>
        <w:tc>
          <w:tcPr>
            <w:tcW w:w="113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22"/>
                <w:szCs w:val="22"/>
                <w:lang w:eastAsia="en-AU"/>
              </w:rPr>
            </w:pPr>
            <w:r w:rsidRPr="00645124">
              <w:rPr>
                <w:rFonts w:ascii="Calibri" w:eastAsiaTheme="minorEastAsia" w:hAnsi="Calibri" w:cs="Arial"/>
                <w:i/>
                <w:iCs/>
                <w:color w:val="FFFFFF"/>
                <w:sz w:val="22"/>
                <w:szCs w:val="22"/>
                <w:lang w:eastAsia="en-AU"/>
              </w:rPr>
              <w:t>Jun</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22"/>
                <w:szCs w:val="22"/>
                <w:lang w:eastAsia="en-AU"/>
              </w:rPr>
            </w:pPr>
            <w:r w:rsidRPr="00645124">
              <w:rPr>
                <w:rFonts w:ascii="Calibri" w:eastAsiaTheme="minorEastAsia" w:hAnsi="Calibri" w:cs="Arial"/>
                <w:i/>
                <w:iCs/>
                <w:color w:val="FFFFFF"/>
                <w:sz w:val="22"/>
                <w:szCs w:val="22"/>
                <w:lang w:eastAsia="en-AU"/>
              </w:rPr>
              <w:t>2015</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Contractual</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 xml:space="preserve">Sales of goods and services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1 441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1 178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905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675</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Accrued investment income</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68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73</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30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17</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Other receivables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1 614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1 199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1 248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1 262</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 xml:space="preserve">Provision for doubtful contractual receivables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(148)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(136)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(82)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(69)</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Statutory</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 xml:space="preserve">Sales of goods and services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2</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 xml:space="preserve">Taxes and other receivables </w:t>
            </w:r>
            <w:r w:rsidRPr="00645124">
              <w:rPr>
                <w:rFonts w:ascii="Calibri" w:eastAsiaTheme="minorEastAsia" w:hAnsi="Calibri" w:cs="Arial"/>
                <w:color w:val="000000"/>
                <w:sz w:val="22"/>
                <w:szCs w:val="22"/>
                <w:vertAlign w:val="superscript"/>
                <w:lang w:eastAsia="en-AU"/>
              </w:rPr>
              <w:t>(a)</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2 599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2 338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2 599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2 492</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Fines and regulatory fees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1 870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1 761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1 870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1 761</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GST input tax credits recoverable</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761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806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209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255</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 xml:space="preserve">Provision for doubtful statutory receivables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(873)</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(838)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(873)</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(838)</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Other</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r>
      <w:tr w:rsidR="00BB67AF" w:rsidRPr="00645124" w:rsidTr="003E6750">
        <w:tc>
          <w:tcPr>
            <w:tcW w:w="510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Actuarially determined</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398</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403</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w:t>
            </w:r>
          </w:p>
        </w:tc>
      </w:tr>
      <w:tr w:rsidR="00BB67AF" w:rsidRPr="00645124" w:rsidTr="003E6750">
        <w:tc>
          <w:tcPr>
            <w:tcW w:w="5102"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Total receivables</w:t>
            </w:r>
          </w:p>
        </w:tc>
        <w:tc>
          <w:tcPr>
            <w:tcW w:w="113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7 735</w:t>
            </w:r>
          </w:p>
        </w:tc>
        <w:tc>
          <w:tcPr>
            <w:tcW w:w="113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6 789</w:t>
            </w:r>
          </w:p>
        </w:tc>
        <w:tc>
          <w:tcPr>
            <w:tcW w:w="113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5 907</w:t>
            </w:r>
          </w:p>
        </w:tc>
        <w:tc>
          <w:tcPr>
            <w:tcW w:w="113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5 555</w:t>
            </w:r>
          </w:p>
        </w:tc>
      </w:tr>
      <w:tr w:rsidR="00BB67AF" w:rsidRPr="00645124" w:rsidTr="003E6750">
        <w:tc>
          <w:tcPr>
            <w:tcW w:w="5102"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Represented by:</w:t>
            </w:r>
          </w:p>
        </w:tc>
        <w:tc>
          <w:tcPr>
            <w:tcW w:w="1134"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c>
          <w:tcPr>
            <w:tcW w:w="1134"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c>
          <w:tcPr>
            <w:tcW w:w="1134"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c>
          <w:tcPr>
            <w:tcW w:w="1134"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Current receivables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6 495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5 515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4 855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4 447</w:t>
            </w:r>
          </w:p>
        </w:tc>
      </w:tr>
      <w:tr w:rsidR="00BB67AF" w:rsidRPr="00645124" w:rsidTr="003E6750">
        <w:tc>
          <w:tcPr>
            <w:tcW w:w="5102"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Non-current receivables</w:t>
            </w:r>
          </w:p>
        </w:tc>
        <w:tc>
          <w:tcPr>
            <w:tcW w:w="1134"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1 241</w:t>
            </w:r>
          </w:p>
        </w:tc>
        <w:tc>
          <w:tcPr>
            <w:tcW w:w="1134"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1 274</w:t>
            </w:r>
          </w:p>
        </w:tc>
        <w:tc>
          <w:tcPr>
            <w:tcW w:w="1134"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1 052</w:t>
            </w:r>
          </w:p>
        </w:tc>
        <w:tc>
          <w:tcPr>
            <w:tcW w:w="1134"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1 109</w:t>
            </w:r>
          </w:p>
        </w:tc>
      </w:tr>
    </w:tbl>
    <w:p w:rsidR="00BB67AF" w:rsidRDefault="00BB67AF" w:rsidP="003E6750">
      <w:pPr>
        <w:pStyle w:val="Notes"/>
      </w:pPr>
      <w:r w:rsidRPr="00CD3857">
        <w:t xml:space="preserve"> </w:t>
      </w:r>
      <w:r>
        <w:t>Note:</w:t>
      </w:r>
    </w:p>
    <w:p w:rsidR="00BB67AF" w:rsidRDefault="00BB67AF" w:rsidP="003E6750">
      <w:pPr>
        <w:pStyle w:val="Notes"/>
      </w:pPr>
      <w:r>
        <w:t>(a)</w:t>
      </w:r>
      <w:r>
        <w:tab/>
        <w:t>Taxes and other receivables  includes a receivable from Tatts following the decision by the High Court of Australia to overturn the Court of Appeal’s decision relating to Tatts’ ‘Gambling Licences’ proceedings.</w:t>
      </w:r>
    </w:p>
    <w:p w:rsidR="008D5D2B" w:rsidRDefault="008D5D2B" w:rsidP="008D5D2B"/>
    <w:p w:rsidR="00BB67AF" w:rsidRDefault="00BB67AF" w:rsidP="008D5D2B"/>
    <w:p w:rsidR="00BB67AF" w:rsidRDefault="00BB67AF" w:rsidP="003E6750">
      <w:pPr>
        <w:pStyle w:val="Heading2Notes"/>
      </w:pPr>
      <w:bookmarkStart w:id="26" w:name="_Toc445283175"/>
      <w:r w:rsidRPr="00C219BA">
        <w:t xml:space="preserve">Note 17: </w:t>
      </w:r>
      <w:r w:rsidRPr="00C219BA">
        <w:tab/>
        <w:t>Investments accounted for using the equity method</w:t>
      </w:r>
      <w:bookmarkEnd w:id="26"/>
    </w:p>
    <w:p w:rsidR="00BB67AF" w:rsidRPr="004D1572" w:rsidRDefault="00BB67AF" w:rsidP="003E6750">
      <w:pPr>
        <w:pStyle w:val="million"/>
        <w:rPr>
          <w:b/>
          <w:bCs/>
          <w:lang w:val="en-US"/>
        </w:rPr>
      </w:pPr>
      <w:r>
        <w:t>($ million)</w:t>
      </w:r>
    </w:p>
    <w:tbl>
      <w:tblPr>
        <w:tblW w:w="9639" w:type="dxa"/>
        <w:tblInd w:w="45" w:type="dxa"/>
        <w:tblLayout w:type="fixed"/>
        <w:tblCellMar>
          <w:left w:w="45" w:type="dxa"/>
          <w:right w:w="45" w:type="dxa"/>
        </w:tblCellMar>
        <w:tblLook w:val="0000" w:firstRow="0" w:lastRow="0" w:firstColumn="0" w:lastColumn="0" w:noHBand="0" w:noVBand="0"/>
      </w:tblPr>
      <w:tblGrid>
        <w:gridCol w:w="4058"/>
        <w:gridCol w:w="929"/>
        <w:gridCol w:w="932"/>
        <w:gridCol w:w="930"/>
        <w:gridCol w:w="920"/>
        <w:gridCol w:w="10"/>
        <w:gridCol w:w="930"/>
        <w:gridCol w:w="930"/>
      </w:tblGrid>
      <w:tr w:rsidR="008D5D2B" w:rsidRPr="00645124" w:rsidTr="008D5D2B">
        <w:trPr>
          <w:tblHeader/>
        </w:trPr>
        <w:tc>
          <w:tcPr>
            <w:tcW w:w="4058" w:type="dxa"/>
            <w:tcBorders>
              <w:top w:val="nil"/>
              <w:left w:val="nil"/>
              <w:bottom w:val="nil"/>
              <w:right w:val="nil"/>
            </w:tcBorders>
            <w:shd w:val="solid" w:color="000000" w:fill="auto"/>
            <w:vAlign w:val="bottom"/>
          </w:tcPr>
          <w:p w:rsidR="008D5D2B" w:rsidRPr="00645124" w:rsidRDefault="008D5D2B" w:rsidP="003E6750">
            <w:pPr>
              <w:autoSpaceDE w:val="0"/>
              <w:autoSpaceDN w:val="0"/>
              <w:adjustRightInd w:val="0"/>
              <w:spacing w:after="0"/>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 xml:space="preserve"> </w:t>
            </w:r>
          </w:p>
        </w:tc>
        <w:tc>
          <w:tcPr>
            <w:tcW w:w="1861" w:type="dxa"/>
            <w:gridSpan w:val="2"/>
            <w:tcBorders>
              <w:top w:val="nil"/>
              <w:left w:val="nil"/>
              <w:bottom w:val="nil"/>
              <w:right w:val="nil"/>
            </w:tcBorders>
            <w:shd w:val="solid" w:color="000000" w:fill="auto"/>
            <w:vAlign w:val="bottom"/>
          </w:tcPr>
          <w:p w:rsidR="008D5D2B" w:rsidRPr="00645124" w:rsidRDefault="008D5D2B" w:rsidP="008D5D2B">
            <w:pPr>
              <w:autoSpaceDE w:val="0"/>
              <w:autoSpaceDN w:val="0"/>
              <w:adjustRightInd w:val="0"/>
              <w:spacing w:after="0"/>
              <w:jc w:val="center"/>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Ownership interest</w:t>
            </w:r>
          </w:p>
        </w:tc>
        <w:tc>
          <w:tcPr>
            <w:tcW w:w="1850" w:type="dxa"/>
            <w:gridSpan w:val="2"/>
            <w:tcBorders>
              <w:top w:val="nil"/>
              <w:left w:val="nil"/>
              <w:bottom w:val="nil"/>
              <w:right w:val="nil"/>
            </w:tcBorders>
            <w:shd w:val="solid" w:color="000000" w:fill="auto"/>
            <w:vAlign w:val="bottom"/>
          </w:tcPr>
          <w:p w:rsidR="008D5D2B" w:rsidRPr="00645124" w:rsidRDefault="008D5D2B" w:rsidP="008D5D2B">
            <w:pPr>
              <w:autoSpaceDE w:val="0"/>
              <w:autoSpaceDN w:val="0"/>
              <w:adjustRightInd w:val="0"/>
              <w:spacing w:after="0"/>
              <w:jc w:val="center"/>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State of Victoria</w:t>
            </w:r>
          </w:p>
        </w:tc>
        <w:tc>
          <w:tcPr>
            <w:tcW w:w="1870" w:type="dxa"/>
            <w:gridSpan w:val="3"/>
            <w:tcBorders>
              <w:top w:val="nil"/>
              <w:left w:val="nil"/>
              <w:bottom w:val="nil"/>
              <w:right w:val="nil"/>
            </w:tcBorders>
            <w:shd w:val="solid" w:color="000000" w:fill="auto"/>
            <w:vAlign w:val="bottom"/>
          </w:tcPr>
          <w:p w:rsidR="008D5D2B" w:rsidRPr="00645124" w:rsidRDefault="008D5D2B" w:rsidP="008D5D2B">
            <w:pPr>
              <w:autoSpaceDE w:val="0"/>
              <w:autoSpaceDN w:val="0"/>
              <w:adjustRightInd w:val="0"/>
              <w:spacing w:after="0"/>
              <w:jc w:val="center"/>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 xml:space="preserve">General </w:t>
            </w:r>
            <w:r w:rsidRPr="00645124">
              <w:rPr>
                <w:rFonts w:ascii="Calibri" w:eastAsiaTheme="minorEastAsia" w:hAnsi="Calibri" w:cs="Calibri"/>
                <w:i/>
                <w:iCs/>
                <w:color w:val="FFFFFF"/>
                <w:sz w:val="20"/>
                <w:lang w:eastAsia="en-AU"/>
              </w:rPr>
              <w:br/>
              <w:t>government sector</w:t>
            </w:r>
          </w:p>
        </w:tc>
      </w:tr>
      <w:tr w:rsidR="008D5D2B" w:rsidRPr="00645124" w:rsidTr="008D5D2B">
        <w:trPr>
          <w:tblHeader/>
        </w:trPr>
        <w:tc>
          <w:tcPr>
            <w:tcW w:w="4058" w:type="dxa"/>
            <w:tcBorders>
              <w:top w:val="nil"/>
              <w:left w:val="nil"/>
              <w:bottom w:val="nil"/>
              <w:right w:val="nil"/>
            </w:tcBorders>
            <w:shd w:val="solid" w:color="000000" w:fill="auto"/>
            <w:vAlign w:val="bottom"/>
          </w:tcPr>
          <w:p w:rsidR="008D5D2B" w:rsidRPr="00645124" w:rsidRDefault="008D5D2B" w:rsidP="003E6750">
            <w:pPr>
              <w:autoSpaceDE w:val="0"/>
              <w:autoSpaceDN w:val="0"/>
              <w:adjustRightInd w:val="0"/>
              <w:spacing w:after="0"/>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 xml:space="preserve"> </w:t>
            </w:r>
          </w:p>
        </w:tc>
        <w:tc>
          <w:tcPr>
            <w:tcW w:w="1861" w:type="dxa"/>
            <w:gridSpan w:val="2"/>
            <w:tcBorders>
              <w:top w:val="nil"/>
              <w:left w:val="nil"/>
              <w:bottom w:val="nil"/>
              <w:right w:val="nil"/>
            </w:tcBorders>
            <w:shd w:val="solid" w:color="000000" w:fill="auto"/>
            <w:vAlign w:val="bottom"/>
          </w:tcPr>
          <w:p w:rsidR="008D5D2B" w:rsidRPr="00645124" w:rsidRDefault="008D5D2B" w:rsidP="008D5D2B">
            <w:pPr>
              <w:autoSpaceDE w:val="0"/>
              <w:autoSpaceDN w:val="0"/>
              <w:adjustRightInd w:val="0"/>
              <w:spacing w:after="0"/>
              <w:jc w:val="center"/>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 change)</w:t>
            </w:r>
          </w:p>
        </w:tc>
        <w:tc>
          <w:tcPr>
            <w:tcW w:w="1850" w:type="dxa"/>
            <w:gridSpan w:val="2"/>
            <w:tcBorders>
              <w:top w:val="nil"/>
              <w:left w:val="nil"/>
              <w:bottom w:val="nil"/>
              <w:right w:val="nil"/>
            </w:tcBorders>
            <w:shd w:val="solid" w:color="000000" w:fill="auto"/>
            <w:vAlign w:val="bottom"/>
          </w:tcPr>
          <w:p w:rsidR="008D5D2B" w:rsidRPr="00645124" w:rsidRDefault="008D5D2B" w:rsidP="008D5D2B">
            <w:pPr>
              <w:autoSpaceDE w:val="0"/>
              <w:autoSpaceDN w:val="0"/>
              <w:adjustRightInd w:val="0"/>
              <w:spacing w:after="0"/>
              <w:jc w:val="center"/>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 million)</w:t>
            </w:r>
          </w:p>
        </w:tc>
        <w:tc>
          <w:tcPr>
            <w:tcW w:w="1870" w:type="dxa"/>
            <w:gridSpan w:val="3"/>
            <w:tcBorders>
              <w:top w:val="nil"/>
              <w:left w:val="nil"/>
              <w:bottom w:val="nil"/>
              <w:right w:val="nil"/>
            </w:tcBorders>
            <w:shd w:val="solid" w:color="000000" w:fill="auto"/>
            <w:vAlign w:val="bottom"/>
          </w:tcPr>
          <w:p w:rsidR="008D5D2B" w:rsidRPr="00645124" w:rsidRDefault="008D5D2B" w:rsidP="008D5D2B">
            <w:pPr>
              <w:autoSpaceDE w:val="0"/>
              <w:autoSpaceDN w:val="0"/>
              <w:adjustRightInd w:val="0"/>
              <w:spacing w:after="0"/>
              <w:jc w:val="center"/>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 million)</w:t>
            </w:r>
          </w:p>
        </w:tc>
      </w:tr>
      <w:tr w:rsidR="008D5D2B" w:rsidRPr="00645124" w:rsidTr="008D5D2B">
        <w:trPr>
          <w:trHeight w:val="488"/>
          <w:tblHeader/>
        </w:trPr>
        <w:tc>
          <w:tcPr>
            <w:tcW w:w="4058"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rPr>
                <w:rFonts w:ascii="Calibri" w:eastAsiaTheme="minorEastAsia" w:hAnsi="Calibri" w:cs="Calibri"/>
                <w:i/>
                <w:iCs/>
                <w:color w:val="FFFFFF"/>
                <w:sz w:val="20"/>
                <w:lang w:eastAsia="en-AU"/>
              </w:rPr>
            </w:pPr>
          </w:p>
        </w:tc>
        <w:tc>
          <w:tcPr>
            <w:tcW w:w="929"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Dec</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2015</w:t>
            </w:r>
          </w:p>
        </w:tc>
        <w:tc>
          <w:tcPr>
            <w:tcW w:w="932"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Jun</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2015</w:t>
            </w:r>
          </w:p>
        </w:tc>
        <w:tc>
          <w:tcPr>
            <w:tcW w:w="930"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Dec</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2015</w:t>
            </w:r>
          </w:p>
        </w:tc>
        <w:tc>
          <w:tcPr>
            <w:tcW w:w="930" w:type="dxa"/>
            <w:gridSpan w:val="2"/>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Jun</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2015</w:t>
            </w:r>
          </w:p>
        </w:tc>
        <w:tc>
          <w:tcPr>
            <w:tcW w:w="930"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Dec</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2015</w:t>
            </w:r>
          </w:p>
        </w:tc>
        <w:tc>
          <w:tcPr>
            <w:tcW w:w="930"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Jun</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2015</w:t>
            </w:r>
          </w:p>
        </w:tc>
      </w:tr>
      <w:tr w:rsidR="00BB67AF" w:rsidRPr="00645124" w:rsidTr="008D5D2B">
        <w:tc>
          <w:tcPr>
            <w:tcW w:w="4058"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The Australian Regenerative Medicine Institute</w:t>
            </w:r>
          </w:p>
        </w:tc>
        <w:tc>
          <w:tcPr>
            <w:tcW w:w="92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20.1%</w:t>
            </w:r>
          </w:p>
        </w:tc>
        <w:tc>
          <w:tcPr>
            <w:tcW w:w="93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20.1%</w:t>
            </w:r>
          </w:p>
        </w:tc>
        <w:tc>
          <w:tcPr>
            <w:tcW w:w="93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35</w:t>
            </w:r>
          </w:p>
        </w:tc>
        <w:tc>
          <w:tcPr>
            <w:tcW w:w="93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35</w:t>
            </w:r>
          </w:p>
        </w:tc>
        <w:tc>
          <w:tcPr>
            <w:tcW w:w="93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35</w:t>
            </w:r>
          </w:p>
        </w:tc>
        <w:tc>
          <w:tcPr>
            <w:tcW w:w="93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35</w:t>
            </w:r>
          </w:p>
        </w:tc>
      </w:tr>
      <w:tr w:rsidR="00BB67AF" w:rsidRPr="00645124" w:rsidTr="008D5D2B">
        <w:tc>
          <w:tcPr>
            <w:tcW w:w="4058"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Property Exchange Australia Limited</w:t>
            </w:r>
          </w:p>
        </w:tc>
        <w:tc>
          <w:tcPr>
            <w:tcW w:w="92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9.9%</w:t>
            </w:r>
          </w:p>
        </w:tc>
        <w:tc>
          <w:tcPr>
            <w:tcW w:w="93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11.6%</w:t>
            </w:r>
          </w:p>
        </w:tc>
        <w:tc>
          <w:tcPr>
            <w:tcW w:w="93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9</w:t>
            </w:r>
          </w:p>
        </w:tc>
        <w:tc>
          <w:tcPr>
            <w:tcW w:w="930"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10</w:t>
            </w:r>
          </w:p>
        </w:tc>
        <w:tc>
          <w:tcPr>
            <w:tcW w:w="93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9</w:t>
            </w:r>
          </w:p>
        </w:tc>
        <w:tc>
          <w:tcPr>
            <w:tcW w:w="930"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10</w:t>
            </w:r>
          </w:p>
        </w:tc>
      </w:tr>
      <w:tr w:rsidR="00BB67AF" w:rsidRPr="00645124" w:rsidTr="008D5D2B">
        <w:tc>
          <w:tcPr>
            <w:tcW w:w="4058"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Snowy Hydro Limited</w:t>
            </w:r>
          </w:p>
        </w:tc>
        <w:tc>
          <w:tcPr>
            <w:tcW w:w="929"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29.0%</w:t>
            </w:r>
          </w:p>
        </w:tc>
        <w:tc>
          <w:tcPr>
            <w:tcW w:w="93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29.0%</w:t>
            </w:r>
          </w:p>
        </w:tc>
        <w:tc>
          <w:tcPr>
            <w:tcW w:w="930"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1 976</w:t>
            </w:r>
          </w:p>
        </w:tc>
        <w:tc>
          <w:tcPr>
            <w:tcW w:w="930"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1 976</w:t>
            </w:r>
          </w:p>
        </w:tc>
        <w:tc>
          <w:tcPr>
            <w:tcW w:w="930"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930"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r>
      <w:tr w:rsidR="00BB67AF" w:rsidRPr="00645124" w:rsidTr="008D5D2B">
        <w:tc>
          <w:tcPr>
            <w:tcW w:w="4058"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Total investments accounted for using the equity method</w:t>
            </w:r>
          </w:p>
        </w:tc>
        <w:tc>
          <w:tcPr>
            <w:tcW w:w="929"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p>
        </w:tc>
        <w:tc>
          <w:tcPr>
            <w:tcW w:w="932"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p>
        </w:tc>
        <w:tc>
          <w:tcPr>
            <w:tcW w:w="930"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2 020</w:t>
            </w:r>
          </w:p>
        </w:tc>
        <w:tc>
          <w:tcPr>
            <w:tcW w:w="930" w:type="dxa"/>
            <w:gridSpan w:val="2"/>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2 021</w:t>
            </w:r>
          </w:p>
        </w:tc>
        <w:tc>
          <w:tcPr>
            <w:tcW w:w="930"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44</w:t>
            </w:r>
          </w:p>
        </w:tc>
        <w:tc>
          <w:tcPr>
            <w:tcW w:w="930"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45</w:t>
            </w:r>
          </w:p>
        </w:tc>
      </w:tr>
    </w:tbl>
    <w:p w:rsidR="00BB67AF" w:rsidRDefault="00BB67AF" w:rsidP="003E6750"/>
    <w:p w:rsidR="00BB67AF" w:rsidRDefault="00BB67AF" w:rsidP="003E6750"/>
    <w:p w:rsidR="00BB67AF" w:rsidRDefault="00BB67AF">
      <w:pPr>
        <w:spacing w:after="0"/>
        <w:rPr>
          <w:rFonts w:ascii="Calibri" w:hAnsi="Calibri"/>
          <w:b/>
          <w:kern w:val="28"/>
          <w:sz w:val="28"/>
          <w:szCs w:val="22"/>
        </w:rPr>
      </w:pPr>
      <w:r>
        <w:br w:type="page"/>
      </w:r>
    </w:p>
    <w:p w:rsidR="00BB67AF" w:rsidRDefault="00BB67AF" w:rsidP="003E6750">
      <w:pPr>
        <w:pStyle w:val="Heading2Notes"/>
      </w:pPr>
      <w:bookmarkStart w:id="27" w:name="_Toc445283176"/>
      <w:r w:rsidRPr="008A1137">
        <w:lastRenderedPageBreak/>
        <w:t xml:space="preserve">Note 18: </w:t>
      </w:r>
      <w:r w:rsidRPr="008A1137">
        <w:tab/>
        <w:t>Inventories</w:t>
      </w:r>
      <w:bookmarkEnd w:id="27"/>
    </w:p>
    <w:p w:rsidR="00BB67AF" w:rsidRPr="004D1572" w:rsidRDefault="00BB67AF" w:rsidP="003E6750">
      <w:pPr>
        <w:pStyle w:val="million"/>
        <w:rPr>
          <w:b/>
          <w:bCs/>
          <w:lang w:val="en-US"/>
        </w:rPr>
      </w:pPr>
      <w:r>
        <w:t>($ million)</w:t>
      </w:r>
    </w:p>
    <w:tbl>
      <w:tblPr>
        <w:tblW w:w="9638" w:type="dxa"/>
        <w:tblInd w:w="45" w:type="dxa"/>
        <w:tblLayout w:type="fixed"/>
        <w:tblCellMar>
          <w:left w:w="45" w:type="dxa"/>
          <w:right w:w="45" w:type="dxa"/>
        </w:tblCellMar>
        <w:tblLook w:val="0000" w:firstRow="0" w:lastRow="0" w:firstColumn="0" w:lastColumn="0" w:noHBand="0" w:noVBand="0"/>
      </w:tblPr>
      <w:tblGrid>
        <w:gridCol w:w="5102"/>
        <w:gridCol w:w="1134"/>
        <w:gridCol w:w="1134"/>
        <w:gridCol w:w="1134"/>
        <w:gridCol w:w="1134"/>
      </w:tblGrid>
      <w:tr w:rsidR="008D5D2B" w:rsidRPr="00645124" w:rsidTr="008D5D2B">
        <w:trPr>
          <w:tblHeader/>
        </w:trPr>
        <w:tc>
          <w:tcPr>
            <w:tcW w:w="5102" w:type="dxa"/>
            <w:tcBorders>
              <w:top w:val="nil"/>
              <w:left w:val="nil"/>
              <w:bottom w:val="nil"/>
              <w:right w:val="nil"/>
            </w:tcBorders>
            <w:shd w:val="solid" w:color="000000" w:fill="auto"/>
            <w:vAlign w:val="bottom"/>
          </w:tcPr>
          <w:p w:rsidR="008D5D2B" w:rsidRPr="00645124" w:rsidRDefault="008D5D2B" w:rsidP="003E675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2268" w:type="dxa"/>
            <w:gridSpan w:val="2"/>
            <w:tcBorders>
              <w:top w:val="nil"/>
              <w:left w:val="nil"/>
              <w:bottom w:val="nil"/>
              <w:right w:val="nil"/>
            </w:tcBorders>
            <w:shd w:val="solid" w:color="000000" w:fill="auto"/>
            <w:vAlign w:val="bottom"/>
          </w:tcPr>
          <w:p w:rsidR="008D5D2B" w:rsidRPr="00645124" w:rsidRDefault="008D5D2B" w:rsidP="008D5D2B">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State of Victoria</w:t>
            </w:r>
          </w:p>
        </w:tc>
        <w:tc>
          <w:tcPr>
            <w:tcW w:w="2268" w:type="dxa"/>
            <w:gridSpan w:val="2"/>
            <w:tcBorders>
              <w:top w:val="nil"/>
              <w:left w:val="nil"/>
              <w:bottom w:val="nil"/>
              <w:right w:val="nil"/>
            </w:tcBorders>
            <w:shd w:val="solid" w:color="000000" w:fill="auto"/>
            <w:vAlign w:val="bottom"/>
          </w:tcPr>
          <w:p w:rsidR="008D5D2B" w:rsidRPr="00645124" w:rsidRDefault="008D5D2B" w:rsidP="008D5D2B">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General </w:t>
            </w:r>
            <w:r w:rsidRPr="00645124">
              <w:rPr>
                <w:rFonts w:ascii="Calibri" w:eastAsiaTheme="minorEastAsia" w:hAnsi="Calibri" w:cs="Calibri"/>
                <w:i/>
                <w:iCs/>
                <w:color w:val="FFFFFF"/>
                <w:sz w:val="22"/>
                <w:szCs w:val="22"/>
                <w:lang w:eastAsia="en-AU"/>
              </w:rPr>
              <w:br/>
              <w:t>government sector</w:t>
            </w:r>
          </w:p>
        </w:tc>
      </w:tr>
      <w:tr w:rsidR="008D5D2B" w:rsidRPr="00645124" w:rsidTr="008D5D2B">
        <w:trPr>
          <w:trHeight w:val="537"/>
          <w:tblHeader/>
        </w:trPr>
        <w:tc>
          <w:tcPr>
            <w:tcW w:w="5102"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p w:rsidR="008D5D2B" w:rsidRPr="00645124" w:rsidRDefault="008D5D2B"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113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Dec</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Jun</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Dec</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Jun</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At cost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Raw materials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Work in progress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Finished goods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47</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Consumable stores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178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168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134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131</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 xml:space="preserve">Land and other assets held as inventory </w:t>
            </w:r>
            <w:r w:rsidRPr="00645124">
              <w:rPr>
                <w:rFonts w:ascii="Calibri" w:eastAsiaTheme="minorEastAsia" w:hAnsi="Calibri" w:cs="Calibri"/>
                <w:color w:val="000000"/>
                <w:sz w:val="22"/>
                <w:szCs w:val="22"/>
                <w:vertAlign w:val="superscript"/>
                <w:lang w:eastAsia="en-AU"/>
              </w:rPr>
              <w:t>(a)</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423</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451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At net realisable value</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Finished goods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3E6750">
        <w:tc>
          <w:tcPr>
            <w:tcW w:w="510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Consumable stores</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3E6750">
        <w:tc>
          <w:tcPr>
            <w:tcW w:w="5102"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inventories</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706</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710</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154</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144</w:t>
            </w:r>
          </w:p>
        </w:tc>
      </w:tr>
    </w:tbl>
    <w:p w:rsidR="00BB67AF" w:rsidRDefault="00BB67AF" w:rsidP="003E6750">
      <w:pPr>
        <w:pStyle w:val="Notes"/>
      </w:pPr>
      <w:r>
        <w:t>Note:</w:t>
      </w:r>
    </w:p>
    <w:p w:rsidR="00BB67AF" w:rsidRDefault="00BB67AF" w:rsidP="003E6750">
      <w:pPr>
        <w:pStyle w:val="Notes"/>
      </w:pPr>
      <w:r>
        <w:t>(a)</w:t>
      </w:r>
      <w:r>
        <w:tab/>
        <w:t>Including inventory held for distribution.</w:t>
      </w:r>
    </w:p>
    <w:p w:rsidR="00BB67AF" w:rsidRDefault="00BB67AF" w:rsidP="003E6750"/>
    <w:p w:rsidR="00BB67AF" w:rsidRDefault="00BB67AF" w:rsidP="003E6750"/>
    <w:p w:rsidR="00BB67AF" w:rsidRDefault="00BB67AF" w:rsidP="003E6750">
      <w:pPr>
        <w:pStyle w:val="Heading2Notes"/>
      </w:pPr>
      <w:bookmarkStart w:id="28" w:name="_Toc445283177"/>
      <w:r>
        <w:t xml:space="preserve">Note 19: </w:t>
      </w:r>
      <w:r>
        <w:tab/>
        <w:t>Non</w:t>
      </w:r>
      <w:r>
        <w:noBreakHyphen/>
      </w:r>
      <w:r w:rsidRPr="008A1137">
        <w:t>financial assets held for sale</w:t>
      </w:r>
      <w:bookmarkEnd w:id="28"/>
    </w:p>
    <w:p w:rsidR="00BB67AF" w:rsidRPr="004D1572" w:rsidRDefault="00BB67AF" w:rsidP="003E6750">
      <w:pPr>
        <w:pStyle w:val="million"/>
        <w:rPr>
          <w:b/>
          <w:bCs/>
          <w:lang w:val="en-US"/>
        </w:rPr>
      </w:pPr>
      <w:r>
        <w:t>($ million)</w:t>
      </w:r>
    </w:p>
    <w:tbl>
      <w:tblPr>
        <w:tblW w:w="9638" w:type="dxa"/>
        <w:tblInd w:w="45" w:type="dxa"/>
        <w:tblLayout w:type="fixed"/>
        <w:tblCellMar>
          <w:left w:w="45" w:type="dxa"/>
          <w:right w:w="45" w:type="dxa"/>
        </w:tblCellMar>
        <w:tblLook w:val="0000" w:firstRow="0" w:lastRow="0" w:firstColumn="0" w:lastColumn="0" w:noHBand="0" w:noVBand="0"/>
      </w:tblPr>
      <w:tblGrid>
        <w:gridCol w:w="5102"/>
        <w:gridCol w:w="1134"/>
        <w:gridCol w:w="1134"/>
        <w:gridCol w:w="1134"/>
        <w:gridCol w:w="1134"/>
      </w:tblGrid>
      <w:tr w:rsidR="008D5D2B" w:rsidRPr="004D1572" w:rsidTr="008D5D2B">
        <w:trPr>
          <w:tblHeader/>
        </w:trPr>
        <w:tc>
          <w:tcPr>
            <w:tcW w:w="5102" w:type="dxa"/>
            <w:tcBorders>
              <w:top w:val="nil"/>
              <w:left w:val="nil"/>
              <w:bottom w:val="nil"/>
              <w:right w:val="nil"/>
            </w:tcBorders>
            <w:shd w:val="solid" w:color="000000" w:fill="auto"/>
            <w:vAlign w:val="bottom"/>
          </w:tcPr>
          <w:p w:rsidR="008D5D2B" w:rsidRPr="004D1572" w:rsidRDefault="008D5D2B" w:rsidP="003E6750">
            <w:pPr>
              <w:autoSpaceDE w:val="0"/>
              <w:autoSpaceDN w:val="0"/>
              <w:adjustRightInd w:val="0"/>
              <w:spacing w:after="0"/>
              <w:jc w:val="center"/>
              <w:rPr>
                <w:rFonts w:ascii="Calibri" w:eastAsiaTheme="minorEastAsia" w:hAnsi="Calibri" w:cs="Calibri"/>
                <w:i/>
                <w:iCs/>
                <w:color w:val="FFFFFF"/>
                <w:sz w:val="22"/>
                <w:szCs w:val="22"/>
                <w:lang w:eastAsia="en-AU"/>
              </w:rPr>
            </w:pPr>
            <w:r w:rsidRPr="004D1572">
              <w:rPr>
                <w:rFonts w:ascii="Calibri" w:eastAsiaTheme="minorEastAsia" w:hAnsi="Calibri" w:cs="Calibri"/>
                <w:i/>
                <w:iCs/>
                <w:color w:val="FFFFFF"/>
                <w:sz w:val="22"/>
                <w:szCs w:val="22"/>
                <w:lang w:eastAsia="en-AU"/>
              </w:rPr>
              <w:t xml:space="preserve"> </w:t>
            </w:r>
          </w:p>
        </w:tc>
        <w:tc>
          <w:tcPr>
            <w:tcW w:w="2268" w:type="dxa"/>
            <w:gridSpan w:val="2"/>
            <w:tcBorders>
              <w:top w:val="nil"/>
              <w:left w:val="nil"/>
              <w:bottom w:val="nil"/>
              <w:right w:val="nil"/>
            </w:tcBorders>
            <w:shd w:val="solid" w:color="000000" w:fill="auto"/>
            <w:vAlign w:val="bottom"/>
          </w:tcPr>
          <w:p w:rsidR="008D5D2B" w:rsidRPr="004D1572" w:rsidRDefault="008D5D2B" w:rsidP="008D5D2B">
            <w:pPr>
              <w:autoSpaceDE w:val="0"/>
              <w:autoSpaceDN w:val="0"/>
              <w:adjustRightInd w:val="0"/>
              <w:spacing w:after="0"/>
              <w:jc w:val="center"/>
              <w:rPr>
                <w:rFonts w:ascii="Calibri" w:eastAsiaTheme="minorEastAsia" w:hAnsi="Calibri" w:cs="Calibri"/>
                <w:i/>
                <w:iCs/>
                <w:color w:val="FFFFFF"/>
                <w:sz w:val="22"/>
                <w:szCs w:val="16"/>
                <w:lang w:eastAsia="en-AU"/>
              </w:rPr>
            </w:pPr>
            <w:r w:rsidRPr="004D1572">
              <w:rPr>
                <w:rFonts w:ascii="Calibri" w:eastAsiaTheme="minorEastAsia" w:hAnsi="Calibri" w:cs="Calibri"/>
                <w:i/>
                <w:iCs/>
                <w:color w:val="FFFFFF"/>
                <w:sz w:val="22"/>
                <w:szCs w:val="16"/>
                <w:lang w:eastAsia="en-AU"/>
              </w:rPr>
              <w:t>State of Victoria</w:t>
            </w:r>
          </w:p>
        </w:tc>
        <w:tc>
          <w:tcPr>
            <w:tcW w:w="2268" w:type="dxa"/>
            <w:gridSpan w:val="2"/>
            <w:tcBorders>
              <w:top w:val="nil"/>
              <w:left w:val="nil"/>
              <w:bottom w:val="nil"/>
              <w:right w:val="nil"/>
            </w:tcBorders>
            <w:shd w:val="solid" w:color="000000" w:fill="auto"/>
            <w:vAlign w:val="bottom"/>
          </w:tcPr>
          <w:p w:rsidR="008D5D2B" w:rsidRPr="004D1572" w:rsidRDefault="008D5D2B" w:rsidP="008D5D2B">
            <w:pPr>
              <w:autoSpaceDE w:val="0"/>
              <w:autoSpaceDN w:val="0"/>
              <w:adjustRightInd w:val="0"/>
              <w:spacing w:after="0"/>
              <w:jc w:val="center"/>
              <w:rPr>
                <w:rFonts w:ascii="Calibri" w:eastAsiaTheme="minorEastAsia" w:hAnsi="Calibri" w:cs="Calibri"/>
                <w:i/>
                <w:iCs/>
                <w:color w:val="FFFFFF"/>
                <w:sz w:val="22"/>
                <w:szCs w:val="16"/>
                <w:lang w:eastAsia="en-AU"/>
              </w:rPr>
            </w:pPr>
            <w:r>
              <w:rPr>
                <w:rFonts w:ascii="Calibri" w:eastAsiaTheme="minorEastAsia" w:hAnsi="Calibri" w:cs="Calibri"/>
                <w:i/>
                <w:iCs/>
                <w:color w:val="FFFFFF"/>
                <w:sz w:val="22"/>
                <w:szCs w:val="16"/>
                <w:lang w:eastAsia="en-AU"/>
              </w:rPr>
              <w:t xml:space="preserve">General </w:t>
            </w:r>
            <w:r>
              <w:rPr>
                <w:rFonts w:ascii="Calibri" w:eastAsiaTheme="minorEastAsia" w:hAnsi="Calibri" w:cs="Calibri"/>
                <w:i/>
                <w:iCs/>
                <w:color w:val="FFFFFF"/>
                <w:sz w:val="22"/>
                <w:szCs w:val="16"/>
                <w:lang w:eastAsia="en-AU"/>
              </w:rPr>
              <w:br/>
              <w:t>government sector</w:t>
            </w:r>
          </w:p>
        </w:tc>
      </w:tr>
      <w:tr w:rsidR="008D5D2B" w:rsidRPr="004D1572" w:rsidTr="008D5D2B">
        <w:trPr>
          <w:trHeight w:val="537"/>
          <w:tblHeader/>
        </w:trPr>
        <w:tc>
          <w:tcPr>
            <w:tcW w:w="5102" w:type="dxa"/>
            <w:tcBorders>
              <w:top w:val="nil"/>
              <w:left w:val="nil"/>
              <w:right w:val="nil"/>
            </w:tcBorders>
            <w:shd w:val="solid" w:color="000000" w:fill="auto"/>
            <w:vAlign w:val="bottom"/>
          </w:tcPr>
          <w:p w:rsidR="008D5D2B" w:rsidRPr="004D1572" w:rsidRDefault="008D5D2B" w:rsidP="003E6750">
            <w:pPr>
              <w:autoSpaceDE w:val="0"/>
              <w:autoSpaceDN w:val="0"/>
              <w:adjustRightInd w:val="0"/>
              <w:spacing w:after="0"/>
              <w:rPr>
                <w:rFonts w:ascii="Calibri" w:eastAsiaTheme="minorEastAsia" w:hAnsi="Calibri" w:cs="Calibri"/>
                <w:i/>
                <w:iCs/>
                <w:color w:val="FFFFFF"/>
                <w:sz w:val="22"/>
                <w:szCs w:val="22"/>
                <w:lang w:eastAsia="en-AU"/>
              </w:rPr>
            </w:pPr>
          </w:p>
        </w:tc>
        <w:tc>
          <w:tcPr>
            <w:tcW w:w="1134" w:type="dxa"/>
            <w:tcBorders>
              <w:top w:val="nil"/>
              <w:left w:val="nil"/>
              <w:right w:val="nil"/>
            </w:tcBorders>
            <w:shd w:val="solid" w:color="000000" w:fill="auto"/>
            <w:vAlign w:val="bottom"/>
          </w:tcPr>
          <w:p w:rsidR="008D5D2B" w:rsidRPr="004D1572" w:rsidRDefault="008D5D2B" w:rsidP="003E6750">
            <w:pPr>
              <w:autoSpaceDE w:val="0"/>
              <w:autoSpaceDN w:val="0"/>
              <w:adjustRightInd w:val="0"/>
              <w:spacing w:after="0"/>
              <w:jc w:val="right"/>
              <w:rPr>
                <w:rFonts w:ascii="Calibri" w:eastAsiaTheme="minorEastAsia" w:hAnsi="Calibri" w:cs="Calibri"/>
                <w:i/>
                <w:iCs/>
                <w:color w:val="FFFFFF"/>
                <w:sz w:val="22"/>
                <w:szCs w:val="16"/>
                <w:lang w:eastAsia="en-AU"/>
              </w:rPr>
            </w:pPr>
            <w:r w:rsidRPr="004D1572">
              <w:rPr>
                <w:rFonts w:ascii="Calibri" w:eastAsiaTheme="minorEastAsia" w:hAnsi="Calibri" w:cs="Calibri"/>
                <w:i/>
                <w:iCs/>
                <w:color w:val="FFFFFF"/>
                <w:sz w:val="22"/>
                <w:szCs w:val="16"/>
                <w:lang w:eastAsia="en-AU"/>
              </w:rPr>
              <w:t>Dec</w:t>
            </w:r>
          </w:p>
          <w:p w:rsidR="008D5D2B" w:rsidRPr="004D1572" w:rsidRDefault="008D5D2B" w:rsidP="003E6750">
            <w:pPr>
              <w:autoSpaceDE w:val="0"/>
              <w:autoSpaceDN w:val="0"/>
              <w:adjustRightInd w:val="0"/>
              <w:spacing w:after="0"/>
              <w:jc w:val="right"/>
              <w:rPr>
                <w:rFonts w:ascii="Calibri" w:eastAsiaTheme="minorEastAsia" w:hAnsi="Calibri" w:cs="Calibri"/>
                <w:i/>
                <w:iCs/>
                <w:color w:val="FFFFFF"/>
                <w:sz w:val="22"/>
                <w:szCs w:val="16"/>
                <w:lang w:eastAsia="en-AU"/>
              </w:rPr>
            </w:pPr>
            <w:r w:rsidRPr="004D1572">
              <w:rPr>
                <w:rFonts w:ascii="Calibri" w:eastAsiaTheme="minorEastAsia" w:hAnsi="Calibri" w:cs="Calibri"/>
                <w:i/>
                <w:iCs/>
                <w:color w:val="FFFFFF"/>
                <w:sz w:val="22"/>
                <w:szCs w:val="16"/>
                <w:lang w:eastAsia="en-AU"/>
              </w:rPr>
              <w:t>2015</w:t>
            </w:r>
          </w:p>
        </w:tc>
        <w:tc>
          <w:tcPr>
            <w:tcW w:w="1134" w:type="dxa"/>
            <w:tcBorders>
              <w:top w:val="nil"/>
              <w:left w:val="nil"/>
              <w:right w:val="nil"/>
            </w:tcBorders>
            <w:shd w:val="solid" w:color="000000" w:fill="auto"/>
            <w:vAlign w:val="bottom"/>
          </w:tcPr>
          <w:p w:rsidR="008D5D2B" w:rsidRPr="004D1572" w:rsidRDefault="008D5D2B" w:rsidP="003E6750">
            <w:pPr>
              <w:autoSpaceDE w:val="0"/>
              <w:autoSpaceDN w:val="0"/>
              <w:adjustRightInd w:val="0"/>
              <w:spacing w:after="0"/>
              <w:jc w:val="right"/>
              <w:rPr>
                <w:rFonts w:ascii="Calibri" w:eastAsiaTheme="minorEastAsia" w:hAnsi="Calibri" w:cs="Calibri"/>
                <w:i/>
                <w:iCs/>
                <w:color w:val="FFFFFF"/>
                <w:sz w:val="22"/>
                <w:szCs w:val="16"/>
                <w:lang w:eastAsia="en-AU"/>
              </w:rPr>
            </w:pPr>
            <w:r w:rsidRPr="004D1572">
              <w:rPr>
                <w:rFonts w:ascii="Calibri" w:eastAsiaTheme="minorEastAsia" w:hAnsi="Calibri" w:cs="Calibri"/>
                <w:i/>
                <w:iCs/>
                <w:color w:val="FFFFFF"/>
                <w:sz w:val="22"/>
                <w:szCs w:val="16"/>
                <w:lang w:eastAsia="en-AU"/>
              </w:rPr>
              <w:t>Jun</w:t>
            </w:r>
          </w:p>
          <w:p w:rsidR="008D5D2B" w:rsidRPr="004D1572" w:rsidRDefault="008D5D2B" w:rsidP="003E6750">
            <w:pPr>
              <w:autoSpaceDE w:val="0"/>
              <w:autoSpaceDN w:val="0"/>
              <w:adjustRightInd w:val="0"/>
              <w:spacing w:after="0"/>
              <w:jc w:val="right"/>
              <w:rPr>
                <w:rFonts w:ascii="Calibri" w:eastAsiaTheme="minorEastAsia" w:hAnsi="Calibri" w:cs="Calibri"/>
                <w:i/>
                <w:iCs/>
                <w:color w:val="FFFFFF"/>
                <w:sz w:val="22"/>
                <w:szCs w:val="16"/>
                <w:lang w:eastAsia="en-AU"/>
              </w:rPr>
            </w:pPr>
            <w:r w:rsidRPr="004D1572">
              <w:rPr>
                <w:rFonts w:ascii="Calibri" w:eastAsiaTheme="minorEastAsia" w:hAnsi="Calibri" w:cs="Calibri"/>
                <w:i/>
                <w:iCs/>
                <w:color w:val="FFFFFF"/>
                <w:sz w:val="22"/>
                <w:szCs w:val="16"/>
                <w:lang w:eastAsia="en-AU"/>
              </w:rPr>
              <w:t>2015</w:t>
            </w:r>
          </w:p>
        </w:tc>
        <w:tc>
          <w:tcPr>
            <w:tcW w:w="1134" w:type="dxa"/>
            <w:tcBorders>
              <w:top w:val="nil"/>
              <w:left w:val="nil"/>
              <w:right w:val="nil"/>
            </w:tcBorders>
            <w:shd w:val="solid" w:color="000000" w:fill="auto"/>
            <w:vAlign w:val="bottom"/>
          </w:tcPr>
          <w:p w:rsidR="008D5D2B" w:rsidRPr="004D1572" w:rsidRDefault="008D5D2B" w:rsidP="003E6750">
            <w:pPr>
              <w:autoSpaceDE w:val="0"/>
              <w:autoSpaceDN w:val="0"/>
              <w:adjustRightInd w:val="0"/>
              <w:spacing w:after="0"/>
              <w:jc w:val="right"/>
              <w:rPr>
                <w:rFonts w:ascii="Calibri" w:eastAsiaTheme="minorEastAsia" w:hAnsi="Calibri" w:cs="Calibri"/>
                <w:i/>
                <w:iCs/>
                <w:color w:val="FFFFFF"/>
                <w:sz w:val="22"/>
                <w:szCs w:val="16"/>
                <w:lang w:eastAsia="en-AU"/>
              </w:rPr>
            </w:pPr>
            <w:r w:rsidRPr="004D1572">
              <w:rPr>
                <w:rFonts w:ascii="Calibri" w:eastAsiaTheme="minorEastAsia" w:hAnsi="Calibri" w:cs="Calibri"/>
                <w:i/>
                <w:iCs/>
                <w:color w:val="FFFFFF"/>
                <w:sz w:val="22"/>
                <w:szCs w:val="16"/>
                <w:lang w:eastAsia="en-AU"/>
              </w:rPr>
              <w:t>Dec</w:t>
            </w:r>
          </w:p>
          <w:p w:rsidR="008D5D2B" w:rsidRPr="004D1572" w:rsidRDefault="008D5D2B" w:rsidP="003E6750">
            <w:pPr>
              <w:autoSpaceDE w:val="0"/>
              <w:autoSpaceDN w:val="0"/>
              <w:adjustRightInd w:val="0"/>
              <w:spacing w:after="0"/>
              <w:jc w:val="right"/>
              <w:rPr>
                <w:rFonts w:ascii="Calibri" w:eastAsiaTheme="minorEastAsia" w:hAnsi="Calibri" w:cs="Calibri"/>
                <w:i/>
                <w:iCs/>
                <w:color w:val="FFFFFF"/>
                <w:sz w:val="22"/>
                <w:szCs w:val="16"/>
                <w:lang w:eastAsia="en-AU"/>
              </w:rPr>
            </w:pPr>
            <w:r w:rsidRPr="004D1572">
              <w:rPr>
                <w:rFonts w:ascii="Calibri" w:eastAsiaTheme="minorEastAsia" w:hAnsi="Calibri" w:cs="Calibri"/>
                <w:i/>
                <w:iCs/>
                <w:color w:val="FFFFFF"/>
                <w:sz w:val="22"/>
                <w:szCs w:val="16"/>
                <w:lang w:eastAsia="en-AU"/>
              </w:rPr>
              <w:t>2015</w:t>
            </w:r>
          </w:p>
        </w:tc>
        <w:tc>
          <w:tcPr>
            <w:tcW w:w="1134" w:type="dxa"/>
            <w:tcBorders>
              <w:top w:val="nil"/>
              <w:left w:val="nil"/>
              <w:right w:val="nil"/>
            </w:tcBorders>
            <w:shd w:val="solid" w:color="000000" w:fill="auto"/>
            <w:vAlign w:val="bottom"/>
          </w:tcPr>
          <w:p w:rsidR="008D5D2B" w:rsidRPr="004D1572" w:rsidRDefault="008D5D2B" w:rsidP="003E6750">
            <w:pPr>
              <w:autoSpaceDE w:val="0"/>
              <w:autoSpaceDN w:val="0"/>
              <w:adjustRightInd w:val="0"/>
              <w:spacing w:after="0"/>
              <w:jc w:val="right"/>
              <w:rPr>
                <w:rFonts w:ascii="Calibri" w:eastAsiaTheme="minorEastAsia" w:hAnsi="Calibri" w:cs="Calibri"/>
                <w:i/>
                <w:iCs/>
                <w:color w:val="FFFFFF"/>
                <w:sz w:val="22"/>
                <w:szCs w:val="16"/>
                <w:lang w:eastAsia="en-AU"/>
              </w:rPr>
            </w:pPr>
            <w:r w:rsidRPr="004D1572">
              <w:rPr>
                <w:rFonts w:ascii="Calibri" w:eastAsiaTheme="minorEastAsia" w:hAnsi="Calibri" w:cs="Calibri"/>
                <w:i/>
                <w:iCs/>
                <w:color w:val="FFFFFF"/>
                <w:sz w:val="22"/>
                <w:szCs w:val="16"/>
                <w:lang w:eastAsia="en-AU"/>
              </w:rPr>
              <w:t>Jun</w:t>
            </w:r>
          </w:p>
          <w:p w:rsidR="008D5D2B" w:rsidRPr="004D1572" w:rsidRDefault="008D5D2B" w:rsidP="003E6750">
            <w:pPr>
              <w:autoSpaceDE w:val="0"/>
              <w:autoSpaceDN w:val="0"/>
              <w:adjustRightInd w:val="0"/>
              <w:spacing w:after="0"/>
              <w:jc w:val="right"/>
              <w:rPr>
                <w:rFonts w:ascii="Calibri" w:eastAsiaTheme="minorEastAsia" w:hAnsi="Calibri" w:cs="Calibri"/>
                <w:i/>
                <w:iCs/>
                <w:color w:val="FFFFFF"/>
                <w:sz w:val="22"/>
                <w:szCs w:val="16"/>
                <w:lang w:eastAsia="en-AU"/>
              </w:rPr>
            </w:pPr>
            <w:r w:rsidRPr="004D1572">
              <w:rPr>
                <w:rFonts w:ascii="Calibri" w:eastAsiaTheme="minorEastAsia" w:hAnsi="Calibri" w:cs="Calibri"/>
                <w:i/>
                <w:iCs/>
                <w:color w:val="FFFFFF"/>
                <w:sz w:val="22"/>
                <w:szCs w:val="16"/>
                <w:lang w:eastAsia="en-AU"/>
              </w:rPr>
              <w:t>2015</w:t>
            </w:r>
          </w:p>
        </w:tc>
      </w:tr>
      <w:tr w:rsidR="00BB67AF" w:rsidRPr="004D1572" w:rsidTr="003E6750">
        <w:tc>
          <w:tcPr>
            <w:tcW w:w="5102" w:type="dxa"/>
            <w:tcBorders>
              <w:top w:val="nil"/>
              <w:left w:val="nil"/>
              <w:right w:val="nil"/>
            </w:tcBorders>
            <w:shd w:val="clear" w:color="auto" w:fill="FFFFFF"/>
          </w:tcPr>
          <w:p w:rsidR="00BB67AF" w:rsidRPr="004D1572" w:rsidRDefault="00BB67AF" w:rsidP="003E6750">
            <w:pPr>
              <w:autoSpaceDE w:val="0"/>
              <w:autoSpaceDN w:val="0"/>
              <w:adjustRightInd w:val="0"/>
              <w:spacing w:after="0"/>
              <w:ind w:left="227" w:hanging="227"/>
              <w:rPr>
                <w:rFonts w:ascii="Calibri" w:eastAsiaTheme="minorEastAsia" w:hAnsi="Calibri" w:cs="Calibri"/>
                <w:color w:val="000000"/>
                <w:sz w:val="22"/>
                <w:szCs w:val="18"/>
                <w:lang w:eastAsia="en-AU"/>
              </w:rPr>
            </w:pPr>
            <w:r w:rsidRPr="004D1572">
              <w:rPr>
                <w:rFonts w:ascii="Calibri" w:eastAsiaTheme="minorEastAsia" w:hAnsi="Calibri" w:cs="Calibri"/>
                <w:color w:val="000000"/>
                <w:sz w:val="22"/>
                <w:szCs w:val="18"/>
                <w:lang w:eastAsia="en-AU"/>
              </w:rPr>
              <w:t>Land</w:t>
            </w:r>
          </w:p>
        </w:tc>
        <w:tc>
          <w:tcPr>
            <w:tcW w:w="1134" w:type="dxa"/>
            <w:tcBorders>
              <w:top w:val="nil"/>
              <w:left w:val="nil"/>
              <w:right w:val="nil"/>
            </w:tcBorders>
            <w:shd w:val="clear" w:color="auto" w:fill="FFFFFF"/>
          </w:tcPr>
          <w:p w:rsidR="00BB67AF" w:rsidRPr="004D1572" w:rsidRDefault="00BB67AF" w:rsidP="003E6750">
            <w:pPr>
              <w:autoSpaceDE w:val="0"/>
              <w:autoSpaceDN w:val="0"/>
              <w:adjustRightInd w:val="0"/>
              <w:spacing w:after="0"/>
              <w:jc w:val="right"/>
              <w:rPr>
                <w:rFonts w:ascii="Arial" w:eastAsiaTheme="minorEastAsia" w:hAnsi="Arial" w:cs="Arial"/>
                <w:color w:val="000000"/>
                <w:sz w:val="16"/>
                <w:szCs w:val="16"/>
                <w:lang w:eastAsia="en-AU"/>
              </w:rPr>
            </w:pPr>
            <w:r>
              <w:rPr>
                <w:rFonts w:ascii="Calibri" w:eastAsiaTheme="minorEastAsia" w:hAnsi="Calibri" w:cs="Arial"/>
                <w:color w:val="000000"/>
                <w:sz w:val="22"/>
                <w:szCs w:val="16"/>
                <w:lang w:eastAsia="en-AU"/>
              </w:rPr>
              <w:t>182</w:t>
            </w:r>
          </w:p>
        </w:tc>
        <w:tc>
          <w:tcPr>
            <w:tcW w:w="1134" w:type="dxa"/>
            <w:tcBorders>
              <w:top w:val="nil"/>
              <w:left w:val="nil"/>
              <w:right w:val="nil"/>
            </w:tcBorders>
            <w:shd w:val="clear" w:color="auto" w:fill="FFFFFF"/>
          </w:tcPr>
          <w:p w:rsidR="00BB67AF" w:rsidRPr="004D1572" w:rsidRDefault="00BB67AF" w:rsidP="003E6750">
            <w:pPr>
              <w:autoSpaceDE w:val="0"/>
              <w:autoSpaceDN w:val="0"/>
              <w:adjustRightInd w:val="0"/>
              <w:spacing w:after="0"/>
              <w:jc w:val="right"/>
              <w:rPr>
                <w:rFonts w:ascii="Arial" w:eastAsiaTheme="minorEastAsia" w:hAnsi="Arial" w:cs="Arial"/>
                <w:color w:val="000000"/>
                <w:sz w:val="16"/>
                <w:szCs w:val="16"/>
                <w:lang w:eastAsia="en-AU"/>
              </w:rPr>
            </w:pPr>
            <w:r>
              <w:rPr>
                <w:rFonts w:ascii="Calibri" w:eastAsiaTheme="minorEastAsia" w:hAnsi="Calibri" w:cs="Arial"/>
                <w:color w:val="000000"/>
                <w:sz w:val="22"/>
                <w:szCs w:val="16"/>
                <w:lang w:eastAsia="en-AU"/>
              </w:rPr>
              <w:t>191</w:t>
            </w:r>
          </w:p>
        </w:tc>
        <w:tc>
          <w:tcPr>
            <w:tcW w:w="1134" w:type="dxa"/>
            <w:tcBorders>
              <w:top w:val="nil"/>
              <w:left w:val="nil"/>
              <w:right w:val="nil"/>
            </w:tcBorders>
            <w:shd w:val="clear" w:color="auto" w:fill="FFFFFF"/>
          </w:tcPr>
          <w:p w:rsidR="00BB67AF" w:rsidRPr="004D1572" w:rsidRDefault="00BB67AF" w:rsidP="003E6750">
            <w:pPr>
              <w:autoSpaceDE w:val="0"/>
              <w:autoSpaceDN w:val="0"/>
              <w:adjustRightInd w:val="0"/>
              <w:spacing w:after="0"/>
              <w:jc w:val="right"/>
              <w:rPr>
                <w:rFonts w:ascii="Arial" w:eastAsiaTheme="minorEastAsia" w:hAnsi="Arial" w:cs="Arial"/>
                <w:color w:val="000000"/>
                <w:sz w:val="16"/>
                <w:szCs w:val="16"/>
                <w:lang w:eastAsia="en-AU"/>
              </w:rPr>
            </w:pPr>
            <w:r>
              <w:rPr>
                <w:rFonts w:ascii="Calibri" w:eastAsiaTheme="minorEastAsia" w:hAnsi="Calibri" w:cs="Arial"/>
                <w:color w:val="000000"/>
                <w:sz w:val="22"/>
                <w:szCs w:val="16"/>
                <w:lang w:eastAsia="en-AU"/>
              </w:rPr>
              <w:t>162</w:t>
            </w:r>
          </w:p>
        </w:tc>
        <w:tc>
          <w:tcPr>
            <w:tcW w:w="1134" w:type="dxa"/>
            <w:tcBorders>
              <w:top w:val="nil"/>
              <w:left w:val="nil"/>
              <w:right w:val="nil"/>
            </w:tcBorders>
            <w:shd w:val="clear" w:color="auto" w:fill="FFFFFF"/>
          </w:tcPr>
          <w:p w:rsidR="00BB67AF" w:rsidRPr="004D1572" w:rsidRDefault="00BB67AF" w:rsidP="003E6750">
            <w:pPr>
              <w:autoSpaceDE w:val="0"/>
              <w:autoSpaceDN w:val="0"/>
              <w:adjustRightInd w:val="0"/>
              <w:spacing w:after="0"/>
              <w:jc w:val="right"/>
              <w:rPr>
                <w:rFonts w:ascii="Arial" w:eastAsiaTheme="minorEastAsia" w:hAnsi="Arial" w:cs="Arial"/>
                <w:color w:val="000000"/>
                <w:sz w:val="16"/>
                <w:szCs w:val="16"/>
                <w:lang w:eastAsia="en-AU"/>
              </w:rPr>
            </w:pPr>
            <w:r>
              <w:rPr>
                <w:rFonts w:ascii="Calibri" w:eastAsiaTheme="minorEastAsia" w:hAnsi="Calibri" w:cs="Arial"/>
                <w:color w:val="000000"/>
                <w:sz w:val="22"/>
                <w:szCs w:val="16"/>
                <w:lang w:eastAsia="en-AU"/>
              </w:rPr>
              <w:t>165</w:t>
            </w:r>
          </w:p>
        </w:tc>
      </w:tr>
      <w:tr w:rsidR="00BB67AF" w:rsidRPr="004D1572" w:rsidTr="003E6750">
        <w:tc>
          <w:tcPr>
            <w:tcW w:w="5102" w:type="dxa"/>
            <w:tcBorders>
              <w:top w:val="nil"/>
              <w:left w:val="nil"/>
              <w:right w:val="nil"/>
            </w:tcBorders>
            <w:shd w:val="clear" w:color="auto" w:fill="FFFFFF"/>
          </w:tcPr>
          <w:p w:rsidR="00BB67AF" w:rsidRPr="004D1572" w:rsidRDefault="00BB67AF" w:rsidP="003E6750">
            <w:pPr>
              <w:autoSpaceDE w:val="0"/>
              <w:autoSpaceDN w:val="0"/>
              <w:adjustRightInd w:val="0"/>
              <w:spacing w:after="0"/>
              <w:ind w:left="227" w:hanging="227"/>
              <w:rPr>
                <w:rFonts w:ascii="Calibri" w:eastAsiaTheme="minorEastAsia" w:hAnsi="Calibri" w:cs="Calibri"/>
                <w:color w:val="000000"/>
                <w:sz w:val="22"/>
                <w:szCs w:val="18"/>
                <w:lang w:eastAsia="en-AU"/>
              </w:rPr>
            </w:pPr>
            <w:r w:rsidRPr="004D1572">
              <w:rPr>
                <w:rFonts w:ascii="Calibri" w:eastAsiaTheme="minorEastAsia" w:hAnsi="Calibri" w:cs="Calibri"/>
                <w:color w:val="000000"/>
                <w:sz w:val="22"/>
                <w:szCs w:val="18"/>
                <w:lang w:eastAsia="en-AU"/>
              </w:rPr>
              <w:t>Buildings</w:t>
            </w:r>
          </w:p>
        </w:tc>
        <w:tc>
          <w:tcPr>
            <w:tcW w:w="1134" w:type="dxa"/>
            <w:tcBorders>
              <w:top w:val="nil"/>
              <w:left w:val="nil"/>
              <w:right w:val="nil"/>
            </w:tcBorders>
            <w:shd w:val="clear" w:color="auto" w:fill="FFFFFF"/>
          </w:tcPr>
          <w:p w:rsidR="00BB67AF" w:rsidRPr="004D1572" w:rsidRDefault="00BB67AF" w:rsidP="003E6750">
            <w:pPr>
              <w:autoSpaceDE w:val="0"/>
              <w:autoSpaceDN w:val="0"/>
              <w:adjustRightInd w:val="0"/>
              <w:spacing w:after="0"/>
              <w:jc w:val="right"/>
              <w:rPr>
                <w:rFonts w:ascii="Arial" w:eastAsiaTheme="minorEastAsia" w:hAnsi="Arial" w:cs="Arial"/>
                <w:color w:val="000000"/>
                <w:sz w:val="16"/>
                <w:szCs w:val="16"/>
                <w:lang w:eastAsia="en-AU"/>
              </w:rPr>
            </w:pPr>
            <w:r>
              <w:rPr>
                <w:rFonts w:ascii="Calibri" w:eastAsiaTheme="minorEastAsia" w:hAnsi="Calibri" w:cs="Arial"/>
                <w:color w:val="000000"/>
                <w:sz w:val="22"/>
                <w:szCs w:val="16"/>
                <w:lang w:eastAsia="en-AU"/>
              </w:rPr>
              <w:t>10</w:t>
            </w:r>
          </w:p>
        </w:tc>
        <w:tc>
          <w:tcPr>
            <w:tcW w:w="1134" w:type="dxa"/>
            <w:tcBorders>
              <w:top w:val="nil"/>
              <w:left w:val="nil"/>
              <w:right w:val="nil"/>
            </w:tcBorders>
            <w:shd w:val="clear" w:color="auto" w:fill="FFFFFF"/>
          </w:tcPr>
          <w:p w:rsidR="00BB67AF" w:rsidRPr="004D1572" w:rsidRDefault="00BB67AF" w:rsidP="003E6750">
            <w:pPr>
              <w:autoSpaceDE w:val="0"/>
              <w:autoSpaceDN w:val="0"/>
              <w:adjustRightInd w:val="0"/>
              <w:spacing w:after="0"/>
              <w:jc w:val="right"/>
              <w:rPr>
                <w:rFonts w:ascii="Arial" w:eastAsiaTheme="minorEastAsia" w:hAnsi="Arial" w:cs="Arial"/>
                <w:color w:val="000000"/>
                <w:sz w:val="16"/>
                <w:szCs w:val="16"/>
                <w:lang w:eastAsia="en-AU"/>
              </w:rPr>
            </w:pPr>
            <w:r>
              <w:rPr>
                <w:rFonts w:ascii="Calibri" w:eastAsiaTheme="minorEastAsia" w:hAnsi="Calibri" w:cs="Arial"/>
                <w:color w:val="000000"/>
                <w:sz w:val="22"/>
                <w:szCs w:val="16"/>
                <w:lang w:eastAsia="en-AU"/>
              </w:rPr>
              <w:t>9</w:t>
            </w:r>
          </w:p>
        </w:tc>
        <w:tc>
          <w:tcPr>
            <w:tcW w:w="1134" w:type="dxa"/>
            <w:tcBorders>
              <w:top w:val="nil"/>
              <w:left w:val="nil"/>
              <w:right w:val="nil"/>
            </w:tcBorders>
            <w:shd w:val="clear" w:color="auto" w:fill="FFFFFF"/>
          </w:tcPr>
          <w:p w:rsidR="00BB67AF" w:rsidRPr="004D1572" w:rsidRDefault="00BB67AF" w:rsidP="003E6750">
            <w:pPr>
              <w:autoSpaceDE w:val="0"/>
              <w:autoSpaceDN w:val="0"/>
              <w:adjustRightInd w:val="0"/>
              <w:spacing w:after="0"/>
              <w:jc w:val="right"/>
              <w:rPr>
                <w:rFonts w:ascii="Arial" w:eastAsiaTheme="minorEastAsia" w:hAnsi="Arial" w:cs="Arial"/>
                <w:color w:val="000000"/>
                <w:sz w:val="16"/>
                <w:szCs w:val="16"/>
                <w:lang w:eastAsia="en-AU"/>
              </w:rPr>
            </w:pPr>
            <w:r>
              <w:rPr>
                <w:rFonts w:ascii="Calibri" w:eastAsiaTheme="minorEastAsia" w:hAnsi="Calibri" w:cs="Arial"/>
                <w:color w:val="000000"/>
                <w:sz w:val="22"/>
                <w:szCs w:val="16"/>
                <w:lang w:eastAsia="en-AU"/>
              </w:rPr>
              <w:t>3</w:t>
            </w:r>
          </w:p>
        </w:tc>
        <w:tc>
          <w:tcPr>
            <w:tcW w:w="1134" w:type="dxa"/>
            <w:tcBorders>
              <w:top w:val="nil"/>
              <w:left w:val="nil"/>
              <w:right w:val="nil"/>
            </w:tcBorders>
            <w:shd w:val="clear" w:color="auto" w:fill="FFFFFF"/>
          </w:tcPr>
          <w:p w:rsidR="00BB67AF" w:rsidRPr="004D1572" w:rsidRDefault="00BB67AF" w:rsidP="003E6750">
            <w:pPr>
              <w:autoSpaceDE w:val="0"/>
              <w:autoSpaceDN w:val="0"/>
              <w:adjustRightInd w:val="0"/>
              <w:spacing w:after="0"/>
              <w:jc w:val="right"/>
              <w:rPr>
                <w:rFonts w:ascii="Arial" w:eastAsiaTheme="minorEastAsia" w:hAnsi="Arial" w:cs="Arial"/>
                <w:color w:val="000000"/>
                <w:sz w:val="16"/>
                <w:szCs w:val="16"/>
                <w:lang w:eastAsia="en-AU"/>
              </w:rPr>
            </w:pPr>
            <w:r>
              <w:rPr>
                <w:rFonts w:ascii="Calibri" w:eastAsiaTheme="minorEastAsia" w:hAnsi="Calibri" w:cs="Arial"/>
                <w:color w:val="000000"/>
                <w:sz w:val="22"/>
                <w:szCs w:val="16"/>
                <w:lang w:eastAsia="en-AU"/>
              </w:rPr>
              <w:t>4</w:t>
            </w:r>
          </w:p>
        </w:tc>
      </w:tr>
      <w:tr w:rsidR="00BB67AF" w:rsidRPr="004D1572" w:rsidTr="003E6750">
        <w:tc>
          <w:tcPr>
            <w:tcW w:w="5102" w:type="dxa"/>
            <w:tcBorders>
              <w:top w:val="nil"/>
              <w:left w:val="nil"/>
              <w:right w:val="nil"/>
            </w:tcBorders>
            <w:shd w:val="clear" w:color="auto" w:fill="FFFFFF"/>
          </w:tcPr>
          <w:p w:rsidR="00BB67AF" w:rsidRPr="004D1572" w:rsidRDefault="00BB67AF" w:rsidP="003E6750">
            <w:pPr>
              <w:autoSpaceDE w:val="0"/>
              <w:autoSpaceDN w:val="0"/>
              <w:adjustRightInd w:val="0"/>
              <w:spacing w:after="0"/>
              <w:ind w:left="227" w:hanging="227"/>
              <w:rPr>
                <w:rFonts w:ascii="Calibri" w:eastAsiaTheme="minorEastAsia" w:hAnsi="Calibri" w:cs="Calibri"/>
                <w:color w:val="000000"/>
                <w:sz w:val="22"/>
                <w:szCs w:val="18"/>
                <w:lang w:eastAsia="en-AU"/>
              </w:rPr>
            </w:pPr>
            <w:r w:rsidRPr="004D1572">
              <w:rPr>
                <w:rFonts w:ascii="Calibri" w:eastAsiaTheme="minorEastAsia" w:hAnsi="Calibri" w:cs="Calibri"/>
                <w:color w:val="000000"/>
                <w:sz w:val="22"/>
                <w:szCs w:val="18"/>
                <w:lang w:eastAsia="en-AU"/>
              </w:rPr>
              <w:t>Infrastructure, plant, equipment and vehicles</w:t>
            </w:r>
          </w:p>
        </w:tc>
        <w:tc>
          <w:tcPr>
            <w:tcW w:w="1134" w:type="dxa"/>
            <w:tcBorders>
              <w:top w:val="nil"/>
              <w:left w:val="nil"/>
              <w:right w:val="nil"/>
            </w:tcBorders>
            <w:shd w:val="clear" w:color="auto" w:fill="FFFFFF"/>
          </w:tcPr>
          <w:p w:rsidR="00BB67AF" w:rsidRPr="004D1572" w:rsidRDefault="00BB67AF" w:rsidP="003E6750">
            <w:pPr>
              <w:autoSpaceDE w:val="0"/>
              <w:autoSpaceDN w:val="0"/>
              <w:adjustRightInd w:val="0"/>
              <w:spacing w:after="0"/>
              <w:jc w:val="right"/>
              <w:rPr>
                <w:rFonts w:ascii="Calibri" w:eastAsiaTheme="minorEastAsia" w:hAnsi="Calibri" w:cs="Arial"/>
                <w:color w:val="000000"/>
                <w:sz w:val="22"/>
                <w:szCs w:val="16"/>
                <w:lang w:eastAsia="en-AU"/>
              </w:rPr>
            </w:pPr>
            <w:r>
              <w:rPr>
                <w:rFonts w:ascii="Calibri" w:eastAsiaTheme="minorEastAsia" w:hAnsi="Calibri" w:cs="Arial"/>
                <w:color w:val="000000"/>
                <w:sz w:val="22"/>
                <w:szCs w:val="16"/>
                <w:lang w:eastAsia="en-AU"/>
              </w:rPr>
              <w:t>..</w:t>
            </w:r>
          </w:p>
        </w:tc>
        <w:tc>
          <w:tcPr>
            <w:tcW w:w="1134" w:type="dxa"/>
            <w:tcBorders>
              <w:top w:val="nil"/>
              <w:left w:val="nil"/>
              <w:right w:val="nil"/>
            </w:tcBorders>
            <w:shd w:val="clear" w:color="auto" w:fill="FFFFFF"/>
          </w:tcPr>
          <w:p w:rsidR="00BB67AF" w:rsidRPr="004D1572" w:rsidRDefault="00BB67AF" w:rsidP="003E6750">
            <w:pPr>
              <w:autoSpaceDE w:val="0"/>
              <w:autoSpaceDN w:val="0"/>
              <w:adjustRightInd w:val="0"/>
              <w:spacing w:after="0"/>
              <w:jc w:val="right"/>
              <w:rPr>
                <w:rFonts w:ascii="Arial" w:eastAsiaTheme="minorEastAsia" w:hAnsi="Arial" w:cs="Arial"/>
                <w:color w:val="000000"/>
                <w:sz w:val="16"/>
                <w:szCs w:val="16"/>
                <w:lang w:eastAsia="en-AU"/>
              </w:rPr>
            </w:pPr>
            <w:r>
              <w:rPr>
                <w:rFonts w:ascii="Calibri" w:eastAsiaTheme="minorEastAsia" w:hAnsi="Calibri" w:cs="Arial"/>
                <w:color w:val="000000"/>
                <w:sz w:val="22"/>
                <w:szCs w:val="16"/>
                <w:lang w:eastAsia="en-AU"/>
              </w:rPr>
              <w:t>6</w:t>
            </w:r>
          </w:p>
        </w:tc>
        <w:tc>
          <w:tcPr>
            <w:tcW w:w="1134" w:type="dxa"/>
            <w:tcBorders>
              <w:top w:val="nil"/>
              <w:left w:val="nil"/>
              <w:right w:val="nil"/>
            </w:tcBorders>
            <w:shd w:val="clear" w:color="auto" w:fill="FFFFFF"/>
          </w:tcPr>
          <w:p w:rsidR="00BB67AF" w:rsidRPr="004D1572" w:rsidRDefault="00BB67AF" w:rsidP="003E6750">
            <w:pPr>
              <w:autoSpaceDE w:val="0"/>
              <w:autoSpaceDN w:val="0"/>
              <w:adjustRightInd w:val="0"/>
              <w:spacing w:after="0"/>
              <w:jc w:val="right"/>
              <w:rPr>
                <w:rFonts w:ascii="Calibri" w:eastAsiaTheme="minorEastAsia" w:hAnsi="Calibri" w:cs="Arial"/>
                <w:color w:val="000000"/>
                <w:sz w:val="22"/>
                <w:szCs w:val="16"/>
                <w:lang w:eastAsia="en-AU"/>
              </w:rPr>
            </w:pPr>
            <w:r>
              <w:rPr>
                <w:rFonts w:ascii="Calibri" w:eastAsiaTheme="minorEastAsia" w:hAnsi="Calibri" w:cs="Arial"/>
                <w:color w:val="000000"/>
                <w:sz w:val="22"/>
                <w:szCs w:val="16"/>
                <w:lang w:eastAsia="en-AU"/>
              </w:rPr>
              <w:t>..</w:t>
            </w:r>
          </w:p>
        </w:tc>
        <w:tc>
          <w:tcPr>
            <w:tcW w:w="1134" w:type="dxa"/>
            <w:tcBorders>
              <w:top w:val="nil"/>
              <w:left w:val="nil"/>
              <w:right w:val="nil"/>
            </w:tcBorders>
            <w:shd w:val="clear" w:color="auto" w:fill="FFFFFF"/>
          </w:tcPr>
          <w:p w:rsidR="00BB67AF" w:rsidRPr="004D1572" w:rsidRDefault="00BB67AF" w:rsidP="003E6750">
            <w:pPr>
              <w:autoSpaceDE w:val="0"/>
              <w:autoSpaceDN w:val="0"/>
              <w:adjustRightInd w:val="0"/>
              <w:spacing w:after="0"/>
              <w:jc w:val="right"/>
              <w:rPr>
                <w:rFonts w:ascii="Arial" w:eastAsiaTheme="minorEastAsia" w:hAnsi="Arial" w:cs="Arial"/>
                <w:color w:val="000000"/>
                <w:sz w:val="16"/>
                <w:szCs w:val="16"/>
                <w:lang w:eastAsia="en-AU"/>
              </w:rPr>
            </w:pPr>
            <w:r>
              <w:rPr>
                <w:rFonts w:ascii="Calibri" w:eastAsiaTheme="minorEastAsia" w:hAnsi="Calibri" w:cs="Arial"/>
                <w:color w:val="000000"/>
                <w:sz w:val="22"/>
                <w:szCs w:val="16"/>
                <w:lang w:eastAsia="en-AU"/>
              </w:rPr>
              <w:t>6</w:t>
            </w:r>
          </w:p>
        </w:tc>
      </w:tr>
      <w:tr w:rsidR="00BB67AF" w:rsidRPr="004D1572" w:rsidTr="003E6750">
        <w:tc>
          <w:tcPr>
            <w:tcW w:w="5102" w:type="dxa"/>
            <w:tcBorders>
              <w:top w:val="nil"/>
              <w:left w:val="nil"/>
              <w:bottom w:val="single" w:sz="6" w:space="0" w:color="000000"/>
              <w:right w:val="nil"/>
            </w:tcBorders>
            <w:shd w:val="clear" w:color="auto" w:fill="FFFFFF"/>
          </w:tcPr>
          <w:p w:rsidR="00BB67AF" w:rsidRPr="004D1572" w:rsidRDefault="00BB67AF" w:rsidP="003E6750">
            <w:pPr>
              <w:autoSpaceDE w:val="0"/>
              <w:autoSpaceDN w:val="0"/>
              <w:adjustRightInd w:val="0"/>
              <w:spacing w:after="0"/>
              <w:ind w:left="227" w:hanging="227"/>
              <w:rPr>
                <w:rFonts w:ascii="Calibri" w:eastAsiaTheme="minorEastAsia" w:hAnsi="Calibri" w:cs="Calibri"/>
                <w:color w:val="000000"/>
                <w:sz w:val="22"/>
                <w:szCs w:val="18"/>
                <w:lang w:eastAsia="en-AU"/>
              </w:rPr>
            </w:pPr>
            <w:r w:rsidRPr="004D1572">
              <w:rPr>
                <w:rFonts w:ascii="Calibri" w:eastAsiaTheme="minorEastAsia" w:hAnsi="Calibri" w:cs="Calibri"/>
                <w:color w:val="000000"/>
                <w:sz w:val="22"/>
                <w:szCs w:val="18"/>
                <w:lang w:eastAsia="en-AU"/>
              </w:rPr>
              <w:t xml:space="preserve">Other </w:t>
            </w:r>
          </w:p>
        </w:tc>
        <w:tc>
          <w:tcPr>
            <w:tcW w:w="1134" w:type="dxa"/>
            <w:tcBorders>
              <w:top w:val="nil"/>
              <w:left w:val="nil"/>
              <w:bottom w:val="single" w:sz="6" w:space="0" w:color="000000"/>
              <w:right w:val="nil"/>
            </w:tcBorders>
            <w:shd w:val="clear" w:color="auto" w:fill="FFFFFF"/>
          </w:tcPr>
          <w:p w:rsidR="00BB67AF" w:rsidRPr="004D1572" w:rsidRDefault="00BB67AF" w:rsidP="003E6750">
            <w:pPr>
              <w:autoSpaceDE w:val="0"/>
              <w:autoSpaceDN w:val="0"/>
              <w:adjustRightInd w:val="0"/>
              <w:spacing w:after="0"/>
              <w:jc w:val="right"/>
              <w:rPr>
                <w:rFonts w:ascii="Calibri" w:eastAsiaTheme="minorEastAsia" w:hAnsi="Calibri" w:cs="Arial"/>
                <w:color w:val="000000"/>
                <w:sz w:val="22"/>
                <w:szCs w:val="16"/>
                <w:lang w:eastAsia="en-AU"/>
              </w:rPr>
            </w:pPr>
            <w:r w:rsidRPr="004D1572">
              <w:rPr>
                <w:rFonts w:ascii="Calibri" w:eastAsiaTheme="minorEastAsia" w:hAnsi="Calibri" w:cs="Arial"/>
                <w:color w:val="000000"/>
                <w:sz w:val="22"/>
                <w:szCs w:val="16"/>
                <w:lang w:eastAsia="en-AU"/>
              </w:rPr>
              <w:t>..</w:t>
            </w:r>
          </w:p>
        </w:tc>
        <w:tc>
          <w:tcPr>
            <w:tcW w:w="1134" w:type="dxa"/>
            <w:tcBorders>
              <w:top w:val="nil"/>
              <w:left w:val="nil"/>
              <w:bottom w:val="single" w:sz="6" w:space="0" w:color="000000"/>
              <w:right w:val="nil"/>
            </w:tcBorders>
            <w:shd w:val="clear" w:color="auto" w:fill="FFFFFF"/>
          </w:tcPr>
          <w:p w:rsidR="00BB67AF" w:rsidRPr="004D1572" w:rsidRDefault="00BB67AF" w:rsidP="003E6750">
            <w:pPr>
              <w:autoSpaceDE w:val="0"/>
              <w:autoSpaceDN w:val="0"/>
              <w:adjustRightInd w:val="0"/>
              <w:spacing w:after="0"/>
              <w:jc w:val="right"/>
              <w:rPr>
                <w:rFonts w:ascii="Calibri" w:eastAsiaTheme="minorEastAsia" w:hAnsi="Calibri" w:cs="Arial"/>
                <w:color w:val="000000"/>
                <w:sz w:val="22"/>
                <w:szCs w:val="16"/>
                <w:lang w:eastAsia="en-AU"/>
              </w:rPr>
            </w:pPr>
            <w:r>
              <w:rPr>
                <w:rFonts w:ascii="Calibri" w:eastAsiaTheme="minorEastAsia" w:hAnsi="Calibri" w:cs="Arial"/>
                <w:color w:val="000000"/>
                <w:sz w:val="22"/>
                <w:szCs w:val="16"/>
                <w:lang w:eastAsia="en-AU"/>
              </w:rPr>
              <w:t>..</w:t>
            </w:r>
          </w:p>
        </w:tc>
        <w:tc>
          <w:tcPr>
            <w:tcW w:w="1134" w:type="dxa"/>
            <w:tcBorders>
              <w:top w:val="nil"/>
              <w:left w:val="nil"/>
              <w:bottom w:val="single" w:sz="6" w:space="0" w:color="000000"/>
              <w:right w:val="nil"/>
            </w:tcBorders>
            <w:shd w:val="clear" w:color="auto" w:fill="FFFFFF"/>
          </w:tcPr>
          <w:p w:rsidR="00BB67AF" w:rsidRPr="004D1572" w:rsidRDefault="00BB67AF" w:rsidP="003E6750">
            <w:pPr>
              <w:autoSpaceDE w:val="0"/>
              <w:autoSpaceDN w:val="0"/>
              <w:adjustRightInd w:val="0"/>
              <w:spacing w:after="0"/>
              <w:jc w:val="right"/>
              <w:rPr>
                <w:rFonts w:ascii="Calibri" w:eastAsiaTheme="minorEastAsia" w:hAnsi="Calibri" w:cs="Arial"/>
                <w:color w:val="000000"/>
                <w:sz w:val="22"/>
                <w:szCs w:val="16"/>
                <w:lang w:eastAsia="en-AU"/>
              </w:rPr>
            </w:pPr>
            <w:r w:rsidRPr="004D1572">
              <w:rPr>
                <w:rFonts w:ascii="Calibri" w:eastAsiaTheme="minorEastAsia" w:hAnsi="Calibri" w:cs="Arial"/>
                <w:color w:val="000000"/>
                <w:sz w:val="22"/>
                <w:szCs w:val="16"/>
                <w:lang w:eastAsia="en-AU"/>
              </w:rPr>
              <w:t>..</w:t>
            </w:r>
          </w:p>
        </w:tc>
        <w:tc>
          <w:tcPr>
            <w:tcW w:w="1134" w:type="dxa"/>
            <w:tcBorders>
              <w:top w:val="nil"/>
              <w:left w:val="nil"/>
              <w:bottom w:val="single" w:sz="6" w:space="0" w:color="000000"/>
              <w:right w:val="nil"/>
            </w:tcBorders>
            <w:shd w:val="clear" w:color="auto" w:fill="FFFFFF"/>
          </w:tcPr>
          <w:p w:rsidR="00BB67AF" w:rsidRPr="004D1572" w:rsidRDefault="00BB67AF" w:rsidP="003E6750">
            <w:pPr>
              <w:autoSpaceDE w:val="0"/>
              <w:autoSpaceDN w:val="0"/>
              <w:adjustRightInd w:val="0"/>
              <w:spacing w:after="0"/>
              <w:jc w:val="right"/>
              <w:rPr>
                <w:rFonts w:ascii="Calibri" w:eastAsiaTheme="minorEastAsia" w:hAnsi="Calibri" w:cs="Arial"/>
                <w:color w:val="000000"/>
                <w:sz w:val="22"/>
                <w:szCs w:val="16"/>
                <w:lang w:eastAsia="en-AU"/>
              </w:rPr>
            </w:pPr>
            <w:r w:rsidRPr="004D1572">
              <w:rPr>
                <w:rFonts w:ascii="Calibri" w:eastAsiaTheme="minorEastAsia" w:hAnsi="Calibri" w:cs="Arial"/>
                <w:color w:val="000000"/>
                <w:sz w:val="22"/>
                <w:szCs w:val="16"/>
                <w:lang w:eastAsia="en-AU"/>
              </w:rPr>
              <w:t>..</w:t>
            </w:r>
          </w:p>
        </w:tc>
      </w:tr>
      <w:tr w:rsidR="00BB67AF" w:rsidRPr="004D1572" w:rsidTr="003E6750">
        <w:tc>
          <w:tcPr>
            <w:tcW w:w="5102" w:type="dxa"/>
            <w:tcBorders>
              <w:top w:val="single" w:sz="6" w:space="0" w:color="000000"/>
              <w:left w:val="nil"/>
              <w:bottom w:val="single" w:sz="12" w:space="0" w:color="auto"/>
              <w:right w:val="nil"/>
            </w:tcBorders>
            <w:shd w:val="clear" w:color="auto" w:fill="FFFFFF"/>
          </w:tcPr>
          <w:p w:rsidR="00BB67AF" w:rsidRPr="004D1572" w:rsidRDefault="00BB67AF" w:rsidP="003E6750">
            <w:pPr>
              <w:autoSpaceDE w:val="0"/>
              <w:autoSpaceDN w:val="0"/>
              <w:adjustRightInd w:val="0"/>
              <w:spacing w:after="0"/>
              <w:ind w:left="227" w:hanging="227"/>
              <w:rPr>
                <w:rFonts w:ascii="Calibri" w:eastAsiaTheme="minorEastAsia" w:hAnsi="Calibri" w:cs="Calibri"/>
                <w:b/>
                <w:bCs/>
                <w:color w:val="000000"/>
                <w:sz w:val="22"/>
                <w:szCs w:val="18"/>
                <w:lang w:eastAsia="en-AU"/>
              </w:rPr>
            </w:pPr>
            <w:r w:rsidRPr="004D1572">
              <w:rPr>
                <w:rFonts w:ascii="Calibri" w:eastAsiaTheme="minorEastAsia" w:hAnsi="Calibri" w:cs="Calibri"/>
                <w:b/>
                <w:bCs/>
                <w:color w:val="000000"/>
                <w:sz w:val="22"/>
                <w:szCs w:val="18"/>
                <w:lang w:eastAsia="en-AU"/>
              </w:rPr>
              <w:t>Total non</w:t>
            </w:r>
            <w:r>
              <w:rPr>
                <w:rFonts w:ascii="Calibri" w:eastAsiaTheme="minorEastAsia" w:hAnsi="Calibri" w:cs="Calibri"/>
                <w:b/>
                <w:bCs/>
                <w:color w:val="000000"/>
                <w:sz w:val="22"/>
                <w:szCs w:val="18"/>
                <w:lang w:eastAsia="en-AU"/>
              </w:rPr>
              <w:noBreakHyphen/>
            </w:r>
            <w:r w:rsidRPr="004D1572">
              <w:rPr>
                <w:rFonts w:ascii="Calibri" w:eastAsiaTheme="minorEastAsia" w:hAnsi="Calibri" w:cs="Calibri"/>
                <w:b/>
                <w:bCs/>
                <w:color w:val="000000"/>
                <w:sz w:val="22"/>
                <w:szCs w:val="18"/>
                <w:lang w:eastAsia="en-AU"/>
              </w:rPr>
              <w:t>financial assets held for sale</w:t>
            </w:r>
          </w:p>
        </w:tc>
        <w:tc>
          <w:tcPr>
            <w:tcW w:w="1134" w:type="dxa"/>
            <w:tcBorders>
              <w:top w:val="single" w:sz="6" w:space="0" w:color="000000"/>
              <w:left w:val="nil"/>
              <w:bottom w:val="single" w:sz="12" w:space="0" w:color="auto"/>
              <w:right w:val="nil"/>
            </w:tcBorders>
            <w:shd w:val="clear" w:color="auto" w:fill="FFFFFF"/>
          </w:tcPr>
          <w:p w:rsidR="00BB67AF" w:rsidRPr="004D1572" w:rsidRDefault="00BB67AF" w:rsidP="003E6750">
            <w:pPr>
              <w:autoSpaceDE w:val="0"/>
              <w:autoSpaceDN w:val="0"/>
              <w:adjustRightInd w:val="0"/>
              <w:spacing w:after="0"/>
              <w:jc w:val="right"/>
              <w:rPr>
                <w:rFonts w:ascii="Arial" w:eastAsiaTheme="minorEastAsia" w:hAnsi="Arial" w:cs="Arial"/>
                <w:b/>
                <w:bCs/>
                <w:color w:val="000000"/>
                <w:sz w:val="16"/>
                <w:szCs w:val="16"/>
                <w:lang w:eastAsia="en-AU"/>
              </w:rPr>
            </w:pPr>
            <w:r>
              <w:rPr>
                <w:rFonts w:ascii="Calibri" w:eastAsiaTheme="minorEastAsia" w:hAnsi="Calibri" w:cs="Arial"/>
                <w:b/>
                <w:bCs/>
                <w:color w:val="000000"/>
                <w:sz w:val="22"/>
                <w:szCs w:val="16"/>
                <w:lang w:eastAsia="en-AU"/>
              </w:rPr>
              <w:t>192</w:t>
            </w:r>
          </w:p>
        </w:tc>
        <w:tc>
          <w:tcPr>
            <w:tcW w:w="1134" w:type="dxa"/>
            <w:tcBorders>
              <w:top w:val="single" w:sz="6" w:space="0" w:color="000000"/>
              <w:left w:val="nil"/>
              <w:bottom w:val="single" w:sz="12" w:space="0" w:color="auto"/>
              <w:right w:val="nil"/>
            </w:tcBorders>
            <w:shd w:val="clear" w:color="auto" w:fill="FFFFFF"/>
          </w:tcPr>
          <w:p w:rsidR="00BB67AF" w:rsidRPr="004D1572" w:rsidRDefault="00BB67AF" w:rsidP="003E6750">
            <w:pPr>
              <w:autoSpaceDE w:val="0"/>
              <w:autoSpaceDN w:val="0"/>
              <w:adjustRightInd w:val="0"/>
              <w:spacing w:after="0"/>
              <w:jc w:val="right"/>
              <w:rPr>
                <w:rFonts w:ascii="Arial" w:eastAsiaTheme="minorEastAsia" w:hAnsi="Arial" w:cs="Arial"/>
                <w:b/>
                <w:bCs/>
                <w:color w:val="000000"/>
                <w:sz w:val="16"/>
                <w:szCs w:val="16"/>
                <w:lang w:eastAsia="en-AU"/>
              </w:rPr>
            </w:pPr>
            <w:r>
              <w:rPr>
                <w:rFonts w:ascii="Calibri" w:eastAsiaTheme="minorEastAsia" w:hAnsi="Calibri" w:cs="Arial"/>
                <w:b/>
                <w:bCs/>
                <w:color w:val="000000"/>
                <w:sz w:val="22"/>
                <w:szCs w:val="16"/>
                <w:lang w:eastAsia="en-AU"/>
              </w:rPr>
              <w:t>205</w:t>
            </w:r>
          </w:p>
        </w:tc>
        <w:tc>
          <w:tcPr>
            <w:tcW w:w="1134" w:type="dxa"/>
            <w:tcBorders>
              <w:top w:val="single" w:sz="6" w:space="0" w:color="000000"/>
              <w:left w:val="nil"/>
              <w:bottom w:val="single" w:sz="12" w:space="0" w:color="auto"/>
              <w:right w:val="nil"/>
            </w:tcBorders>
            <w:shd w:val="clear" w:color="auto" w:fill="FFFFFF"/>
          </w:tcPr>
          <w:p w:rsidR="00BB67AF" w:rsidRPr="004D1572" w:rsidRDefault="00BB67AF" w:rsidP="003E6750">
            <w:pPr>
              <w:autoSpaceDE w:val="0"/>
              <w:autoSpaceDN w:val="0"/>
              <w:adjustRightInd w:val="0"/>
              <w:spacing w:after="0"/>
              <w:jc w:val="right"/>
              <w:rPr>
                <w:rFonts w:ascii="Arial" w:eastAsiaTheme="minorEastAsia" w:hAnsi="Arial" w:cs="Arial"/>
                <w:b/>
                <w:bCs/>
                <w:color w:val="000000"/>
                <w:sz w:val="16"/>
                <w:szCs w:val="16"/>
                <w:lang w:eastAsia="en-AU"/>
              </w:rPr>
            </w:pPr>
            <w:r>
              <w:rPr>
                <w:rFonts w:ascii="Calibri" w:eastAsiaTheme="minorEastAsia" w:hAnsi="Calibri" w:cs="Arial"/>
                <w:b/>
                <w:bCs/>
                <w:color w:val="000000"/>
                <w:sz w:val="22"/>
                <w:szCs w:val="16"/>
                <w:lang w:eastAsia="en-AU"/>
              </w:rPr>
              <w:t>165</w:t>
            </w:r>
          </w:p>
        </w:tc>
        <w:tc>
          <w:tcPr>
            <w:tcW w:w="1134" w:type="dxa"/>
            <w:tcBorders>
              <w:top w:val="single" w:sz="6" w:space="0" w:color="000000"/>
              <w:left w:val="nil"/>
              <w:bottom w:val="single" w:sz="12" w:space="0" w:color="auto"/>
              <w:right w:val="nil"/>
            </w:tcBorders>
            <w:shd w:val="clear" w:color="auto" w:fill="FFFFFF"/>
          </w:tcPr>
          <w:p w:rsidR="00BB67AF" w:rsidRPr="004D1572" w:rsidRDefault="00BB67AF" w:rsidP="003E6750">
            <w:pPr>
              <w:autoSpaceDE w:val="0"/>
              <w:autoSpaceDN w:val="0"/>
              <w:adjustRightInd w:val="0"/>
              <w:spacing w:after="0"/>
              <w:jc w:val="right"/>
              <w:rPr>
                <w:rFonts w:ascii="Arial" w:eastAsiaTheme="minorEastAsia" w:hAnsi="Arial" w:cs="Arial"/>
                <w:b/>
                <w:bCs/>
                <w:color w:val="000000"/>
                <w:sz w:val="16"/>
                <w:szCs w:val="16"/>
                <w:lang w:eastAsia="en-AU"/>
              </w:rPr>
            </w:pPr>
            <w:r>
              <w:rPr>
                <w:rFonts w:ascii="Calibri" w:eastAsiaTheme="minorEastAsia" w:hAnsi="Calibri" w:cs="Arial"/>
                <w:b/>
                <w:bCs/>
                <w:color w:val="000000"/>
                <w:sz w:val="22"/>
                <w:szCs w:val="16"/>
                <w:lang w:eastAsia="en-AU"/>
              </w:rPr>
              <w:t>175</w:t>
            </w:r>
          </w:p>
        </w:tc>
      </w:tr>
    </w:tbl>
    <w:p w:rsidR="00BB67AF" w:rsidRDefault="00BB67AF" w:rsidP="003E6750"/>
    <w:p w:rsidR="00BB67AF" w:rsidRDefault="00BB67AF" w:rsidP="003E6750">
      <w:pPr>
        <w:pStyle w:val="Heading1"/>
        <w:sectPr w:rsidR="00BB67AF" w:rsidSect="003E6750">
          <w:headerReference w:type="even" r:id="rId40"/>
          <w:headerReference w:type="default" r:id="rId41"/>
          <w:footerReference w:type="even" r:id="rId42"/>
          <w:footerReference w:type="default" r:id="rId43"/>
          <w:pgSz w:w="11906" w:h="16838" w:code="9"/>
          <w:pgMar w:top="1151" w:right="1151" w:bottom="1151" w:left="1151" w:header="720" w:footer="720" w:gutter="0"/>
          <w:cols w:space="708"/>
          <w:docGrid w:linePitch="360"/>
        </w:sectPr>
      </w:pPr>
      <w:r>
        <w:br w:type="page"/>
      </w:r>
    </w:p>
    <w:p w:rsidR="00BB67AF" w:rsidRDefault="00BB67AF" w:rsidP="003E6750">
      <w:pPr>
        <w:pStyle w:val="Heading2Notes"/>
      </w:pPr>
      <w:bookmarkStart w:id="29" w:name="_Toc445283178"/>
      <w:r>
        <w:lastRenderedPageBreak/>
        <w:t xml:space="preserve">Note 20: </w:t>
      </w:r>
      <w:r>
        <w:tab/>
        <w:t>Land, buildings, infrastructure, plant and equipment</w:t>
      </w:r>
      <w:bookmarkEnd w:id="29"/>
    </w:p>
    <w:p w:rsidR="00BB67AF" w:rsidRDefault="00BB67AF" w:rsidP="003E6750">
      <w:pPr>
        <w:pStyle w:val="Tableheading"/>
      </w:pPr>
      <w:r>
        <w:t>(a)</w:t>
      </w:r>
      <w:r>
        <w:tab/>
        <w:t xml:space="preserve">Total land, buildings, infrastructure, plant and equipment </w:t>
      </w:r>
    </w:p>
    <w:p w:rsidR="00BB67AF" w:rsidRPr="004D1572" w:rsidRDefault="00BB67AF" w:rsidP="003E6750">
      <w:pPr>
        <w:pStyle w:val="million"/>
        <w:rPr>
          <w:b/>
          <w:bCs/>
          <w:lang w:val="en-US"/>
        </w:rPr>
      </w:pPr>
      <w:r>
        <w:t>($ million)</w:t>
      </w:r>
    </w:p>
    <w:tbl>
      <w:tblPr>
        <w:tblW w:w="14742" w:type="dxa"/>
        <w:tblInd w:w="45" w:type="dxa"/>
        <w:tblLayout w:type="fixed"/>
        <w:tblCellMar>
          <w:left w:w="45" w:type="dxa"/>
          <w:right w:w="45" w:type="dxa"/>
        </w:tblCellMar>
        <w:tblLook w:val="0000" w:firstRow="0" w:lastRow="0" w:firstColumn="0" w:lastColumn="0" w:noHBand="0" w:noVBand="0"/>
      </w:tblPr>
      <w:tblGrid>
        <w:gridCol w:w="5812"/>
        <w:gridCol w:w="1488"/>
        <w:gridCol w:w="1488"/>
        <w:gridCol w:w="1135"/>
        <w:gridCol w:w="2126"/>
        <w:gridCol w:w="1559"/>
        <w:gridCol w:w="1134"/>
      </w:tblGrid>
      <w:tr w:rsidR="008D5D2B" w:rsidRPr="00645124" w:rsidTr="008D5D2B">
        <w:trPr>
          <w:tblHeader/>
        </w:trPr>
        <w:tc>
          <w:tcPr>
            <w:tcW w:w="5812" w:type="dxa"/>
            <w:tcBorders>
              <w:top w:val="nil"/>
              <w:left w:val="nil"/>
              <w:bottom w:val="nil"/>
              <w:right w:val="nil"/>
            </w:tcBorders>
            <w:shd w:val="solid" w:color="000000" w:fill="auto"/>
            <w:vAlign w:val="bottom"/>
          </w:tcPr>
          <w:p w:rsidR="008D5D2B" w:rsidRPr="00645124" w:rsidRDefault="008D5D2B" w:rsidP="003E6750">
            <w:pPr>
              <w:autoSpaceDE w:val="0"/>
              <w:autoSpaceDN w:val="0"/>
              <w:adjustRightInd w:val="0"/>
              <w:spacing w:after="0"/>
              <w:rPr>
                <w:rFonts w:ascii="Calibri" w:eastAsiaTheme="minorEastAsia" w:hAnsi="Calibri" w:cs="Calibri"/>
                <w:i/>
                <w:iCs/>
                <w:color w:val="FFFFFF"/>
                <w:sz w:val="19"/>
                <w:szCs w:val="19"/>
                <w:lang w:eastAsia="en-AU"/>
              </w:rPr>
            </w:pPr>
            <w:r w:rsidRPr="00645124">
              <w:rPr>
                <w:rFonts w:ascii="Calibri" w:eastAsiaTheme="minorEastAsia" w:hAnsi="Calibri" w:cs="Calibri"/>
                <w:i/>
                <w:iCs/>
                <w:color w:val="FFFFFF"/>
                <w:sz w:val="19"/>
                <w:szCs w:val="19"/>
                <w:lang w:eastAsia="en-AU"/>
              </w:rPr>
              <w:t xml:space="preserve"> </w:t>
            </w:r>
          </w:p>
        </w:tc>
        <w:tc>
          <w:tcPr>
            <w:tcW w:w="4111" w:type="dxa"/>
            <w:gridSpan w:val="3"/>
            <w:tcBorders>
              <w:top w:val="nil"/>
              <w:left w:val="nil"/>
              <w:bottom w:val="nil"/>
              <w:right w:val="nil"/>
            </w:tcBorders>
            <w:shd w:val="solid" w:color="000000" w:fill="auto"/>
            <w:vAlign w:val="bottom"/>
          </w:tcPr>
          <w:p w:rsidR="008D5D2B" w:rsidRPr="00645124" w:rsidRDefault="008D5D2B" w:rsidP="008D5D2B">
            <w:pPr>
              <w:autoSpaceDE w:val="0"/>
              <w:autoSpaceDN w:val="0"/>
              <w:adjustRightInd w:val="0"/>
              <w:spacing w:after="0"/>
              <w:jc w:val="center"/>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State of Victoria</w:t>
            </w:r>
          </w:p>
        </w:tc>
        <w:tc>
          <w:tcPr>
            <w:tcW w:w="4819" w:type="dxa"/>
            <w:gridSpan w:val="3"/>
            <w:tcBorders>
              <w:top w:val="nil"/>
              <w:left w:val="nil"/>
              <w:bottom w:val="nil"/>
              <w:right w:val="nil"/>
            </w:tcBorders>
            <w:shd w:val="solid" w:color="000000" w:fill="auto"/>
            <w:vAlign w:val="bottom"/>
          </w:tcPr>
          <w:p w:rsidR="008D5D2B" w:rsidRPr="00645124" w:rsidRDefault="008D5D2B" w:rsidP="008D5D2B">
            <w:pPr>
              <w:autoSpaceDE w:val="0"/>
              <w:autoSpaceDN w:val="0"/>
              <w:adjustRightInd w:val="0"/>
              <w:spacing w:after="0"/>
              <w:jc w:val="center"/>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General government sector</w:t>
            </w:r>
          </w:p>
        </w:tc>
      </w:tr>
      <w:tr w:rsidR="008D5D2B" w:rsidRPr="00645124" w:rsidTr="008D5D2B">
        <w:trPr>
          <w:trHeight w:val="464"/>
          <w:tblHeader/>
        </w:trPr>
        <w:tc>
          <w:tcPr>
            <w:tcW w:w="5812"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rPr>
                <w:rFonts w:ascii="Calibri" w:eastAsiaTheme="minorEastAsia" w:hAnsi="Calibri" w:cs="Calibri"/>
                <w:i/>
                <w:iCs/>
                <w:color w:val="FFFFFF"/>
                <w:sz w:val="19"/>
                <w:szCs w:val="19"/>
                <w:lang w:eastAsia="en-AU"/>
              </w:rPr>
            </w:pPr>
            <w:r w:rsidRPr="00645124">
              <w:rPr>
                <w:rFonts w:ascii="Calibri" w:eastAsiaTheme="minorEastAsia" w:hAnsi="Calibri" w:cs="Calibri"/>
                <w:i/>
                <w:iCs/>
                <w:color w:val="FFFFFF"/>
                <w:sz w:val="19"/>
                <w:szCs w:val="19"/>
                <w:lang w:eastAsia="en-AU"/>
              </w:rPr>
              <w:t>Dec 2015</w:t>
            </w:r>
          </w:p>
        </w:tc>
        <w:tc>
          <w:tcPr>
            <w:tcW w:w="1488"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Gross carrying</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amount</w:t>
            </w:r>
          </w:p>
        </w:tc>
        <w:tc>
          <w:tcPr>
            <w:tcW w:w="1488"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Accumulated</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depreciation</w:t>
            </w:r>
          </w:p>
        </w:tc>
        <w:tc>
          <w:tcPr>
            <w:tcW w:w="1135"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Carrying</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amount</w:t>
            </w:r>
          </w:p>
        </w:tc>
        <w:tc>
          <w:tcPr>
            <w:tcW w:w="2126"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Gross carrying</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amount</w:t>
            </w:r>
          </w:p>
        </w:tc>
        <w:tc>
          <w:tcPr>
            <w:tcW w:w="1559"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Accumulated</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depreciation</w:t>
            </w:r>
          </w:p>
        </w:tc>
        <w:tc>
          <w:tcPr>
            <w:tcW w:w="113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Carrying</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amount</w:t>
            </w:r>
          </w:p>
        </w:tc>
      </w:tr>
      <w:tr w:rsidR="00BB67AF" w:rsidRPr="00645124" w:rsidTr="003E6750">
        <w:tc>
          <w:tcPr>
            <w:tcW w:w="581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Buildings</w:t>
            </w:r>
          </w:p>
        </w:tc>
        <w:tc>
          <w:tcPr>
            <w:tcW w:w="148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46 483</w:t>
            </w:r>
          </w:p>
        </w:tc>
        <w:tc>
          <w:tcPr>
            <w:tcW w:w="148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(3 402)</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43 082</w:t>
            </w:r>
          </w:p>
        </w:tc>
        <w:tc>
          <w:tcPr>
            <w:tcW w:w="212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28 732</w:t>
            </w:r>
          </w:p>
        </w:tc>
        <w:tc>
          <w:tcPr>
            <w:tcW w:w="155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(2 711)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26 021</w:t>
            </w:r>
          </w:p>
        </w:tc>
      </w:tr>
      <w:tr w:rsidR="00BB67AF" w:rsidRPr="00645124" w:rsidTr="003E6750">
        <w:tc>
          <w:tcPr>
            <w:tcW w:w="581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Land and national parks</w:t>
            </w:r>
          </w:p>
        </w:tc>
        <w:tc>
          <w:tcPr>
            <w:tcW w:w="148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62 490</w:t>
            </w:r>
          </w:p>
        </w:tc>
        <w:tc>
          <w:tcPr>
            <w:tcW w:w="148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62 490</w:t>
            </w:r>
          </w:p>
        </w:tc>
        <w:tc>
          <w:tcPr>
            <w:tcW w:w="212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40 721</w:t>
            </w:r>
          </w:p>
        </w:tc>
        <w:tc>
          <w:tcPr>
            <w:tcW w:w="155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40 721</w:t>
            </w:r>
          </w:p>
        </w:tc>
      </w:tr>
      <w:tr w:rsidR="00BB67AF" w:rsidRPr="00645124" w:rsidTr="003E6750">
        <w:tc>
          <w:tcPr>
            <w:tcW w:w="581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Buildings leasehold</w:t>
            </w:r>
          </w:p>
        </w:tc>
        <w:tc>
          <w:tcPr>
            <w:tcW w:w="148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3 047</w:t>
            </w:r>
          </w:p>
        </w:tc>
        <w:tc>
          <w:tcPr>
            <w:tcW w:w="148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(538)</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2 508</w:t>
            </w:r>
          </w:p>
        </w:tc>
        <w:tc>
          <w:tcPr>
            <w:tcW w:w="212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2 948</w:t>
            </w:r>
          </w:p>
        </w:tc>
        <w:tc>
          <w:tcPr>
            <w:tcW w:w="155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(495)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2 453</w:t>
            </w:r>
          </w:p>
        </w:tc>
      </w:tr>
      <w:tr w:rsidR="00BB67AF" w:rsidRPr="00645124" w:rsidTr="003E6750">
        <w:tc>
          <w:tcPr>
            <w:tcW w:w="581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Infrastructure systems</w:t>
            </w:r>
          </w:p>
        </w:tc>
        <w:tc>
          <w:tcPr>
            <w:tcW w:w="148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57 591</w:t>
            </w:r>
          </w:p>
        </w:tc>
        <w:tc>
          <w:tcPr>
            <w:tcW w:w="148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(5 058)</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52 533</w:t>
            </w:r>
          </w:p>
        </w:tc>
        <w:tc>
          <w:tcPr>
            <w:tcW w:w="212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1 764</w:t>
            </w:r>
          </w:p>
        </w:tc>
        <w:tc>
          <w:tcPr>
            <w:tcW w:w="155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(465)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1 299</w:t>
            </w:r>
          </w:p>
        </w:tc>
      </w:tr>
      <w:tr w:rsidR="00BB67AF" w:rsidRPr="00645124" w:rsidTr="003E6750">
        <w:tc>
          <w:tcPr>
            <w:tcW w:w="581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Leased infrastructure systems</w:t>
            </w:r>
          </w:p>
        </w:tc>
        <w:tc>
          <w:tcPr>
            <w:tcW w:w="148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4 803</w:t>
            </w:r>
          </w:p>
        </w:tc>
        <w:tc>
          <w:tcPr>
            <w:tcW w:w="148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(288)</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4 515</w:t>
            </w:r>
          </w:p>
        </w:tc>
        <w:tc>
          <w:tcPr>
            <w:tcW w:w="212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55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r>
      <w:tr w:rsidR="00BB67AF" w:rsidRPr="00645124" w:rsidTr="003E6750">
        <w:tc>
          <w:tcPr>
            <w:tcW w:w="581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Plant, equipment and vehicles</w:t>
            </w:r>
          </w:p>
        </w:tc>
        <w:tc>
          <w:tcPr>
            <w:tcW w:w="148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13 902</w:t>
            </w:r>
          </w:p>
        </w:tc>
        <w:tc>
          <w:tcPr>
            <w:tcW w:w="148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(7 729)</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6 173</w:t>
            </w:r>
          </w:p>
        </w:tc>
        <w:tc>
          <w:tcPr>
            <w:tcW w:w="212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5 912</w:t>
            </w:r>
          </w:p>
        </w:tc>
        <w:tc>
          <w:tcPr>
            <w:tcW w:w="155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(3 772)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2 140</w:t>
            </w:r>
          </w:p>
        </w:tc>
      </w:tr>
      <w:tr w:rsidR="00BB67AF" w:rsidRPr="00645124" w:rsidTr="003E6750">
        <w:tc>
          <w:tcPr>
            <w:tcW w:w="581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Leased plant, equipment and vehicles</w:t>
            </w:r>
          </w:p>
        </w:tc>
        <w:tc>
          <w:tcPr>
            <w:tcW w:w="148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1 848</w:t>
            </w:r>
          </w:p>
        </w:tc>
        <w:tc>
          <w:tcPr>
            <w:tcW w:w="148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(719)</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1 129</w:t>
            </w:r>
          </w:p>
        </w:tc>
        <w:tc>
          <w:tcPr>
            <w:tcW w:w="212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434</w:t>
            </w:r>
          </w:p>
        </w:tc>
        <w:tc>
          <w:tcPr>
            <w:tcW w:w="155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(222)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211</w:t>
            </w:r>
          </w:p>
        </w:tc>
      </w:tr>
      <w:tr w:rsidR="00BB67AF" w:rsidRPr="00645124" w:rsidTr="003E6750">
        <w:tc>
          <w:tcPr>
            <w:tcW w:w="581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Roads and road infrastructure</w:t>
            </w:r>
          </w:p>
        </w:tc>
        <w:tc>
          <w:tcPr>
            <w:tcW w:w="148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39 547</w:t>
            </w:r>
          </w:p>
        </w:tc>
        <w:tc>
          <w:tcPr>
            <w:tcW w:w="148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(18 395)</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21 152</w:t>
            </w:r>
          </w:p>
        </w:tc>
        <w:tc>
          <w:tcPr>
            <w:tcW w:w="212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39 471</w:t>
            </w:r>
          </w:p>
        </w:tc>
        <w:tc>
          <w:tcPr>
            <w:tcW w:w="155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(18 380)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21 090</w:t>
            </w:r>
          </w:p>
        </w:tc>
      </w:tr>
      <w:tr w:rsidR="00BB67AF" w:rsidRPr="00645124" w:rsidTr="003E6750">
        <w:tc>
          <w:tcPr>
            <w:tcW w:w="581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Leased roads and road infrastructure</w:t>
            </w:r>
          </w:p>
        </w:tc>
        <w:tc>
          <w:tcPr>
            <w:tcW w:w="148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584</w:t>
            </w:r>
          </w:p>
        </w:tc>
        <w:tc>
          <w:tcPr>
            <w:tcW w:w="148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584</w:t>
            </w:r>
          </w:p>
        </w:tc>
        <w:tc>
          <w:tcPr>
            <w:tcW w:w="212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584</w:t>
            </w:r>
          </w:p>
        </w:tc>
        <w:tc>
          <w:tcPr>
            <w:tcW w:w="155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584</w:t>
            </w:r>
          </w:p>
        </w:tc>
      </w:tr>
      <w:tr w:rsidR="00BB67AF" w:rsidRPr="00645124" w:rsidTr="003E6750">
        <w:tc>
          <w:tcPr>
            <w:tcW w:w="581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Earthworks</w:t>
            </w:r>
          </w:p>
        </w:tc>
        <w:tc>
          <w:tcPr>
            <w:tcW w:w="148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7 694</w:t>
            </w:r>
          </w:p>
        </w:tc>
        <w:tc>
          <w:tcPr>
            <w:tcW w:w="1488"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7 694</w:t>
            </w:r>
          </w:p>
        </w:tc>
        <w:tc>
          <w:tcPr>
            <w:tcW w:w="212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7 690</w:t>
            </w:r>
          </w:p>
        </w:tc>
        <w:tc>
          <w:tcPr>
            <w:tcW w:w="155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7 690</w:t>
            </w:r>
          </w:p>
        </w:tc>
      </w:tr>
      <w:tr w:rsidR="00BB67AF" w:rsidRPr="00645124" w:rsidTr="003E6750">
        <w:tc>
          <w:tcPr>
            <w:tcW w:w="581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Cultural assets</w:t>
            </w:r>
          </w:p>
        </w:tc>
        <w:tc>
          <w:tcPr>
            <w:tcW w:w="1488"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5 814</w:t>
            </w:r>
          </w:p>
        </w:tc>
        <w:tc>
          <w:tcPr>
            <w:tcW w:w="1488"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(215)</w:t>
            </w:r>
          </w:p>
        </w:tc>
        <w:tc>
          <w:tcPr>
            <w:tcW w:w="11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5 599</w:t>
            </w:r>
          </w:p>
        </w:tc>
        <w:tc>
          <w:tcPr>
            <w:tcW w:w="212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5 756</w:t>
            </w:r>
          </w:p>
        </w:tc>
        <w:tc>
          <w:tcPr>
            <w:tcW w:w="1559"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(215)</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5 541</w:t>
            </w:r>
          </w:p>
        </w:tc>
      </w:tr>
      <w:tr w:rsidR="00BB67AF" w:rsidRPr="00645124" w:rsidTr="003E6750">
        <w:tc>
          <w:tcPr>
            <w:tcW w:w="5812"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Total land, buildings, infrastructure, plant and equipment</w:t>
            </w:r>
          </w:p>
        </w:tc>
        <w:tc>
          <w:tcPr>
            <w:tcW w:w="1488"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243 802</w:t>
            </w:r>
          </w:p>
        </w:tc>
        <w:tc>
          <w:tcPr>
            <w:tcW w:w="1488"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(36 343)</w:t>
            </w:r>
          </w:p>
        </w:tc>
        <w:tc>
          <w:tcPr>
            <w:tcW w:w="1135"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207 459</w:t>
            </w:r>
          </w:p>
        </w:tc>
        <w:tc>
          <w:tcPr>
            <w:tcW w:w="2126"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134 011</w:t>
            </w:r>
          </w:p>
        </w:tc>
        <w:tc>
          <w:tcPr>
            <w:tcW w:w="1559"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(26 260)</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107 750</w:t>
            </w:r>
          </w:p>
        </w:tc>
      </w:tr>
    </w:tbl>
    <w:p w:rsidR="00BB67AF" w:rsidRPr="004D1572" w:rsidRDefault="00BB67AF" w:rsidP="003E6750">
      <w:pPr>
        <w:rPr>
          <w:b/>
          <w:bCs/>
          <w:lang w:val="en-US"/>
        </w:rPr>
      </w:pPr>
    </w:p>
    <w:tbl>
      <w:tblPr>
        <w:tblW w:w="14742" w:type="dxa"/>
        <w:tblInd w:w="45" w:type="dxa"/>
        <w:tblLayout w:type="fixed"/>
        <w:tblCellMar>
          <w:left w:w="45" w:type="dxa"/>
          <w:right w:w="45" w:type="dxa"/>
        </w:tblCellMar>
        <w:tblLook w:val="0000" w:firstRow="0" w:lastRow="0" w:firstColumn="0" w:lastColumn="0" w:noHBand="0" w:noVBand="0"/>
      </w:tblPr>
      <w:tblGrid>
        <w:gridCol w:w="5811"/>
        <w:gridCol w:w="1485"/>
        <w:gridCol w:w="1485"/>
        <w:gridCol w:w="1134"/>
        <w:gridCol w:w="6"/>
        <w:gridCol w:w="2120"/>
        <w:gridCol w:w="1559"/>
        <w:gridCol w:w="1142"/>
      </w:tblGrid>
      <w:tr w:rsidR="008D5D2B" w:rsidRPr="00645124" w:rsidTr="00494AD7">
        <w:trPr>
          <w:tblHeader/>
        </w:trPr>
        <w:tc>
          <w:tcPr>
            <w:tcW w:w="5811" w:type="dxa"/>
            <w:tcBorders>
              <w:top w:val="nil"/>
              <w:left w:val="nil"/>
              <w:bottom w:val="nil"/>
              <w:right w:val="nil"/>
            </w:tcBorders>
            <w:shd w:val="solid" w:color="000000" w:fill="auto"/>
            <w:vAlign w:val="bottom"/>
          </w:tcPr>
          <w:p w:rsidR="008D5D2B" w:rsidRPr="00645124" w:rsidRDefault="008D5D2B" w:rsidP="003E6750">
            <w:pPr>
              <w:autoSpaceDE w:val="0"/>
              <w:autoSpaceDN w:val="0"/>
              <w:adjustRightInd w:val="0"/>
              <w:spacing w:after="0"/>
              <w:rPr>
                <w:rFonts w:ascii="Calibri" w:eastAsiaTheme="minorEastAsia" w:hAnsi="Calibri" w:cs="Calibri"/>
                <w:i/>
                <w:iCs/>
                <w:color w:val="FFFFFF"/>
                <w:sz w:val="19"/>
                <w:szCs w:val="19"/>
                <w:lang w:eastAsia="en-AU"/>
              </w:rPr>
            </w:pPr>
            <w:r w:rsidRPr="00645124">
              <w:rPr>
                <w:rFonts w:ascii="Calibri" w:eastAsiaTheme="minorEastAsia" w:hAnsi="Calibri" w:cs="Calibri"/>
                <w:i/>
                <w:iCs/>
                <w:color w:val="FFFFFF"/>
                <w:sz w:val="19"/>
                <w:szCs w:val="19"/>
                <w:lang w:eastAsia="en-AU"/>
              </w:rPr>
              <w:t xml:space="preserve"> </w:t>
            </w:r>
          </w:p>
        </w:tc>
        <w:tc>
          <w:tcPr>
            <w:tcW w:w="4110" w:type="dxa"/>
            <w:gridSpan w:val="4"/>
            <w:tcBorders>
              <w:top w:val="nil"/>
              <w:left w:val="nil"/>
              <w:bottom w:val="nil"/>
              <w:right w:val="nil"/>
            </w:tcBorders>
            <w:shd w:val="solid" w:color="000000" w:fill="auto"/>
            <w:vAlign w:val="bottom"/>
          </w:tcPr>
          <w:p w:rsidR="008D5D2B" w:rsidRPr="00645124" w:rsidRDefault="008D5D2B" w:rsidP="008D5D2B">
            <w:pPr>
              <w:autoSpaceDE w:val="0"/>
              <w:autoSpaceDN w:val="0"/>
              <w:adjustRightInd w:val="0"/>
              <w:spacing w:after="0"/>
              <w:jc w:val="center"/>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State of Victoria</w:t>
            </w:r>
          </w:p>
        </w:tc>
        <w:tc>
          <w:tcPr>
            <w:tcW w:w="4819" w:type="dxa"/>
            <w:gridSpan w:val="3"/>
            <w:tcBorders>
              <w:top w:val="nil"/>
              <w:left w:val="nil"/>
              <w:bottom w:val="nil"/>
              <w:right w:val="nil"/>
            </w:tcBorders>
            <w:shd w:val="solid" w:color="000000" w:fill="auto"/>
            <w:vAlign w:val="bottom"/>
          </w:tcPr>
          <w:p w:rsidR="008D5D2B" w:rsidRPr="00645124" w:rsidRDefault="008D5D2B" w:rsidP="008D5D2B">
            <w:pPr>
              <w:autoSpaceDE w:val="0"/>
              <w:autoSpaceDN w:val="0"/>
              <w:adjustRightInd w:val="0"/>
              <w:spacing w:after="0"/>
              <w:jc w:val="center"/>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General government sector</w:t>
            </w:r>
          </w:p>
        </w:tc>
      </w:tr>
      <w:tr w:rsidR="008D5D2B" w:rsidRPr="00645124" w:rsidTr="00494AD7">
        <w:trPr>
          <w:trHeight w:val="464"/>
          <w:tblHeader/>
        </w:trPr>
        <w:tc>
          <w:tcPr>
            <w:tcW w:w="5811"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rPr>
                <w:rFonts w:ascii="Calibri" w:eastAsiaTheme="minorEastAsia" w:hAnsi="Calibri" w:cs="Calibri"/>
                <w:i/>
                <w:iCs/>
                <w:color w:val="FFFFFF"/>
                <w:sz w:val="19"/>
                <w:szCs w:val="19"/>
                <w:lang w:eastAsia="en-AU"/>
              </w:rPr>
            </w:pPr>
            <w:r w:rsidRPr="00645124">
              <w:rPr>
                <w:rFonts w:ascii="Calibri" w:eastAsiaTheme="minorEastAsia" w:hAnsi="Calibri" w:cs="Calibri"/>
                <w:i/>
                <w:iCs/>
                <w:color w:val="FFFFFF"/>
                <w:sz w:val="19"/>
                <w:szCs w:val="19"/>
                <w:lang w:eastAsia="en-AU"/>
              </w:rPr>
              <w:t>Jun 2015</w:t>
            </w:r>
          </w:p>
        </w:tc>
        <w:tc>
          <w:tcPr>
            <w:tcW w:w="1485"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Gross carrying</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amount</w:t>
            </w:r>
          </w:p>
        </w:tc>
        <w:tc>
          <w:tcPr>
            <w:tcW w:w="1485"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Accumulated</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depreciation</w:t>
            </w:r>
          </w:p>
        </w:tc>
        <w:tc>
          <w:tcPr>
            <w:tcW w:w="113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Carrying</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amount</w:t>
            </w:r>
          </w:p>
        </w:tc>
        <w:tc>
          <w:tcPr>
            <w:tcW w:w="2126" w:type="dxa"/>
            <w:gridSpan w:val="2"/>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Gross carrying</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amount</w:t>
            </w:r>
          </w:p>
        </w:tc>
        <w:tc>
          <w:tcPr>
            <w:tcW w:w="1559"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Accumulated</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depreciation</w:t>
            </w:r>
          </w:p>
        </w:tc>
        <w:tc>
          <w:tcPr>
            <w:tcW w:w="1142"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Carrying</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amount</w:t>
            </w:r>
          </w:p>
        </w:tc>
      </w:tr>
      <w:tr w:rsidR="00BB67AF" w:rsidRPr="00645124" w:rsidTr="00494AD7">
        <w:tc>
          <w:tcPr>
            <w:tcW w:w="5811"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Buildings</w:t>
            </w:r>
          </w:p>
        </w:tc>
        <w:tc>
          <w:tcPr>
            <w:tcW w:w="14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45 800</w:t>
            </w:r>
          </w:p>
        </w:tc>
        <w:tc>
          <w:tcPr>
            <w:tcW w:w="14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(2 758)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43 041</w:t>
            </w:r>
          </w:p>
        </w:tc>
        <w:tc>
          <w:tcPr>
            <w:tcW w:w="2126"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28 236</w:t>
            </w:r>
          </w:p>
        </w:tc>
        <w:tc>
          <w:tcPr>
            <w:tcW w:w="155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(2 260)</w:t>
            </w:r>
          </w:p>
        </w:tc>
        <w:tc>
          <w:tcPr>
            <w:tcW w:w="114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25 976</w:t>
            </w:r>
          </w:p>
        </w:tc>
      </w:tr>
      <w:tr w:rsidR="00BB67AF" w:rsidRPr="00645124" w:rsidTr="00494AD7">
        <w:tc>
          <w:tcPr>
            <w:tcW w:w="5811"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Land and national parks</w:t>
            </w:r>
          </w:p>
        </w:tc>
        <w:tc>
          <w:tcPr>
            <w:tcW w:w="14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62 508</w:t>
            </w:r>
          </w:p>
        </w:tc>
        <w:tc>
          <w:tcPr>
            <w:tcW w:w="14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62 508</w:t>
            </w:r>
          </w:p>
        </w:tc>
        <w:tc>
          <w:tcPr>
            <w:tcW w:w="2126"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40 699</w:t>
            </w:r>
          </w:p>
        </w:tc>
        <w:tc>
          <w:tcPr>
            <w:tcW w:w="155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14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40 699</w:t>
            </w:r>
          </w:p>
        </w:tc>
      </w:tr>
      <w:tr w:rsidR="00BB67AF" w:rsidRPr="00645124" w:rsidTr="00494AD7">
        <w:tc>
          <w:tcPr>
            <w:tcW w:w="5811"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Buildings leasehold</w:t>
            </w:r>
          </w:p>
        </w:tc>
        <w:tc>
          <w:tcPr>
            <w:tcW w:w="14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3 068</w:t>
            </w:r>
          </w:p>
        </w:tc>
        <w:tc>
          <w:tcPr>
            <w:tcW w:w="14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(535)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2 532</w:t>
            </w:r>
          </w:p>
        </w:tc>
        <w:tc>
          <w:tcPr>
            <w:tcW w:w="2126"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2 967</w:t>
            </w:r>
          </w:p>
        </w:tc>
        <w:tc>
          <w:tcPr>
            <w:tcW w:w="155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(491)</w:t>
            </w:r>
          </w:p>
        </w:tc>
        <w:tc>
          <w:tcPr>
            <w:tcW w:w="114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2 476</w:t>
            </w:r>
          </w:p>
        </w:tc>
      </w:tr>
      <w:tr w:rsidR="00BB67AF" w:rsidRPr="00645124" w:rsidTr="00494AD7">
        <w:tc>
          <w:tcPr>
            <w:tcW w:w="5811"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Infrastructure systems</w:t>
            </w:r>
          </w:p>
        </w:tc>
        <w:tc>
          <w:tcPr>
            <w:tcW w:w="14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56 072</w:t>
            </w:r>
          </w:p>
        </w:tc>
        <w:tc>
          <w:tcPr>
            <w:tcW w:w="14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(4 090)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51 981</w:t>
            </w:r>
          </w:p>
        </w:tc>
        <w:tc>
          <w:tcPr>
            <w:tcW w:w="2126"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1 747</w:t>
            </w:r>
          </w:p>
        </w:tc>
        <w:tc>
          <w:tcPr>
            <w:tcW w:w="155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(448)</w:t>
            </w:r>
          </w:p>
        </w:tc>
        <w:tc>
          <w:tcPr>
            <w:tcW w:w="114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1 299</w:t>
            </w:r>
          </w:p>
        </w:tc>
      </w:tr>
      <w:tr w:rsidR="00BB67AF" w:rsidRPr="00645124" w:rsidTr="00494AD7">
        <w:tc>
          <w:tcPr>
            <w:tcW w:w="5811"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Leased infrastructure systems</w:t>
            </w:r>
          </w:p>
        </w:tc>
        <w:tc>
          <w:tcPr>
            <w:tcW w:w="14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4 802</w:t>
            </w:r>
          </w:p>
        </w:tc>
        <w:tc>
          <w:tcPr>
            <w:tcW w:w="14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(246)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4 556</w:t>
            </w:r>
          </w:p>
        </w:tc>
        <w:tc>
          <w:tcPr>
            <w:tcW w:w="2126"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55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14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r>
      <w:tr w:rsidR="00BB67AF" w:rsidRPr="00645124" w:rsidTr="00494AD7">
        <w:tc>
          <w:tcPr>
            <w:tcW w:w="5811"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vertAlign w:val="superscript"/>
                <w:lang w:eastAsia="en-AU"/>
              </w:rPr>
            </w:pPr>
            <w:r w:rsidRPr="00645124">
              <w:rPr>
                <w:rFonts w:ascii="Calibri" w:eastAsiaTheme="minorEastAsia" w:hAnsi="Calibri" w:cs="Calibri"/>
                <w:color w:val="000000"/>
                <w:sz w:val="19"/>
                <w:szCs w:val="19"/>
                <w:lang w:eastAsia="en-AU"/>
              </w:rPr>
              <w:t xml:space="preserve">Plant, equipment and vehicles </w:t>
            </w:r>
            <w:r w:rsidRPr="00645124">
              <w:rPr>
                <w:rFonts w:ascii="Calibri" w:eastAsiaTheme="minorEastAsia" w:hAnsi="Calibri" w:cs="Calibri"/>
                <w:color w:val="000000"/>
                <w:sz w:val="19"/>
                <w:szCs w:val="19"/>
                <w:vertAlign w:val="superscript"/>
                <w:lang w:eastAsia="en-AU"/>
              </w:rPr>
              <w:t>(a)</w:t>
            </w:r>
          </w:p>
        </w:tc>
        <w:tc>
          <w:tcPr>
            <w:tcW w:w="14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10 710</w:t>
            </w:r>
          </w:p>
        </w:tc>
        <w:tc>
          <w:tcPr>
            <w:tcW w:w="14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(4 275)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6 435</w:t>
            </w:r>
          </w:p>
        </w:tc>
        <w:tc>
          <w:tcPr>
            <w:tcW w:w="2126"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5 949</w:t>
            </w:r>
          </w:p>
        </w:tc>
        <w:tc>
          <w:tcPr>
            <w:tcW w:w="155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(3 674)</w:t>
            </w:r>
          </w:p>
        </w:tc>
        <w:tc>
          <w:tcPr>
            <w:tcW w:w="114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2 275</w:t>
            </w:r>
          </w:p>
        </w:tc>
      </w:tr>
      <w:tr w:rsidR="00BB67AF" w:rsidRPr="00645124" w:rsidTr="00494AD7">
        <w:tc>
          <w:tcPr>
            <w:tcW w:w="5811"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Leased plant, equipment and vehicles</w:t>
            </w:r>
          </w:p>
        </w:tc>
        <w:tc>
          <w:tcPr>
            <w:tcW w:w="14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1 307</w:t>
            </w:r>
          </w:p>
        </w:tc>
        <w:tc>
          <w:tcPr>
            <w:tcW w:w="14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(207)</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1 100</w:t>
            </w:r>
          </w:p>
        </w:tc>
        <w:tc>
          <w:tcPr>
            <w:tcW w:w="2126"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373</w:t>
            </w:r>
          </w:p>
        </w:tc>
        <w:tc>
          <w:tcPr>
            <w:tcW w:w="155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(207)</w:t>
            </w:r>
          </w:p>
        </w:tc>
        <w:tc>
          <w:tcPr>
            <w:tcW w:w="114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166</w:t>
            </w:r>
          </w:p>
        </w:tc>
      </w:tr>
      <w:tr w:rsidR="00BB67AF" w:rsidRPr="00645124" w:rsidTr="00494AD7">
        <w:tc>
          <w:tcPr>
            <w:tcW w:w="5811"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Roads and road infrastructure</w:t>
            </w:r>
          </w:p>
        </w:tc>
        <w:tc>
          <w:tcPr>
            <w:tcW w:w="14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39 060</w:t>
            </w:r>
          </w:p>
        </w:tc>
        <w:tc>
          <w:tcPr>
            <w:tcW w:w="14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(18 098)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20 962</w:t>
            </w:r>
          </w:p>
        </w:tc>
        <w:tc>
          <w:tcPr>
            <w:tcW w:w="2126"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38 984</w:t>
            </w:r>
          </w:p>
        </w:tc>
        <w:tc>
          <w:tcPr>
            <w:tcW w:w="155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(18 084)</w:t>
            </w:r>
          </w:p>
        </w:tc>
        <w:tc>
          <w:tcPr>
            <w:tcW w:w="114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20 901</w:t>
            </w:r>
          </w:p>
        </w:tc>
      </w:tr>
      <w:tr w:rsidR="00BB67AF" w:rsidRPr="00645124" w:rsidTr="00494AD7">
        <w:tc>
          <w:tcPr>
            <w:tcW w:w="5811"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Leased roads and road infrastructure</w:t>
            </w:r>
          </w:p>
        </w:tc>
        <w:tc>
          <w:tcPr>
            <w:tcW w:w="14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584</w:t>
            </w:r>
          </w:p>
        </w:tc>
        <w:tc>
          <w:tcPr>
            <w:tcW w:w="14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584</w:t>
            </w:r>
          </w:p>
        </w:tc>
        <w:tc>
          <w:tcPr>
            <w:tcW w:w="2126"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584</w:t>
            </w:r>
          </w:p>
        </w:tc>
        <w:tc>
          <w:tcPr>
            <w:tcW w:w="155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14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584</w:t>
            </w:r>
          </w:p>
        </w:tc>
      </w:tr>
      <w:tr w:rsidR="00BB67AF" w:rsidRPr="00645124" w:rsidTr="00494AD7">
        <w:tc>
          <w:tcPr>
            <w:tcW w:w="5811"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Earthworks</w:t>
            </w:r>
          </w:p>
        </w:tc>
        <w:tc>
          <w:tcPr>
            <w:tcW w:w="14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7 694</w:t>
            </w:r>
          </w:p>
        </w:tc>
        <w:tc>
          <w:tcPr>
            <w:tcW w:w="148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7 694</w:t>
            </w:r>
          </w:p>
        </w:tc>
        <w:tc>
          <w:tcPr>
            <w:tcW w:w="2126"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7 690</w:t>
            </w:r>
          </w:p>
        </w:tc>
        <w:tc>
          <w:tcPr>
            <w:tcW w:w="155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14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7 690</w:t>
            </w:r>
          </w:p>
        </w:tc>
      </w:tr>
      <w:tr w:rsidR="00BB67AF" w:rsidRPr="00645124" w:rsidTr="00494AD7">
        <w:tc>
          <w:tcPr>
            <w:tcW w:w="5811"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Cultural assets</w:t>
            </w:r>
          </w:p>
        </w:tc>
        <w:tc>
          <w:tcPr>
            <w:tcW w:w="148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5 690</w:t>
            </w:r>
          </w:p>
        </w:tc>
        <w:tc>
          <w:tcPr>
            <w:tcW w:w="148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(137)</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5 554</w:t>
            </w:r>
          </w:p>
        </w:tc>
        <w:tc>
          <w:tcPr>
            <w:tcW w:w="2126"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5 633</w:t>
            </w:r>
          </w:p>
        </w:tc>
        <w:tc>
          <w:tcPr>
            <w:tcW w:w="1559"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(137)</w:t>
            </w:r>
          </w:p>
        </w:tc>
        <w:tc>
          <w:tcPr>
            <w:tcW w:w="114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5 496</w:t>
            </w:r>
          </w:p>
        </w:tc>
      </w:tr>
      <w:tr w:rsidR="00BB67AF" w:rsidRPr="00645124" w:rsidTr="00494AD7">
        <w:tc>
          <w:tcPr>
            <w:tcW w:w="5811"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19"/>
                <w:szCs w:val="19"/>
                <w:vertAlign w:val="superscript"/>
                <w:lang w:eastAsia="en-AU"/>
              </w:rPr>
            </w:pPr>
            <w:r w:rsidRPr="00645124">
              <w:rPr>
                <w:rFonts w:ascii="Calibri" w:eastAsiaTheme="minorEastAsia" w:hAnsi="Calibri" w:cs="Calibri"/>
                <w:b/>
                <w:bCs/>
                <w:color w:val="000000"/>
                <w:sz w:val="19"/>
                <w:szCs w:val="19"/>
                <w:lang w:eastAsia="en-AU"/>
              </w:rPr>
              <w:t xml:space="preserve">Total land, buildings, infrastructure, plant and equipment </w:t>
            </w:r>
            <w:r w:rsidRPr="00645124">
              <w:rPr>
                <w:rFonts w:ascii="Calibri" w:eastAsiaTheme="minorEastAsia" w:hAnsi="Calibri" w:cs="Calibri"/>
                <w:b/>
                <w:bCs/>
                <w:color w:val="000000"/>
                <w:sz w:val="19"/>
                <w:szCs w:val="19"/>
                <w:vertAlign w:val="superscript"/>
                <w:lang w:eastAsia="en-AU"/>
              </w:rPr>
              <w:t>(a)</w:t>
            </w:r>
          </w:p>
        </w:tc>
        <w:tc>
          <w:tcPr>
            <w:tcW w:w="1485"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237 295</w:t>
            </w:r>
          </w:p>
        </w:tc>
        <w:tc>
          <w:tcPr>
            <w:tcW w:w="1485"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(30 346)</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206 949</w:t>
            </w:r>
          </w:p>
        </w:tc>
        <w:tc>
          <w:tcPr>
            <w:tcW w:w="2126" w:type="dxa"/>
            <w:gridSpan w:val="2"/>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132 862</w:t>
            </w:r>
          </w:p>
        </w:tc>
        <w:tc>
          <w:tcPr>
            <w:tcW w:w="1559"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(25 300)</w:t>
            </w:r>
          </w:p>
        </w:tc>
        <w:tc>
          <w:tcPr>
            <w:tcW w:w="1142"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107 562</w:t>
            </w:r>
          </w:p>
        </w:tc>
      </w:tr>
    </w:tbl>
    <w:p w:rsidR="00BB67AF" w:rsidRDefault="00BB67AF" w:rsidP="003E6750">
      <w:pPr>
        <w:pStyle w:val="Notes"/>
      </w:pPr>
      <w:r>
        <w:t>Note:</w:t>
      </w:r>
    </w:p>
    <w:p w:rsidR="00BB67AF" w:rsidRDefault="00BB67AF" w:rsidP="003E6750">
      <w:pPr>
        <w:pStyle w:val="Notes"/>
      </w:pPr>
      <w:r>
        <w:t>(a)</w:t>
      </w:r>
      <w:r>
        <w:tab/>
        <w:t>The June 2015 comparative figures have been restated to reflect more current information.</w:t>
      </w:r>
    </w:p>
    <w:p w:rsidR="00BB67AF" w:rsidRDefault="00BB67AF" w:rsidP="003E6750">
      <w:pPr>
        <w:pStyle w:val="Notes"/>
      </w:pPr>
    </w:p>
    <w:p w:rsidR="00BB67AF" w:rsidRPr="00271F3A" w:rsidRDefault="00BB67AF" w:rsidP="003E6750">
      <w:pPr>
        <w:pStyle w:val="Heading2NotesContd"/>
        <w:rPr>
          <w:i/>
        </w:rPr>
      </w:pPr>
      <w:r>
        <w:lastRenderedPageBreak/>
        <w:t xml:space="preserve">Note 20: </w:t>
      </w:r>
      <w:r>
        <w:tab/>
        <w:t xml:space="preserve">Land, buildings, infrastructure, plant and equipment </w:t>
      </w:r>
      <w:r w:rsidRPr="00271F3A">
        <w:rPr>
          <w:i/>
        </w:rPr>
        <w:t>(continued)</w:t>
      </w:r>
    </w:p>
    <w:p w:rsidR="00BB67AF" w:rsidRDefault="00BB67AF" w:rsidP="003E6750">
      <w:pPr>
        <w:pStyle w:val="Tableheading"/>
      </w:pPr>
      <w:r>
        <w:t xml:space="preserve">(b) </w:t>
      </w:r>
      <w:r>
        <w:tab/>
        <w:t>Total land, buildings, infrastructure, plant and equipment by purpose</w:t>
      </w:r>
    </w:p>
    <w:p w:rsidR="00BB67AF" w:rsidRPr="004D1572" w:rsidRDefault="00BB67AF" w:rsidP="003E6750">
      <w:pPr>
        <w:pStyle w:val="million"/>
        <w:rPr>
          <w:b/>
          <w:bCs/>
          <w:lang w:val="en-US"/>
        </w:rPr>
      </w:pPr>
      <w:r>
        <w:t>($ million)</w:t>
      </w:r>
    </w:p>
    <w:tbl>
      <w:tblPr>
        <w:tblW w:w="14741" w:type="dxa"/>
        <w:tblInd w:w="45" w:type="dxa"/>
        <w:tblLayout w:type="fixed"/>
        <w:tblCellMar>
          <w:left w:w="45" w:type="dxa"/>
          <w:right w:w="45" w:type="dxa"/>
        </w:tblCellMar>
        <w:tblLook w:val="0000" w:firstRow="0" w:lastRow="0" w:firstColumn="0" w:lastColumn="0" w:noHBand="0" w:noVBand="0"/>
      </w:tblPr>
      <w:tblGrid>
        <w:gridCol w:w="4962"/>
        <w:gridCol w:w="1416"/>
        <w:gridCol w:w="1134"/>
        <w:gridCol w:w="1276"/>
        <w:gridCol w:w="1276"/>
        <w:gridCol w:w="1984"/>
        <w:gridCol w:w="1701"/>
        <w:gridCol w:w="992"/>
      </w:tblGrid>
      <w:tr w:rsidR="008D5D2B" w:rsidRPr="00645124" w:rsidTr="008D5D2B">
        <w:trPr>
          <w:trHeight w:val="464"/>
          <w:tblHeader/>
        </w:trPr>
        <w:tc>
          <w:tcPr>
            <w:tcW w:w="4962"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rPr>
                <w:rFonts w:ascii="Calibri" w:eastAsiaTheme="minorEastAsia" w:hAnsi="Calibri" w:cs="Calibri"/>
                <w:i/>
                <w:iCs/>
                <w:color w:val="FFFFFF"/>
                <w:sz w:val="19"/>
                <w:szCs w:val="19"/>
                <w:lang w:eastAsia="en-AU"/>
              </w:rPr>
            </w:pPr>
            <w:r w:rsidRPr="00645124">
              <w:rPr>
                <w:rFonts w:ascii="Calibri" w:eastAsiaTheme="minorEastAsia" w:hAnsi="Calibri" w:cs="Calibri"/>
                <w:i/>
                <w:iCs/>
                <w:color w:val="FFFFFF"/>
                <w:sz w:val="19"/>
                <w:szCs w:val="19"/>
                <w:lang w:eastAsia="en-AU"/>
              </w:rPr>
              <w:t>State of Victoria</w:t>
            </w:r>
          </w:p>
          <w:p w:rsidR="008D5D2B" w:rsidRPr="00645124" w:rsidRDefault="008D5D2B" w:rsidP="003E6750">
            <w:pPr>
              <w:autoSpaceDE w:val="0"/>
              <w:autoSpaceDN w:val="0"/>
              <w:adjustRightInd w:val="0"/>
              <w:spacing w:after="0"/>
              <w:rPr>
                <w:rFonts w:ascii="Calibri" w:eastAsiaTheme="minorEastAsia" w:hAnsi="Calibri" w:cs="Calibri"/>
                <w:i/>
                <w:iCs/>
                <w:color w:val="FFFFFF"/>
                <w:sz w:val="19"/>
                <w:szCs w:val="19"/>
                <w:lang w:eastAsia="en-AU"/>
              </w:rPr>
            </w:pPr>
            <w:r w:rsidRPr="00645124">
              <w:rPr>
                <w:rFonts w:ascii="Calibri" w:eastAsiaTheme="minorEastAsia" w:hAnsi="Calibri" w:cs="Calibri"/>
                <w:i/>
                <w:iCs/>
                <w:color w:val="FFFFFF"/>
                <w:sz w:val="19"/>
                <w:szCs w:val="19"/>
                <w:lang w:eastAsia="en-AU"/>
              </w:rPr>
              <w:t>Dec 2015</w:t>
            </w:r>
          </w:p>
        </w:tc>
        <w:tc>
          <w:tcPr>
            <w:tcW w:w="1416"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Public</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Administration</w:t>
            </w:r>
          </w:p>
        </w:tc>
        <w:tc>
          <w:tcPr>
            <w:tcW w:w="1134" w:type="dxa"/>
            <w:tcBorders>
              <w:top w:val="nil"/>
              <w:left w:val="nil"/>
              <w:right w:val="nil"/>
            </w:tcBorders>
            <w:shd w:val="solid" w:color="000000" w:fill="auto"/>
            <w:vAlign w:val="bottom"/>
          </w:tcPr>
          <w:p w:rsidR="008D5D2B" w:rsidRPr="00645124" w:rsidRDefault="008D5D2B" w:rsidP="008D5D2B">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 xml:space="preserve">Education </w:t>
            </w:r>
          </w:p>
        </w:tc>
        <w:tc>
          <w:tcPr>
            <w:tcW w:w="1276"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Health and</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Welfare</w:t>
            </w:r>
          </w:p>
        </w:tc>
        <w:tc>
          <w:tcPr>
            <w:tcW w:w="1276"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Community</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Housing</w:t>
            </w:r>
          </w:p>
        </w:tc>
        <w:tc>
          <w:tcPr>
            <w:tcW w:w="198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Transportation and</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Communication</w:t>
            </w:r>
          </w:p>
        </w:tc>
        <w:tc>
          <w:tcPr>
            <w:tcW w:w="1701"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Public Safety and</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Environment</w:t>
            </w:r>
          </w:p>
        </w:tc>
        <w:tc>
          <w:tcPr>
            <w:tcW w:w="992" w:type="dxa"/>
            <w:tcBorders>
              <w:top w:val="nil"/>
              <w:left w:val="nil"/>
              <w:right w:val="nil"/>
            </w:tcBorders>
            <w:shd w:val="solid" w:color="000000" w:fill="auto"/>
            <w:vAlign w:val="bottom"/>
          </w:tcPr>
          <w:p w:rsidR="008D5D2B" w:rsidRPr="00645124" w:rsidRDefault="008D5D2B" w:rsidP="008D5D2B">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Total</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Buildings</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1 982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9 893</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9 274</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8 653</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5 891</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7 389</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43 082</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Land and national parks</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1 491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8 369</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2 280</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11 960</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25 863</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12 527</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62 490</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Buildings leasehold</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82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207</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1 371</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3</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39</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807</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2 508</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Infrastructure systems</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80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17 524</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34 929</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52 533</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Leased infrastructure systems</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4 513</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4 515</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Plant, equipment and vehicles</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513</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264</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938</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3 558</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900</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6 173</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Leased plant, equipment and vehicles</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3</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103</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1 010</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13</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1 129</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Roads and road infrastructure</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17</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19 999</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1 136</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21 152</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Leased roads and road infrastructure</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584</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584</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Earthworks</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7 690</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7 694</w:t>
            </w:r>
          </w:p>
        </w:tc>
      </w:tr>
      <w:tr w:rsidR="00BB67AF" w:rsidRPr="00645124" w:rsidTr="003E6750">
        <w:tc>
          <w:tcPr>
            <w:tcW w:w="496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Cultural assets</w:t>
            </w:r>
          </w:p>
        </w:tc>
        <w:tc>
          <w:tcPr>
            <w:tcW w:w="141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281</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3</w:t>
            </w:r>
          </w:p>
        </w:tc>
        <w:tc>
          <w:tcPr>
            <w:tcW w:w="127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w:t>
            </w:r>
          </w:p>
        </w:tc>
        <w:tc>
          <w:tcPr>
            <w:tcW w:w="127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98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w:t>
            </w:r>
          </w:p>
        </w:tc>
        <w:tc>
          <w:tcPr>
            <w:tcW w:w="1701"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5 310</w:t>
            </w:r>
          </w:p>
        </w:tc>
        <w:tc>
          <w:tcPr>
            <w:tcW w:w="99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5 599</w:t>
            </w:r>
          </w:p>
        </w:tc>
      </w:tr>
      <w:tr w:rsidR="00BB67AF" w:rsidRPr="00645124" w:rsidTr="003E6750">
        <w:tc>
          <w:tcPr>
            <w:tcW w:w="4962"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Total land, buildings, infrastructure, plant and equipment</w:t>
            </w:r>
          </w:p>
        </w:tc>
        <w:tc>
          <w:tcPr>
            <w:tcW w:w="1416"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4 451</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18 740</w:t>
            </w:r>
          </w:p>
        </w:tc>
        <w:tc>
          <w:tcPr>
            <w:tcW w:w="1276"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13 966</w:t>
            </w:r>
          </w:p>
        </w:tc>
        <w:tc>
          <w:tcPr>
            <w:tcW w:w="1276"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20 617</w:t>
            </w:r>
          </w:p>
        </w:tc>
        <w:tc>
          <w:tcPr>
            <w:tcW w:w="198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82 161</w:t>
            </w:r>
          </w:p>
        </w:tc>
        <w:tc>
          <w:tcPr>
            <w:tcW w:w="1701"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67 524</w:t>
            </w:r>
          </w:p>
        </w:tc>
        <w:tc>
          <w:tcPr>
            <w:tcW w:w="992"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207 459</w:t>
            </w:r>
          </w:p>
        </w:tc>
      </w:tr>
    </w:tbl>
    <w:p w:rsidR="00BB67AF" w:rsidRPr="004D1572" w:rsidRDefault="00BB67AF" w:rsidP="003E6750">
      <w:pPr>
        <w:rPr>
          <w:b/>
          <w:bCs/>
          <w:lang w:val="en-US"/>
        </w:rPr>
      </w:pPr>
    </w:p>
    <w:tbl>
      <w:tblPr>
        <w:tblW w:w="14741" w:type="dxa"/>
        <w:tblInd w:w="45" w:type="dxa"/>
        <w:tblLayout w:type="fixed"/>
        <w:tblCellMar>
          <w:left w:w="45" w:type="dxa"/>
          <w:right w:w="45" w:type="dxa"/>
        </w:tblCellMar>
        <w:tblLook w:val="0000" w:firstRow="0" w:lastRow="0" w:firstColumn="0" w:lastColumn="0" w:noHBand="0" w:noVBand="0"/>
      </w:tblPr>
      <w:tblGrid>
        <w:gridCol w:w="4962"/>
        <w:gridCol w:w="1416"/>
        <w:gridCol w:w="1134"/>
        <w:gridCol w:w="1276"/>
        <w:gridCol w:w="1276"/>
        <w:gridCol w:w="1984"/>
        <w:gridCol w:w="1701"/>
        <w:gridCol w:w="992"/>
      </w:tblGrid>
      <w:tr w:rsidR="008D5D2B" w:rsidRPr="00645124" w:rsidTr="008D5D2B">
        <w:trPr>
          <w:trHeight w:val="464"/>
          <w:tblHeader/>
        </w:trPr>
        <w:tc>
          <w:tcPr>
            <w:tcW w:w="4962" w:type="dxa"/>
            <w:tcBorders>
              <w:top w:val="nil"/>
              <w:left w:val="nil"/>
              <w:right w:val="nil"/>
            </w:tcBorders>
            <w:shd w:val="solid" w:color="000000" w:fill="auto"/>
            <w:vAlign w:val="bottom"/>
          </w:tcPr>
          <w:p w:rsidR="008D5D2B" w:rsidRPr="00645124" w:rsidRDefault="008D5D2B" w:rsidP="008D5D2B">
            <w:pPr>
              <w:autoSpaceDE w:val="0"/>
              <w:autoSpaceDN w:val="0"/>
              <w:adjustRightInd w:val="0"/>
              <w:spacing w:after="0"/>
              <w:rPr>
                <w:rFonts w:ascii="Calibri" w:eastAsiaTheme="minorEastAsia" w:hAnsi="Calibri" w:cs="Calibri"/>
                <w:i/>
                <w:iCs/>
                <w:color w:val="FFFFFF"/>
                <w:sz w:val="19"/>
                <w:szCs w:val="19"/>
                <w:lang w:eastAsia="en-AU"/>
              </w:rPr>
            </w:pPr>
            <w:r w:rsidRPr="00645124">
              <w:rPr>
                <w:rFonts w:ascii="Calibri" w:eastAsiaTheme="minorEastAsia" w:hAnsi="Calibri" w:cs="Calibri"/>
                <w:i/>
                <w:iCs/>
                <w:color w:val="FFFFFF"/>
                <w:sz w:val="19"/>
                <w:szCs w:val="19"/>
                <w:lang w:eastAsia="en-AU"/>
              </w:rPr>
              <w:t xml:space="preserve">Jun 2015 </w:t>
            </w:r>
          </w:p>
        </w:tc>
        <w:tc>
          <w:tcPr>
            <w:tcW w:w="1416"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Public</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Administration</w:t>
            </w:r>
          </w:p>
        </w:tc>
        <w:tc>
          <w:tcPr>
            <w:tcW w:w="1134" w:type="dxa"/>
            <w:tcBorders>
              <w:top w:val="nil"/>
              <w:left w:val="nil"/>
              <w:right w:val="nil"/>
            </w:tcBorders>
            <w:shd w:val="solid" w:color="000000" w:fill="auto"/>
            <w:vAlign w:val="bottom"/>
          </w:tcPr>
          <w:p w:rsidR="008D5D2B" w:rsidRPr="00645124" w:rsidRDefault="008D5D2B" w:rsidP="008D5D2B">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 xml:space="preserve">Education </w:t>
            </w:r>
          </w:p>
        </w:tc>
        <w:tc>
          <w:tcPr>
            <w:tcW w:w="1276"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Health and</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Welfare</w:t>
            </w:r>
          </w:p>
        </w:tc>
        <w:tc>
          <w:tcPr>
            <w:tcW w:w="1276"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Community</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Housing</w:t>
            </w:r>
          </w:p>
        </w:tc>
        <w:tc>
          <w:tcPr>
            <w:tcW w:w="198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Transportation and</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Communication</w:t>
            </w:r>
          </w:p>
        </w:tc>
        <w:tc>
          <w:tcPr>
            <w:tcW w:w="1701"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Public Safety and</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Environment</w:t>
            </w:r>
          </w:p>
        </w:tc>
        <w:tc>
          <w:tcPr>
            <w:tcW w:w="992" w:type="dxa"/>
            <w:tcBorders>
              <w:top w:val="nil"/>
              <w:left w:val="nil"/>
              <w:right w:val="nil"/>
            </w:tcBorders>
            <w:shd w:val="solid" w:color="000000" w:fill="auto"/>
            <w:vAlign w:val="bottom"/>
          </w:tcPr>
          <w:p w:rsidR="008D5D2B" w:rsidRPr="00645124" w:rsidRDefault="008D5D2B" w:rsidP="008D5D2B">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Total</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Buildings</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1 671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9 956</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9 202</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8 696</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5 875</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7 642</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43 041</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Land and national parks</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1 488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8 367</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2 279</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12 003</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25 834</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12 536</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62 508</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Buildings leasehold</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87</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208</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1 387</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3</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40</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807</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2 532</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Infrastructure systems</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17 219</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34 704</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51 981</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Leased infrastructure systems</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3</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4 554</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4 556</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vertAlign w:val="superscript"/>
                <w:lang w:eastAsia="en-AU"/>
              </w:rPr>
            </w:pPr>
            <w:r w:rsidRPr="00645124">
              <w:rPr>
                <w:rFonts w:ascii="Calibri" w:eastAsiaTheme="minorEastAsia" w:hAnsi="Calibri" w:cs="Calibri"/>
                <w:color w:val="000000"/>
                <w:sz w:val="19"/>
                <w:szCs w:val="19"/>
                <w:lang w:eastAsia="en-AU"/>
              </w:rPr>
              <w:t xml:space="preserve">Plant, equipment and vehicles </w:t>
            </w:r>
            <w:r w:rsidRPr="00645124">
              <w:rPr>
                <w:rFonts w:ascii="Calibri" w:eastAsiaTheme="minorEastAsia" w:hAnsi="Calibri" w:cs="Calibri"/>
                <w:color w:val="000000"/>
                <w:sz w:val="19"/>
                <w:szCs w:val="19"/>
                <w:vertAlign w:val="superscript"/>
                <w:lang w:eastAsia="en-AU"/>
              </w:rPr>
              <w:t>(a)</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526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265</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1 029</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3 582</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1 033</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6 435</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Leased plant, equipment and vehicles</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49</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1 027</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21</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1 100</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Roads and road infrastructure</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17</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19 802</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1 143</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20 962</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Leased roads and road infrastructure</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584</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584</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Earthworks</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7 690</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7 694</w:t>
            </w:r>
          </w:p>
        </w:tc>
      </w:tr>
      <w:tr w:rsidR="00BB67AF" w:rsidRPr="00645124" w:rsidTr="003E6750">
        <w:tc>
          <w:tcPr>
            <w:tcW w:w="496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Cultural assets</w:t>
            </w:r>
          </w:p>
        </w:tc>
        <w:tc>
          <w:tcPr>
            <w:tcW w:w="141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315</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w:t>
            </w:r>
          </w:p>
        </w:tc>
        <w:tc>
          <w:tcPr>
            <w:tcW w:w="127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57</w:t>
            </w:r>
          </w:p>
        </w:tc>
        <w:tc>
          <w:tcPr>
            <w:tcW w:w="127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98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w:t>
            </w:r>
          </w:p>
        </w:tc>
        <w:tc>
          <w:tcPr>
            <w:tcW w:w="1701"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5 175</w:t>
            </w:r>
          </w:p>
        </w:tc>
        <w:tc>
          <w:tcPr>
            <w:tcW w:w="99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5 554</w:t>
            </w:r>
          </w:p>
        </w:tc>
      </w:tr>
      <w:tr w:rsidR="00BB67AF" w:rsidRPr="00645124" w:rsidTr="003E6750">
        <w:tc>
          <w:tcPr>
            <w:tcW w:w="4962"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19"/>
                <w:szCs w:val="19"/>
                <w:vertAlign w:val="superscript"/>
                <w:lang w:eastAsia="en-AU"/>
              </w:rPr>
            </w:pPr>
            <w:r w:rsidRPr="00645124">
              <w:rPr>
                <w:rFonts w:ascii="Calibri" w:eastAsiaTheme="minorEastAsia" w:hAnsi="Calibri" w:cs="Calibri"/>
                <w:b/>
                <w:bCs/>
                <w:color w:val="000000"/>
                <w:sz w:val="19"/>
                <w:szCs w:val="19"/>
                <w:lang w:eastAsia="en-AU"/>
              </w:rPr>
              <w:t xml:space="preserve">Total land, buildings, infrastructure, plant and equipment </w:t>
            </w:r>
            <w:r w:rsidRPr="00645124">
              <w:rPr>
                <w:rFonts w:ascii="Calibri" w:eastAsiaTheme="minorEastAsia" w:hAnsi="Calibri" w:cs="Calibri"/>
                <w:b/>
                <w:bCs/>
                <w:color w:val="000000"/>
                <w:sz w:val="19"/>
                <w:szCs w:val="19"/>
                <w:vertAlign w:val="superscript"/>
                <w:lang w:eastAsia="en-AU"/>
              </w:rPr>
              <w:t>(a)</w:t>
            </w:r>
          </w:p>
        </w:tc>
        <w:tc>
          <w:tcPr>
            <w:tcW w:w="1416"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4 167</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18 803</w:t>
            </w:r>
          </w:p>
        </w:tc>
        <w:tc>
          <w:tcPr>
            <w:tcW w:w="1276"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14 003</w:t>
            </w:r>
          </w:p>
        </w:tc>
        <w:tc>
          <w:tcPr>
            <w:tcW w:w="1276"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20 703</w:t>
            </w:r>
          </w:p>
        </w:tc>
        <w:tc>
          <w:tcPr>
            <w:tcW w:w="198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81 658</w:t>
            </w:r>
          </w:p>
        </w:tc>
        <w:tc>
          <w:tcPr>
            <w:tcW w:w="1701"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67 615</w:t>
            </w:r>
          </w:p>
        </w:tc>
        <w:tc>
          <w:tcPr>
            <w:tcW w:w="992"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206 949</w:t>
            </w:r>
          </w:p>
        </w:tc>
      </w:tr>
    </w:tbl>
    <w:p w:rsidR="00BB67AF" w:rsidRDefault="00BB67AF" w:rsidP="003E6750">
      <w:pPr>
        <w:pStyle w:val="Notes"/>
      </w:pPr>
      <w:r>
        <w:t>Note:</w:t>
      </w:r>
    </w:p>
    <w:p w:rsidR="00BB67AF" w:rsidRDefault="00BB67AF" w:rsidP="003E6750">
      <w:pPr>
        <w:pStyle w:val="Notes"/>
        <w:rPr>
          <w:b/>
          <w:kern w:val="28"/>
          <w:sz w:val="28"/>
          <w:szCs w:val="22"/>
        </w:rPr>
      </w:pPr>
      <w:r>
        <w:t>(a)</w:t>
      </w:r>
      <w:r>
        <w:tab/>
        <w:t>The June 2015 comparative figures have been restated to reflect more current information.</w:t>
      </w:r>
    </w:p>
    <w:p w:rsidR="00BB67AF" w:rsidRPr="005A0EFF" w:rsidRDefault="00BB67AF" w:rsidP="003E6750">
      <w:pPr>
        <w:pStyle w:val="Heading2NotesContd"/>
        <w:rPr>
          <w:i/>
        </w:rPr>
      </w:pPr>
      <w:r>
        <w:lastRenderedPageBreak/>
        <w:t xml:space="preserve">Note 20: </w:t>
      </w:r>
      <w:r>
        <w:tab/>
        <w:t xml:space="preserve">Land, buildings, infrastructure, plant and equipment </w:t>
      </w:r>
      <w:r w:rsidRPr="005A0EFF">
        <w:rPr>
          <w:i/>
        </w:rPr>
        <w:t>(continued)</w:t>
      </w:r>
    </w:p>
    <w:p w:rsidR="00BB67AF" w:rsidRDefault="00BB67AF" w:rsidP="003E6750">
      <w:pPr>
        <w:pStyle w:val="Tableheadingcontinued"/>
      </w:pPr>
      <w:r>
        <w:t xml:space="preserve">(b) </w:t>
      </w:r>
      <w:r>
        <w:tab/>
        <w:t xml:space="preserve">Total land, buildings, infrastructure, plant and equipment by purpose </w:t>
      </w:r>
      <w:r w:rsidRPr="005A0EFF">
        <w:rPr>
          <w:i/>
        </w:rPr>
        <w:t>(continued)</w:t>
      </w:r>
    </w:p>
    <w:p w:rsidR="00BB67AF" w:rsidRPr="004D1572" w:rsidRDefault="00BB67AF" w:rsidP="003E6750">
      <w:pPr>
        <w:pStyle w:val="million"/>
        <w:rPr>
          <w:b/>
          <w:bCs/>
          <w:lang w:val="en-US"/>
        </w:rPr>
      </w:pPr>
      <w:r>
        <w:t>($ million)</w:t>
      </w:r>
    </w:p>
    <w:tbl>
      <w:tblPr>
        <w:tblW w:w="14741" w:type="dxa"/>
        <w:tblInd w:w="45" w:type="dxa"/>
        <w:tblLayout w:type="fixed"/>
        <w:tblCellMar>
          <w:left w:w="45" w:type="dxa"/>
          <w:right w:w="45" w:type="dxa"/>
        </w:tblCellMar>
        <w:tblLook w:val="0000" w:firstRow="0" w:lastRow="0" w:firstColumn="0" w:lastColumn="0" w:noHBand="0" w:noVBand="0"/>
      </w:tblPr>
      <w:tblGrid>
        <w:gridCol w:w="4962"/>
        <w:gridCol w:w="1416"/>
        <w:gridCol w:w="1134"/>
        <w:gridCol w:w="1276"/>
        <w:gridCol w:w="1276"/>
        <w:gridCol w:w="1984"/>
        <w:gridCol w:w="1701"/>
        <w:gridCol w:w="992"/>
      </w:tblGrid>
      <w:tr w:rsidR="008D5D2B" w:rsidRPr="00645124" w:rsidTr="008D5D2B">
        <w:trPr>
          <w:trHeight w:val="464"/>
          <w:tblHeader/>
        </w:trPr>
        <w:tc>
          <w:tcPr>
            <w:tcW w:w="4962"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rPr>
                <w:rFonts w:ascii="Calibri" w:eastAsiaTheme="minorEastAsia" w:hAnsi="Calibri" w:cs="Calibri"/>
                <w:i/>
                <w:iCs/>
                <w:color w:val="FFFFFF"/>
                <w:sz w:val="19"/>
                <w:szCs w:val="19"/>
                <w:lang w:eastAsia="en-AU"/>
              </w:rPr>
            </w:pPr>
            <w:r w:rsidRPr="00645124">
              <w:rPr>
                <w:rFonts w:ascii="Calibri" w:eastAsiaTheme="minorEastAsia" w:hAnsi="Calibri" w:cs="Calibri"/>
                <w:i/>
                <w:iCs/>
                <w:color w:val="FFFFFF"/>
                <w:sz w:val="19"/>
                <w:szCs w:val="19"/>
                <w:lang w:eastAsia="en-AU"/>
              </w:rPr>
              <w:t>General government sector</w:t>
            </w:r>
          </w:p>
          <w:p w:rsidR="008D5D2B" w:rsidRPr="00645124" w:rsidRDefault="008D5D2B" w:rsidP="003E6750">
            <w:pPr>
              <w:autoSpaceDE w:val="0"/>
              <w:autoSpaceDN w:val="0"/>
              <w:adjustRightInd w:val="0"/>
              <w:spacing w:after="0"/>
              <w:rPr>
                <w:rFonts w:ascii="Calibri" w:eastAsiaTheme="minorEastAsia" w:hAnsi="Calibri" w:cs="Calibri"/>
                <w:i/>
                <w:iCs/>
                <w:color w:val="FFFFFF"/>
                <w:sz w:val="19"/>
                <w:szCs w:val="19"/>
                <w:lang w:eastAsia="en-AU"/>
              </w:rPr>
            </w:pPr>
            <w:r w:rsidRPr="00645124">
              <w:rPr>
                <w:rFonts w:ascii="Calibri" w:eastAsiaTheme="minorEastAsia" w:hAnsi="Calibri" w:cs="Calibri"/>
                <w:i/>
                <w:iCs/>
                <w:color w:val="FFFFFF"/>
                <w:sz w:val="19"/>
                <w:szCs w:val="19"/>
                <w:lang w:eastAsia="en-AU"/>
              </w:rPr>
              <w:t>Dec 2015</w:t>
            </w:r>
          </w:p>
        </w:tc>
        <w:tc>
          <w:tcPr>
            <w:tcW w:w="1416"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Public</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Administration</w:t>
            </w:r>
          </w:p>
        </w:tc>
        <w:tc>
          <w:tcPr>
            <w:tcW w:w="1134" w:type="dxa"/>
            <w:tcBorders>
              <w:top w:val="nil"/>
              <w:left w:val="nil"/>
              <w:right w:val="nil"/>
            </w:tcBorders>
            <w:shd w:val="solid" w:color="000000" w:fill="auto"/>
            <w:vAlign w:val="bottom"/>
          </w:tcPr>
          <w:p w:rsidR="008D5D2B" w:rsidRPr="00645124" w:rsidRDefault="008D5D2B" w:rsidP="008D5D2B">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Education</w:t>
            </w:r>
          </w:p>
        </w:tc>
        <w:tc>
          <w:tcPr>
            <w:tcW w:w="1276"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Health and</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Welfare</w:t>
            </w:r>
          </w:p>
        </w:tc>
        <w:tc>
          <w:tcPr>
            <w:tcW w:w="1276"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Community</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Housing</w:t>
            </w:r>
          </w:p>
        </w:tc>
        <w:tc>
          <w:tcPr>
            <w:tcW w:w="198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Transportation and</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Communication</w:t>
            </w:r>
          </w:p>
        </w:tc>
        <w:tc>
          <w:tcPr>
            <w:tcW w:w="1701"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Public Safety and</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Environment</w:t>
            </w:r>
          </w:p>
        </w:tc>
        <w:tc>
          <w:tcPr>
            <w:tcW w:w="992" w:type="dxa"/>
            <w:tcBorders>
              <w:top w:val="nil"/>
              <w:left w:val="nil"/>
              <w:right w:val="nil"/>
            </w:tcBorders>
            <w:shd w:val="solid" w:color="000000" w:fill="auto"/>
            <w:vAlign w:val="bottom"/>
          </w:tcPr>
          <w:p w:rsidR="008D5D2B" w:rsidRPr="00645124" w:rsidRDefault="008D5D2B" w:rsidP="008D5D2B">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Total</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Buildings</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599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9 893</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9 259</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611</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5 659</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26 021</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Land and national parks</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998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8 369</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2 274</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19 797</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9 282</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40 721</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Buildings leasehold</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39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207</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1 371</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39</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797</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2 453</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Infrastructure systems</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39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413</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847</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1 299</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Plant, equipment and vehicles</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189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264</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938</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23</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726</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2 140</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Leased plant, equipment and vehicles</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3</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103</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92</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13</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211</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Roads and road infrastructure</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19 999</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1 092</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21 090</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Leased roads and road infrastructure</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584</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584</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Earthworks</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7 690</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7 690</w:t>
            </w:r>
          </w:p>
        </w:tc>
      </w:tr>
      <w:tr w:rsidR="00BB67AF" w:rsidRPr="00645124" w:rsidTr="003E6750">
        <w:tc>
          <w:tcPr>
            <w:tcW w:w="496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Cultural assets</w:t>
            </w:r>
          </w:p>
        </w:tc>
        <w:tc>
          <w:tcPr>
            <w:tcW w:w="141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281</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3</w:t>
            </w:r>
          </w:p>
        </w:tc>
        <w:tc>
          <w:tcPr>
            <w:tcW w:w="127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w:t>
            </w:r>
          </w:p>
        </w:tc>
        <w:tc>
          <w:tcPr>
            <w:tcW w:w="127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98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w:t>
            </w:r>
          </w:p>
        </w:tc>
        <w:tc>
          <w:tcPr>
            <w:tcW w:w="1701"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5 253</w:t>
            </w:r>
          </w:p>
        </w:tc>
        <w:tc>
          <w:tcPr>
            <w:tcW w:w="99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5 541</w:t>
            </w:r>
          </w:p>
        </w:tc>
      </w:tr>
      <w:tr w:rsidR="00BB67AF" w:rsidRPr="00645124" w:rsidTr="003E6750">
        <w:tc>
          <w:tcPr>
            <w:tcW w:w="4962"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Total land, buildings, infrastructure, plant and equipment</w:t>
            </w:r>
          </w:p>
        </w:tc>
        <w:tc>
          <w:tcPr>
            <w:tcW w:w="1416"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2 146</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18 740</w:t>
            </w:r>
          </w:p>
        </w:tc>
        <w:tc>
          <w:tcPr>
            <w:tcW w:w="1276"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13 946</w:t>
            </w:r>
          </w:p>
        </w:tc>
        <w:tc>
          <w:tcPr>
            <w:tcW w:w="1276"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w:t>
            </w:r>
          </w:p>
        </w:tc>
        <w:tc>
          <w:tcPr>
            <w:tcW w:w="198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49 250</w:t>
            </w:r>
          </w:p>
        </w:tc>
        <w:tc>
          <w:tcPr>
            <w:tcW w:w="1701"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23 668</w:t>
            </w:r>
          </w:p>
        </w:tc>
        <w:tc>
          <w:tcPr>
            <w:tcW w:w="992"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107 750</w:t>
            </w:r>
          </w:p>
        </w:tc>
      </w:tr>
    </w:tbl>
    <w:p w:rsidR="00BB67AF" w:rsidRPr="004D1572" w:rsidRDefault="00BB67AF" w:rsidP="003E6750">
      <w:pPr>
        <w:rPr>
          <w:b/>
          <w:bCs/>
          <w:lang w:val="en-US"/>
        </w:rPr>
      </w:pPr>
    </w:p>
    <w:tbl>
      <w:tblPr>
        <w:tblW w:w="14741" w:type="dxa"/>
        <w:tblInd w:w="45" w:type="dxa"/>
        <w:tblLayout w:type="fixed"/>
        <w:tblCellMar>
          <w:left w:w="45" w:type="dxa"/>
          <w:right w:w="45" w:type="dxa"/>
        </w:tblCellMar>
        <w:tblLook w:val="0000" w:firstRow="0" w:lastRow="0" w:firstColumn="0" w:lastColumn="0" w:noHBand="0" w:noVBand="0"/>
      </w:tblPr>
      <w:tblGrid>
        <w:gridCol w:w="4962"/>
        <w:gridCol w:w="1416"/>
        <w:gridCol w:w="1134"/>
        <w:gridCol w:w="1276"/>
        <w:gridCol w:w="1276"/>
        <w:gridCol w:w="1984"/>
        <w:gridCol w:w="1701"/>
        <w:gridCol w:w="992"/>
      </w:tblGrid>
      <w:tr w:rsidR="008D5D2B" w:rsidRPr="00645124" w:rsidTr="008D5D2B">
        <w:trPr>
          <w:trHeight w:val="464"/>
          <w:tblHeader/>
        </w:trPr>
        <w:tc>
          <w:tcPr>
            <w:tcW w:w="4962" w:type="dxa"/>
            <w:tcBorders>
              <w:top w:val="nil"/>
              <w:left w:val="nil"/>
              <w:right w:val="nil"/>
            </w:tcBorders>
            <w:shd w:val="solid" w:color="000000" w:fill="auto"/>
            <w:vAlign w:val="bottom"/>
          </w:tcPr>
          <w:p w:rsidR="008D5D2B" w:rsidRPr="00645124" w:rsidRDefault="008D5D2B" w:rsidP="008D5D2B">
            <w:pPr>
              <w:autoSpaceDE w:val="0"/>
              <w:autoSpaceDN w:val="0"/>
              <w:adjustRightInd w:val="0"/>
              <w:spacing w:after="0"/>
              <w:rPr>
                <w:rFonts w:ascii="Calibri" w:eastAsiaTheme="minorEastAsia" w:hAnsi="Calibri" w:cs="Calibri"/>
                <w:i/>
                <w:iCs/>
                <w:color w:val="FFFFFF"/>
                <w:sz w:val="19"/>
                <w:szCs w:val="19"/>
                <w:lang w:eastAsia="en-AU"/>
              </w:rPr>
            </w:pPr>
            <w:r w:rsidRPr="00645124">
              <w:rPr>
                <w:rFonts w:ascii="Calibri" w:eastAsiaTheme="minorEastAsia" w:hAnsi="Calibri" w:cs="Calibri"/>
                <w:i/>
                <w:iCs/>
                <w:color w:val="FFFFFF"/>
                <w:sz w:val="19"/>
                <w:szCs w:val="19"/>
                <w:lang w:eastAsia="en-AU"/>
              </w:rPr>
              <w:t xml:space="preserve">Jun 2015 </w:t>
            </w:r>
          </w:p>
        </w:tc>
        <w:tc>
          <w:tcPr>
            <w:tcW w:w="1416"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Public</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Administration</w:t>
            </w:r>
          </w:p>
        </w:tc>
        <w:tc>
          <w:tcPr>
            <w:tcW w:w="1134" w:type="dxa"/>
            <w:tcBorders>
              <w:top w:val="nil"/>
              <w:left w:val="nil"/>
              <w:right w:val="nil"/>
            </w:tcBorders>
            <w:shd w:val="solid" w:color="000000" w:fill="auto"/>
            <w:vAlign w:val="bottom"/>
          </w:tcPr>
          <w:p w:rsidR="008D5D2B" w:rsidRPr="00645124" w:rsidRDefault="008D5D2B" w:rsidP="008D5D2B">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 xml:space="preserve">Education </w:t>
            </w:r>
          </w:p>
        </w:tc>
        <w:tc>
          <w:tcPr>
            <w:tcW w:w="1276"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Health and</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Welfare</w:t>
            </w:r>
          </w:p>
        </w:tc>
        <w:tc>
          <w:tcPr>
            <w:tcW w:w="1276"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Community</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Housing</w:t>
            </w:r>
          </w:p>
        </w:tc>
        <w:tc>
          <w:tcPr>
            <w:tcW w:w="198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Transportation and</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Communication</w:t>
            </w:r>
          </w:p>
        </w:tc>
        <w:tc>
          <w:tcPr>
            <w:tcW w:w="1701"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Public Safety and</w:t>
            </w:r>
          </w:p>
          <w:p w:rsidR="008D5D2B" w:rsidRPr="00645124" w:rsidRDefault="008D5D2B" w:rsidP="003E6750">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Environment</w:t>
            </w:r>
          </w:p>
        </w:tc>
        <w:tc>
          <w:tcPr>
            <w:tcW w:w="992" w:type="dxa"/>
            <w:tcBorders>
              <w:top w:val="nil"/>
              <w:left w:val="nil"/>
              <w:right w:val="nil"/>
            </w:tcBorders>
            <w:shd w:val="solid" w:color="000000" w:fill="auto"/>
            <w:vAlign w:val="bottom"/>
          </w:tcPr>
          <w:p w:rsidR="008D5D2B" w:rsidRPr="00645124" w:rsidRDefault="008D5D2B" w:rsidP="008D5D2B">
            <w:pPr>
              <w:autoSpaceDE w:val="0"/>
              <w:autoSpaceDN w:val="0"/>
              <w:adjustRightInd w:val="0"/>
              <w:spacing w:after="0"/>
              <w:jc w:val="right"/>
              <w:rPr>
                <w:rFonts w:ascii="Calibri" w:eastAsiaTheme="minorEastAsia" w:hAnsi="Calibri" w:cs="Arial"/>
                <w:i/>
                <w:iCs/>
                <w:color w:val="FFFFFF"/>
                <w:sz w:val="19"/>
                <w:szCs w:val="19"/>
                <w:lang w:eastAsia="en-AU"/>
              </w:rPr>
            </w:pPr>
            <w:r w:rsidRPr="00645124">
              <w:rPr>
                <w:rFonts w:ascii="Calibri" w:eastAsiaTheme="minorEastAsia" w:hAnsi="Calibri" w:cs="Arial"/>
                <w:i/>
                <w:iCs/>
                <w:color w:val="FFFFFF"/>
                <w:sz w:val="19"/>
                <w:szCs w:val="19"/>
                <w:lang w:eastAsia="en-AU"/>
              </w:rPr>
              <w:t>Total</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Buildings</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598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9 956</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9 187</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616</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5 619</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25 976</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Land and national parks</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998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8 367</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2 274</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19 767</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9 293</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40 699</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Buildings leasehold</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208</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1 387</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40</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798</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2 476</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Infrastructure systems</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39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411</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849</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1 299</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vertAlign w:val="superscript"/>
                <w:lang w:eastAsia="en-AU"/>
              </w:rPr>
            </w:pPr>
            <w:r w:rsidRPr="00645124">
              <w:rPr>
                <w:rFonts w:ascii="Calibri" w:eastAsiaTheme="minorEastAsia" w:hAnsi="Calibri" w:cs="Calibri"/>
                <w:color w:val="000000"/>
                <w:sz w:val="19"/>
                <w:szCs w:val="19"/>
                <w:lang w:eastAsia="en-AU"/>
              </w:rPr>
              <w:t xml:space="preserve">Plant, equipment and vehicles </w:t>
            </w:r>
            <w:r w:rsidRPr="00645124">
              <w:rPr>
                <w:rFonts w:ascii="Calibri" w:eastAsiaTheme="minorEastAsia" w:hAnsi="Calibri" w:cs="Calibri"/>
                <w:color w:val="000000"/>
                <w:sz w:val="19"/>
                <w:szCs w:val="19"/>
                <w:vertAlign w:val="superscript"/>
                <w:lang w:eastAsia="en-AU"/>
              </w:rPr>
              <w:t>(a)</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231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265</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1 029</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25</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725</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2 275</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Leased plant, equipment and vehicles</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49</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93</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21</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166</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Roads and road infrastructure</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19 802</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1 098</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20 901</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Leased roads and road infrastructure</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584</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584</w:t>
            </w:r>
          </w:p>
        </w:tc>
      </w:tr>
      <w:tr w:rsidR="00BB67AF" w:rsidRPr="00645124" w:rsidTr="003E6750">
        <w:tc>
          <w:tcPr>
            <w:tcW w:w="496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Earthworks</w:t>
            </w:r>
          </w:p>
        </w:tc>
        <w:tc>
          <w:tcPr>
            <w:tcW w:w="141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27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98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7 690</w:t>
            </w:r>
          </w:p>
        </w:tc>
        <w:tc>
          <w:tcPr>
            <w:tcW w:w="170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99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7 690</w:t>
            </w:r>
          </w:p>
        </w:tc>
      </w:tr>
      <w:tr w:rsidR="00BB67AF" w:rsidRPr="00645124" w:rsidTr="003E6750">
        <w:tc>
          <w:tcPr>
            <w:tcW w:w="496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Cultural assets</w:t>
            </w:r>
          </w:p>
        </w:tc>
        <w:tc>
          <w:tcPr>
            <w:tcW w:w="141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315</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4</w:t>
            </w:r>
          </w:p>
        </w:tc>
        <w:tc>
          <w:tcPr>
            <w:tcW w:w="127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1</w:t>
            </w:r>
          </w:p>
        </w:tc>
        <w:tc>
          <w:tcPr>
            <w:tcW w:w="127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 xml:space="preserve">.. </w:t>
            </w:r>
          </w:p>
        </w:tc>
        <w:tc>
          <w:tcPr>
            <w:tcW w:w="198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2</w:t>
            </w:r>
          </w:p>
        </w:tc>
        <w:tc>
          <w:tcPr>
            <w:tcW w:w="1701"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5 174</w:t>
            </w:r>
          </w:p>
        </w:tc>
        <w:tc>
          <w:tcPr>
            <w:tcW w:w="99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9"/>
                <w:szCs w:val="19"/>
                <w:lang w:eastAsia="en-AU"/>
              </w:rPr>
            </w:pPr>
            <w:r w:rsidRPr="00645124">
              <w:rPr>
                <w:rFonts w:ascii="Calibri" w:eastAsiaTheme="minorEastAsia" w:hAnsi="Calibri" w:cs="Calibri"/>
                <w:color w:val="000000"/>
                <w:sz w:val="19"/>
                <w:szCs w:val="19"/>
                <w:lang w:eastAsia="en-AU"/>
              </w:rPr>
              <w:t>5 496</w:t>
            </w:r>
          </w:p>
        </w:tc>
      </w:tr>
      <w:tr w:rsidR="00BB67AF" w:rsidRPr="00645124" w:rsidTr="003E6750">
        <w:tc>
          <w:tcPr>
            <w:tcW w:w="4962"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19"/>
                <w:szCs w:val="19"/>
                <w:vertAlign w:val="superscript"/>
                <w:lang w:eastAsia="en-AU"/>
              </w:rPr>
            </w:pPr>
            <w:r w:rsidRPr="00645124">
              <w:rPr>
                <w:rFonts w:ascii="Calibri" w:eastAsiaTheme="minorEastAsia" w:hAnsi="Calibri" w:cs="Calibri"/>
                <w:b/>
                <w:bCs/>
                <w:color w:val="000000"/>
                <w:sz w:val="19"/>
                <w:szCs w:val="19"/>
                <w:lang w:eastAsia="en-AU"/>
              </w:rPr>
              <w:t xml:space="preserve">Total land, buildings, infrastructure, plant and equipment </w:t>
            </w:r>
            <w:r w:rsidRPr="00645124">
              <w:rPr>
                <w:rFonts w:ascii="Calibri" w:eastAsiaTheme="minorEastAsia" w:hAnsi="Calibri" w:cs="Calibri"/>
                <w:b/>
                <w:bCs/>
                <w:color w:val="000000"/>
                <w:sz w:val="19"/>
                <w:szCs w:val="19"/>
                <w:vertAlign w:val="superscript"/>
                <w:lang w:eastAsia="en-AU"/>
              </w:rPr>
              <w:t>(a)</w:t>
            </w:r>
          </w:p>
        </w:tc>
        <w:tc>
          <w:tcPr>
            <w:tcW w:w="1416"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2 225</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18 803</w:t>
            </w:r>
          </w:p>
        </w:tc>
        <w:tc>
          <w:tcPr>
            <w:tcW w:w="1276"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13 927</w:t>
            </w:r>
          </w:p>
        </w:tc>
        <w:tc>
          <w:tcPr>
            <w:tcW w:w="1276"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w:t>
            </w:r>
          </w:p>
        </w:tc>
        <w:tc>
          <w:tcPr>
            <w:tcW w:w="198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49 030</w:t>
            </w:r>
          </w:p>
        </w:tc>
        <w:tc>
          <w:tcPr>
            <w:tcW w:w="1701"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23 577</w:t>
            </w:r>
          </w:p>
        </w:tc>
        <w:tc>
          <w:tcPr>
            <w:tcW w:w="992"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19"/>
                <w:szCs w:val="19"/>
                <w:lang w:eastAsia="en-AU"/>
              </w:rPr>
            </w:pPr>
            <w:r w:rsidRPr="00645124">
              <w:rPr>
                <w:rFonts w:ascii="Calibri" w:eastAsiaTheme="minorEastAsia" w:hAnsi="Calibri" w:cs="Calibri"/>
                <w:b/>
                <w:bCs/>
                <w:color w:val="000000"/>
                <w:sz w:val="19"/>
                <w:szCs w:val="19"/>
                <w:lang w:eastAsia="en-AU"/>
              </w:rPr>
              <w:t>107 562</w:t>
            </w:r>
          </w:p>
        </w:tc>
      </w:tr>
    </w:tbl>
    <w:p w:rsidR="00BB67AF" w:rsidRDefault="00BB67AF" w:rsidP="003E6750">
      <w:pPr>
        <w:pStyle w:val="Notes"/>
      </w:pPr>
      <w:r>
        <w:t>Note:</w:t>
      </w:r>
    </w:p>
    <w:p w:rsidR="00BB67AF" w:rsidRDefault="00BB67AF" w:rsidP="003E6750">
      <w:pPr>
        <w:pStyle w:val="Notes"/>
      </w:pPr>
      <w:r>
        <w:t>(a)</w:t>
      </w:r>
      <w:r>
        <w:tab/>
        <w:t>The June 2015 comparative figures have been restated to reflect more current information.</w:t>
      </w:r>
    </w:p>
    <w:p w:rsidR="00BB67AF" w:rsidRDefault="00BB67AF">
      <w:pPr>
        <w:spacing w:after="0"/>
      </w:pPr>
    </w:p>
    <w:p w:rsidR="00BB67AF" w:rsidRDefault="00BB67AF" w:rsidP="003E6750">
      <w:pPr>
        <w:spacing w:after="0"/>
      </w:pPr>
    </w:p>
    <w:p w:rsidR="00BB67AF" w:rsidRDefault="00BB67AF" w:rsidP="003E6750"/>
    <w:p w:rsidR="00BB67AF" w:rsidRDefault="00BB67AF" w:rsidP="003E6750">
      <w:pPr>
        <w:sectPr w:rsidR="00BB67AF" w:rsidSect="003E6750">
          <w:headerReference w:type="even" r:id="rId44"/>
          <w:headerReference w:type="default" r:id="rId45"/>
          <w:footerReference w:type="even" r:id="rId46"/>
          <w:footerReference w:type="default" r:id="rId47"/>
          <w:pgSz w:w="16838" w:h="11906" w:orient="landscape" w:code="9"/>
          <w:pgMar w:top="1151" w:right="1151" w:bottom="1151" w:left="1151" w:header="720" w:footer="720" w:gutter="0"/>
          <w:cols w:space="708"/>
          <w:docGrid w:linePitch="360"/>
        </w:sectPr>
      </w:pPr>
    </w:p>
    <w:p w:rsidR="00BB67AF" w:rsidRDefault="00BB67AF" w:rsidP="00AC25A6">
      <w:pPr>
        <w:pStyle w:val="Heading2Notes"/>
        <w:spacing w:before="0"/>
        <w:ind w:left="1151" w:hanging="1151"/>
      </w:pPr>
      <w:bookmarkStart w:id="30" w:name="_Toc445283179"/>
      <w:r>
        <w:lastRenderedPageBreak/>
        <w:t xml:space="preserve">Note 21: </w:t>
      </w:r>
      <w:r>
        <w:tab/>
        <w:t>Other non</w:t>
      </w:r>
      <w:r>
        <w:noBreakHyphen/>
      </w:r>
      <w:r w:rsidRPr="008D0EA9">
        <w:t>financial assets</w:t>
      </w:r>
      <w:bookmarkEnd w:id="30"/>
    </w:p>
    <w:p w:rsidR="00BB67AF" w:rsidRPr="004D1572" w:rsidRDefault="00BB67AF" w:rsidP="003E6750">
      <w:pPr>
        <w:pStyle w:val="million"/>
        <w:rPr>
          <w:b/>
          <w:bCs/>
          <w:lang w:val="en-US"/>
        </w:rPr>
      </w:pPr>
      <w:r>
        <w:t>($ million)</w:t>
      </w:r>
    </w:p>
    <w:tbl>
      <w:tblPr>
        <w:tblW w:w="9639" w:type="dxa"/>
        <w:tblInd w:w="45" w:type="dxa"/>
        <w:tblLayout w:type="fixed"/>
        <w:tblCellMar>
          <w:left w:w="45" w:type="dxa"/>
          <w:right w:w="45" w:type="dxa"/>
        </w:tblCellMar>
        <w:tblLook w:val="0000" w:firstRow="0" w:lastRow="0" w:firstColumn="0" w:lastColumn="0" w:noHBand="0" w:noVBand="0"/>
      </w:tblPr>
      <w:tblGrid>
        <w:gridCol w:w="5100"/>
        <w:gridCol w:w="1134"/>
        <w:gridCol w:w="1135"/>
        <w:gridCol w:w="1135"/>
        <w:gridCol w:w="1135"/>
      </w:tblGrid>
      <w:tr w:rsidR="008D5D2B" w:rsidRPr="00645124" w:rsidTr="008D5D2B">
        <w:trPr>
          <w:tblHeader/>
        </w:trPr>
        <w:tc>
          <w:tcPr>
            <w:tcW w:w="5100" w:type="dxa"/>
            <w:tcBorders>
              <w:top w:val="nil"/>
              <w:left w:val="nil"/>
              <w:bottom w:val="nil"/>
              <w:right w:val="nil"/>
            </w:tcBorders>
            <w:shd w:val="solid" w:color="000000" w:fill="auto"/>
            <w:vAlign w:val="bottom"/>
          </w:tcPr>
          <w:p w:rsidR="008D5D2B" w:rsidRPr="00645124" w:rsidRDefault="008D5D2B"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2269" w:type="dxa"/>
            <w:gridSpan w:val="2"/>
            <w:tcBorders>
              <w:top w:val="nil"/>
              <w:left w:val="nil"/>
              <w:bottom w:val="nil"/>
              <w:right w:val="nil"/>
            </w:tcBorders>
            <w:shd w:val="solid" w:color="000000" w:fill="auto"/>
            <w:vAlign w:val="bottom"/>
          </w:tcPr>
          <w:p w:rsidR="008D5D2B" w:rsidRPr="00645124" w:rsidRDefault="008D5D2B" w:rsidP="008D5D2B">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State of Victoria</w:t>
            </w:r>
          </w:p>
        </w:tc>
        <w:tc>
          <w:tcPr>
            <w:tcW w:w="2270" w:type="dxa"/>
            <w:gridSpan w:val="2"/>
            <w:tcBorders>
              <w:top w:val="nil"/>
              <w:left w:val="nil"/>
              <w:bottom w:val="nil"/>
              <w:right w:val="nil"/>
            </w:tcBorders>
            <w:shd w:val="solid" w:color="000000" w:fill="auto"/>
            <w:vAlign w:val="bottom"/>
          </w:tcPr>
          <w:p w:rsidR="008D5D2B" w:rsidRPr="00645124" w:rsidRDefault="008D5D2B" w:rsidP="008D5D2B">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General </w:t>
            </w:r>
            <w:r w:rsidRPr="00645124">
              <w:rPr>
                <w:rFonts w:ascii="Calibri" w:eastAsiaTheme="minorEastAsia" w:hAnsi="Calibri" w:cs="Calibri"/>
                <w:i/>
                <w:iCs/>
                <w:color w:val="FFFFFF"/>
                <w:sz w:val="22"/>
                <w:szCs w:val="22"/>
                <w:lang w:eastAsia="en-AU"/>
              </w:rPr>
              <w:br/>
              <w:t>government sector</w:t>
            </w:r>
          </w:p>
        </w:tc>
      </w:tr>
      <w:tr w:rsidR="008D5D2B" w:rsidRPr="00645124" w:rsidTr="008D5D2B">
        <w:trPr>
          <w:trHeight w:val="537"/>
          <w:tblHeader/>
        </w:trPr>
        <w:tc>
          <w:tcPr>
            <w:tcW w:w="5100"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113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Dec</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5"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Jun</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5"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Dec</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5"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Jun</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r>
      <w:tr w:rsidR="00BB67AF" w:rsidRPr="00645124" w:rsidTr="003E6750">
        <w:tc>
          <w:tcPr>
            <w:tcW w:w="510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Intangible produced assets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2 338</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2 294</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1 296</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1 287</w:t>
            </w:r>
          </w:p>
        </w:tc>
      </w:tr>
      <w:tr w:rsidR="00BB67AF" w:rsidRPr="00645124" w:rsidTr="003E6750">
        <w:tc>
          <w:tcPr>
            <w:tcW w:w="510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Accumulated depreciation</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(1 234)</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(1 149)</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(748)</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(701)</w:t>
            </w:r>
          </w:p>
        </w:tc>
      </w:tr>
      <w:tr w:rsidR="00BB67AF" w:rsidRPr="00645124" w:rsidTr="003E6750">
        <w:tc>
          <w:tcPr>
            <w:tcW w:w="510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Intangible non</w:t>
            </w:r>
            <w:r w:rsidRPr="00645124">
              <w:rPr>
                <w:rFonts w:ascii="Calibri" w:eastAsiaTheme="minorEastAsia" w:hAnsi="Calibri" w:cs="Calibri"/>
                <w:color w:val="000000"/>
                <w:sz w:val="22"/>
                <w:szCs w:val="22"/>
                <w:lang w:eastAsia="en-AU"/>
              </w:rPr>
              <w:noBreakHyphen/>
              <w:t xml:space="preserve">produced assets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821</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853</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123</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154</w:t>
            </w:r>
          </w:p>
        </w:tc>
      </w:tr>
      <w:tr w:rsidR="00BB67AF" w:rsidRPr="00645124" w:rsidTr="003E6750">
        <w:tc>
          <w:tcPr>
            <w:tcW w:w="5100"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Accumulated amortisation</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(203)</w:t>
            </w:r>
          </w:p>
        </w:tc>
        <w:tc>
          <w:tcPr>
            <w:tcW w:w="11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(211)</w:t>
            </w:r>
          </w:p>
        </w:tc>
        <w:tc>
          <w:tcPr>
            <w:tcW w:w="11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(47)</w:t>
            </w:r>
          </w:p>
        </w:tc>
        <w:tc>
          <w:tcPr>
            <w:tcW w:w="11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(69)</w:t>
            </w:r>
          </w:p>
        </w:tc>
      </w:tr>
      <w:tr w:rsidR="00BB67AF" w:rsidRPr="00645124" w:rsidTr="003E6750">
        <w:tc>
          <w:tcPr>
            <w:tcW w:w="5100"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Total intangibles </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1 722</w:t>
            </w:r>
          </w:p>
        </w:tc>
        <w:tc>
          <w:tcPr>
            <w:tcW w:w="1135"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1 788</w:t>
            </w:r>
          </w:p>
        </w:tc>
        <w:tc>
          <w:tcPr>
            <w:tcW w:w="1135"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624</w:t>
            </w:r>
          </w:p>
        </w:tc>
        <w:tc>
          <w:tcPr>
            <w:tcW w:w="1135"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670</w:t>
            </w:r>
          </w:p>
        </w:tc>
      </w:tr>
      <w:tr w:rsidR="00BB67AF" w:rsidRPr="00645124" w:rsidTr="003E6750">
        <w:tc>
          <w:tcPr>
            <w:tcW w:w="510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Investment properties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74</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76</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68</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69</w:t>
            </w:r>
          </w:p>
        </w:tc>
      </w:tr>
      <w:tr w:rsidR="00BB67AF" w:rsidRPr="00645124" w:rsidTr="003E6750">
        <w:tc>
          <w:tcPr>
            <w:tcW w:w="510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 xml:space="preserve">Biological assets </w:t>
            </w:r>
            <w:r w:rsidRPr="00645124">
              <w:rPr>
                <w:rFonts w:ascii="Calibri" w:eastAsiaTheme="minorEastAsia" w:hAnsi="Calibri" w:cs="Calibri"/>
                <w:color w:val="000000"/>
                <w:sz w:val="22"/>
                <w:szCs w:val="22"/>
                <w:vertAlign w:val="superscript"/>
                <w:lang w:eastAsia="en-AU"/>
              </w:rPr>
              <w:t>(a)</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63</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64</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w:t>
            </w:r>
          </w:p>
        </w:tc>
      </w:tr>
      <w:tr w:rsidR="00BB67AF" w:rsidRPr="00645124" w:rsidTr="003E6750">
        <w:tc>
          <w:tcPr>
            <w:tcW w:w="5100"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Other assets</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428</w:t>
            </w:r>
          </w:p>
        </w:tc>
        <w:tc>
          <w:tcPr>
            <w:tcW w:w="11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200</w:t>
            </w:r>
          </w:p>
        </w:tc>
        <w:tc>
          <w:tcPr>
            <w:tcW w:w="11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501</w:t>
            </w:r>
          </w:p>
        </w:tc>
        <w:tc>
          <w:tcPr>
            <w:tcW w:w="11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295</w:t>
            </w:r>
          </w:p>
        </w:tc>
      </w:tr>
      <w:tr w:rsidR="00BB67AF" w:rsidRPr="00645124" w:rsidTr="003E6750">
        <w:tc>
          <w:tcPr>
            <w:tcW w:w="5100"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other non</w:t>
            </w:r>
            <w:r w:rsidRPr="00645124">
              <w:rPr>
                <w:rFonts w:ascii="Calibri" w:eastAsiaTheme="minorEastAsia" w:hAnsi="Calibri" w:cs="Calibri"/>
                <w:b/>
                <w:bCs/>
                <w:color w:val="000000"/>
                <w:sz w:val="22"/>
                <w:szCs w:val="22"/>
                <w:lang w:eastAsia="en-AU"/>
              </w:rPr>
              <w:noBreakHyphen/>
              <w:t>financial assets</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2 287</w:t>
            </w:r>
          </w:p>
        </w:tc>
        <w:tc>
          <w:tcPr>
            <w:tcW w:w="1135"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2 127</w:t>
            </w:r>
          </w:p>
        </w:tc>
        <w:tc>
          <w:tcPr>
            <w:tcW w:w="1135"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1 195</w:t>
            </w:r>
          </w:p>
        </w:tc>
        <w:tc>
          <w:tcPr>
            <w:tcW w:w="1135"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1 038</w:t>
            </w:r>
          </w:p>
        </w:tc>
      </w:tr>
    </w:tbl>
    <w:p w:rsidR="00BB67AF" w:rsidRDefault="00BB67AF" w:rsidP="003E6750">
      <w:pPr>
        <w:pStyle w:val="Notes"/>
      </w:pPr>
      <w:r>
        <w:t>Note:</w:t>
      </w:r>
    </w:p>
    <w:p w:rsidR="00BB67AF" w:rsidRDefault="00BB67AF" w:rsidP="003E6750">
      <w:pPr>
        <w:pStyle w:val="Notes"/>
      </w:pPr>
      <w:r>
        <w:t>(a)</w:t>
      </w:r>
      <w:r>
        <w:tab/>
        <w:t>The majority of biological assets comprises commercial forests and also includes any living animal, plant or agricultural produce which is the harvested product of biological assets.</w:t>
      </w:r>
    </w:p>
    <w:p w:rsidR="00BB67AF" w:rsidRDefault="00BB67AF" w:rsidP="003E6750">
      <w:pPr>
        <w:pStyle w:val="Chartpara"/>
        <w:spacing w:after="120"/>
      </w:pPr>
    </w:p>
    <w:p w:rsidR="00BB67AF" w:rsidRDefault="00BB67AF" w:rsidP="003E6750">
      <w:pPr>
        <w:pStyle w:val="Chartpara"/>
        <w:spacing w:after="120"/>
      </w:pPr>
    </w:p>
    <w:p w:rsidR="00BB67AF" w:rsidRDefault="00BB67AF" w:rsidP="003E6750">
      <w:pPr>
        <w:pStyle w:val="Heading2Notes"/>
      </w:pPr>
      <w:bookmarkStart w:id="31" w:name="_Toc445283180"/>
      <w:r>
        <w:t xml:space="preserve">Note 22: </w:t>
      </w:r>
      <w:r>
        <w:tab/>
        <w:t>Assets classified by government purpose and by department</w:t>
      </w:r>
      <w:bookmarkEnd w:id="31"/>
      <w:r>
        <w:t xml:space="preserve"> </w:t>
      </w:r>
    </w:p>
    <w:p w:rsidR="00BB67AF" w:rsidRDefault="00BB67AF" w:rsidP="003E6750">
      <w:pPr>
        <w:pStyle w:val="Tableheading"/>
      </w:pPr>
      <w:r>
        <w:t>(a)</w:t>
      </w:r>
      <w:r>
        <w:tab/>
        <w:t>Purchases of non</w:t>
      </w:r>
      <w:r>
        <w:noBreakHyphen/>
        <w:t>financial assets by government purpose classification</w:t>
      </w:r>
      <w:r w:rsidRPr="00FE5D2B">
        <w:rPr>
          <w:vertAlign w:val="superscript"/>
        </w:rPr>
        <w:t>(a)</w:t>
      </w:r>
    </w:p>
    <w:p w:rsidR="00BB67AF" w:rsidRPr="006E014F" w:rsidRDefault="00BB67AF" w:rsidP="003E6750">
      <w:pPr>
        <w:pStyle w:val="million"/>
        <w:rPr>
          <w:b/>
          <w:bCs/>
          <w:lang w:val="en-US"/>
        </w:rPr>
      </w:pPr>
      <w:r>
        <w:t>($ million)</w:t>
      </w:r>
    </w:p>
    <w:tbl>
      <w:tblPr>
        <w:tblW w:w="9638" w:type="dxa"/>
        <w:tblInd w:w="45" w:type="dxa"/>
        <w:tblLayout w:type="fixed"/>
        <w:tblCellMar>
          <w:left w:w="45" w:type="dxa"/>
          <w:right w:w="45" w:type="dxa"/>
        </w:tblCellMar>
        <w:tblLook w:val="0000" w:firstRow="0" w:lastRow="0" w:firstColumn="0" w:lastColumn="0" w:noHBand="0" w:noVBand="0"/>
      </w:tblPr>
      <w:tblGrid>
        <w:gridCol w:w="5102"/>
        <w:gridCol w:w="1134"/>
        <w:gridCol w:w="1134"/>
        <w:gridCol w:w="1134"/>
        <w:gridCol w:w="1134"/>
      </w:tblGrid>
      <w:tr w:rsidR="008D5D2B" w:rsidRPr="00645124" w:rsidTr="008D5D2B">
        <w:trPr>
          <w:tblHeader/>
        </w:trPr>
        <w:tc>
          <w:tcPr>
            <w:tcW w:w="5102" w:type="dxa"/>
            <w:tcBorders>
              <w:top w:val="nil"/>
              <w:left w:val="nil"/>
              <w:bottom w:val="nil"/>
              <w:right w:val="nil"/>
            </w:tcBorders>
            <w:shd w:val="solid" w:color="000000" w:fill="auto"/>
            <w:vAlign w:val="bottom"/>
          </w:tcPr>
          <w:p w:rsidR="008D5D2B" w:rsidRPr="00645124" w:rsidRDefault="008D5D2B" w:rsidP="003E675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2268" w:type="dxa"/>
            <w:gridSpan w:val="2"/>
            <w:tcBorders>
              <w:top w:val="nil"/>
              <w:left w:val="nil"/>
              <w:bottom w:val="nil"/>
              <w:right w:val="nil"/>
            </w:tcBorders>
            <w:shd w:val="solid" w:color="000000" w:fill="auto"/>
            <w:vAlign w:val="bottom"/>
          </w:tcPr>
          <w:p w:rsidR="008D5D2B" w:rsidRPr="00645124" w:rsidRDefault="008D5D2B" w:rsidP="003E675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State of Victoria</w:t>
            </w:r>
          </w:p>
        </w:tc>
        <w:tc>
          <w:tcPr>
            <w:tcW w:w="2268" w:type="dxa"/>
            <w:gridSpan w:val="2"/>
            <w:tcBorders>
              <w:top w:val="nil"/>
              <w:left w:val="nil"/>
              <w:bottom w:val="nil"/>
              <w:right w:val="nil"/>
            </w:tcBorders>
            <w:shd w:val="solid" w:color="000000" w:fill="auto"/>
            <w:vAlign w:val="bottom"/>
          </w:tcPr>
          <w:p w:rsidR="008D5D2B" w:rsidRPr="00645124" w:rsidRDefault="008D5D2B" w:rsidP="008D5D2B">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General </w:t>
            </w:r>
            <w:r w:rsidRPr="00645124">
              <w:rPr>
                <w:rFonts w:ascii="Calibri" w:eastAsiaTheme="minorEastAsia" w:hAnsi="Calibri" w:cs="Calibri"/>
                <w:i/>
                <w:iCs/>
                <w:color w:val="FFFFFF"/>
                <w:sz w:val="22"/>
                <w:szCs w:val="22"/>
                <w:lang w:eastAsia="en-AU"/>
              </w:rPr>
              <w:br/>
              <w:t>government sector</w:t>
            </w:r>
          </w:p>
        </w:tc>
      </w:tr>
      <w:tr w:rsidR="00BB67AF" w:rsidRPr="00645124" w:rsidTr="003E6750">
        <w:trPr>
          <w:tblHeader/>
        </w:trPr>
        <w:tc>
          <w:tcPr>
            <w:tcW w:w="5102"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113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2014</w:t>
            </w:r>
          </w:p>
        </w:tc>
        <w:tc>
          <w:tcPr>
            <w:tcW w:w="113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2014</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General public services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21</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Public order and safety</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391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312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391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312</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Education</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132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261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132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261</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Health</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344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515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344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515</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Social security and welfare</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 xml:space="preserve">Housing and community amenities </w:t>
            </w:r>
            <w:r w:rsidRPr="00645124">
              <w:rPr>
                <w:rFonts w:ascii="Calibri" w:eastAsiaTheme="minorEastAsia" w:hAnsi="Calibri" w:cs="Calibri"/>
                <w:color w:val="000000"/>
                <w:sz w:val="22"/>
                <w:szCs w:val="22"/>
                <w:vertAlign w:val="superscript"/>
                <w:lang w:eastAsia="en-AU"/>
              </w:rPr>
              <w:t>(b)</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900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651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17</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Recreation and culture</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104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16</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Fuel and energy</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Agriculture, forestry, fishing, and hunting</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28</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Transport and communications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1 247</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1 269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976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889</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Other economic affairs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50</w:t>
            </w:r>
          </w:p>
        </w:tc>
      </w:tr>
      <w:tr w:rsidR="00BB67AF" w:rsidRPr="00645124" w:rsidTr="003E6750">
        <w:tc>
          <w:tcPr>
            <w:tcW w:w="5102"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Other purposes</w:t>
            </w:r>
            <w:r w:rsidRPr="00645124">
              <w:rPr>
                <w:rFonts w:ascii="Calibri" w:eastAsiaTheme="minorEastAsia" w:hAnsi="Calibri" w:cs="Calibri"/>
                <w:color w:val="000000"/>
                <w:sz w:val="22"/>
                <w:szCs w:val="22"/>
                <w:vertAlign w:val="superscript"/>
                <w:lang w:eastAsia="en-AU"/>
              </w:rPr>
              <w:t xml:space="preserve"> </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3E6750">
        <w:tc>
          <w:tcPr>
            <w:tcW w:w="5102"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vertAlign w:val="superscript"/>
                <w:lang w:eastAsia="en-AU"/>
              </w:rPr>
            </w:pPr>
            <w:r w:rsidRPr="00645124">
              <w:rPr>
                <w:rFonts w:ascii="Calibri" w:eastAsiaTheme="minorEastAsia" w:hAnsi="Calibri" w:cs="Calibri"/>
                <w:b/>
                <w:bCs/>
                <w:color w:val="000000"/>
                <w:sz w:val="22"/>
                <w:szCs w:val="22"/>
                <w:lang w:eastAsia="en-AU"/>
              </w:rPr>
              <w:t xml:space="preserve">Total purchases of non-financial assets </w:t>
            </w:r>
            <w:r w:rsidRPr="00645124">
              <w:rPr>
                <w:rFonts w:ascii="Calibri" w:eastAsiaTheme="minorEastAsia" w:hAnsi="Calibri" w:cs="Calibri"/>
                <w:b/>
                <w:bCs/>
                <w:color w:val="000000"/>
                <w:sz w:val="22"/>
                <w:szCs w:val="22"/>
                <w:vertAlign w:val="superscript"/>
                <w:lang w:eastAsia="en-AU"/>
              </w:rPr>
              <w:t>(b)</w:t>
            </w:r>
          </w:p>
        </w:tc>
        <w:tc>
          <w:tcPr>
            <w:tcW w:w="1134"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3 266</w:t>
            </w:r>
          </w:p>
        </w:tc>
        <w:tc>
          <w:tcPr>
            <w:tcW w:w="1134"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3 226</w:t>
            </w:r>
          </w:p>
        </w:tc>
        <w:tc>
          <w:tcPr>
            <w:tcW w:w="1134"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2 037</w:t>
            </w:r>
          </w:p>
        </w:tc>
        <w:tc>
          <w:tcPr>
            <w:tcW w:w="1134"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2 118</w:t>
            </w:r>
          </w:p>
        </w:tc>
      </w:tr>
    </w:tbl>
    <w:p w:rsidR="00BB67AF" w:rsidRDefault="00BB67AF" w:rsidP="003E6750">
      <w:pPr>
        <w:pStyle w:val="Notes"/>
      </w:pPr>
      <w:r>
        <w:t>Notes:</w:t>
      </w:r>
    </w:p>
    <w:p w:rsidR="00BB67AF" w:rsidRDefault="00BB67AF" w:rsidP="003E6750">
      <w:pPr>
        <w:pStyle w:val="Notes"/>
      </w:pPr>
      <w:r>
        <w:t>(a)</w:t>
      </w:r>
      <w:r>
        <w:tab/>
        <w:t xml:space="preserve">Note 41 of the </w:t>
      </w:r>
      <w:r w:rsidRPr="00FE5D2B">
        <w:rPr>
          <w:i w:val="0"/>
        </w:rPr>
        <w:t>2014</w:t>
      </w:r>
      <w:r>
        <w:rPr>
          <w:i w:val="0"/>
        </w:rPr>
        <w:noBreakHyphen/>
      </w:r>
      <w:r w:rsidRPr="00FE5D2B">
        <w:rPr>
          <w:i w:val="0"/>
        </w:rPr>
        <w:t>15 Financial Report for the State of Victoria</w:t>
      </w:r>
      <w:r>
        <w:t xml:space="preserve"> provides definitions and descriptions of government purpose classifications.</w:t>
      </w:r>
    </w:p>
    <w:p w:rsidR="00BB67AF" w:rsidRDefault="00BB67AF" w:rsidP="003E6750">
      <w:pPr>
        <w:pStyle w:val="Notes"/>
      </w:pPr>
      <w:r>
        <w:t>(b)</w:t>
      </w:r>
      <w:r>
        <w:tab/>
        <w:t>The December 2014 comparative figures have been restated to reflect more current information.</w:t>
      </w:r>
    </w:p>
    <w:p w:rsidR="00BB67AF" w:rsidRDefault="00BB67AF" w:rsidP="003E6750">
      <w:pPr>
        <w:pStyle w:val="Notes"/>
      </w:pPr>
    </w:p>
    <w:p w:rsidR="00BB67AF" w:rsidRDefault="00BB67AF">
      <w:pPr>
        <w:spacing w:after="0"/>
        <w:rPr>
          <w:rFonts w:ascii="Calibri" w:hAnsi="Calibri"/>
          <w:b/>
          <w:kern w:val="28"/>
          <w:sz w:val="28"/>
          <w:szCs w:val="22"/>
        </w:rPr>
      </w:pPr>
      <w:r>
        <w:br w:type="page"/>
      </w:r>
    </w:p>
    <w:p w:rsidR="00BB67AF" w:rsidRDefault="00BB67AF" w:rsidP="003E6750">
      <w:pPr>
        <w:pStyle w:val="Heading2NotesContd"/>
      </w:pPr>
      <w:r>
        <w:lastRenderedPageBreak/>
        <w:t xml:space="preserve">Note 22: </w:t>
      </w:r>
      <w:r>
        <w:tab/>
        <w:t xml:space="preserve">Assets classified by government purpose and by department </w:t>
      </w:r>
      <w:r w:rsidRPr="00C14629">
        <w:rPr>
          <w:i/>
        </w:rPr>
        <w:t>(continued)</w:t>
      </w:r>
    </w:p>
    <w:p w:rsidR="00BB67AF" w:rsidRDefault="00BB67AF" w:rsidP="003E6750">
      <w:pPr>
        <w:pStyle w:val="Tableheading"/>
      </w:pPr>
      <w:r>
        <w:t xml:space="preserve">(b) </w:t>
      </w:r>
      <w:r>
        <w:tab/>
        <w:t>Purchases of non</w:t>
      </w:r>
      <w:r>
        <w:noBreakHyphen/>
        <w:t>financial assets by department</w:t>
      </w:r>
      <w:r w:rsidRPr="00C14629">
        <w:rPr>
          <w:vertAlign w:val="superscript"/>
        </w:rPr>
        <w:t>(a)</w:t>
      </w:r>
    </w:p>
    <w:p w:rsidR="00BB67AF" w:rsidRPr="004D1572" w:rsidRDefault="00BB67AF" w:rsidP="003E6750">
      <w:pPr>
        <w:pStyle w:val="million"/>
        <w:rPr>
          <w:b/>
          <w:bCs/>
          <w:lang w:val="en-US"/>
        </w:rPr>
      </w:pPr>
      <w:r>
        <w:t>($ million)</w:t>
      </w:r>
    </w:p>
    <w:tbl>
      <w:tblPr>
        <w:tblW w:w="9638" w:type="dxa"/>
        <w:tblInd w:w="45" w:type="dxa"/>
        <w:tblLayout w:type="fixed"/>
        <w:tblCellMar>
          <w:left w:w="45" w:type="dxa"/>
          <w:right w:w="45" w:type="dxa"/>
        </w:tblCellMar>
        <w:tblLook w:val="0000" w:firstRow="0" w:lastRow="0" w:firstColumn="0" w:lastColumn="0" w:noHBand="0" w:noVBand="0"/>
      </w:tblPr>
      <w:tblGrid>
        <w:gridCol w:w="5245"/>
        <w:gridCol w:w="991"/>
        <w:gridCol w:w="1134"/>
        <w:gridCol w:w="1134"/>
        <w:gridCol w:w="1134"/>
      </w:tblGrid>
      <w:tr w:rsidR="008D5D2B" w:rsidRPr="00645124" w:rsidTr="008D5D2B">
        <w:trPr>
          <w:tblHeader/>
        </w:trPr>
        <w:tc>
          <w:tcPr>
            <w:tcW w:w="5245" w:type="dxa"/>
            <w:tcBorders>
              <w:top w:val="nil"/>
              <w:left w:val="nil"/>
              <w:bottom w:val="nil"/>
              <w:right w:val="nil"/>
            </w:tcBorders>
            <w:shd w:val="solid" w:color="000000" w:fill="auto"/>
            <w:vAlign w:val="bottom"/>
          </w:tcPr>
          <w:p w:rsidR="008D5D2B" w:rsidRPr="00645124" w:rsidRDefault="008D5D2B" w:rsidP="003E675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2125" w:type="dxa"/>
            <w:gridSpan w:val="2"/>
            <w:tcBorders>
              <w:top w:val="nil"/>
              <w:left w:val="nil"/>
              <w:bottom w:val="nil"/>
              <w:right w:val="nil"/>
            </w:tcBorders>
            <w:shd w:val="solid" w:color="000000" w:fill="auto"/>
            <w:vAlign w:val="bottom"/>
          </w:tcPr>
          <w:p w:rsidR="008D5D2B" w:rsidRPr="00645124" w:rsidRDefault="008D5D2B" w:rsidP="003E675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State of Victoria</w:t>
            </w:r>
          </w:p>
        </w:tc>
        <w:tc>
          <w:tcPr>
            <w:tcW w:w="2268" w:type="dxa"/>
            <w:gridSpan w:val="2"/>
            <w:tcBorders>
              <w:top w:val="nil"/>
              <w:left w:val="nil"/>
              <w:bottom w:val="nil"/>
              <w:right w:val="nil"/>
            </w:tcBorders>
            <w:shd w:val="solid" w:color="000000" w:fill="auto"/>
            <w:vAlign w:val="bottom"/>
          </w:tcPr>
          <w:p w:rsidR="008D5D2B" w:rsidRPr="00645124" w:rsidRDefault="008D5D2B" w:rsidP="008D5D2B">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General </w:t>
            </w:r>
            <w:r w:rsidRPr="00645124">
              <w:rPr>
                <w:rFonts w:ascii="Calibri" w:eastAsiaTheme="minorEastAsia" w:hAnsi="Calibri" w:cs="Calibri"/>
                <w:i/>
                <w:iCs/>
                <w:color w:val="FFFFFF"/>
                <w:sz w:val="22"/>
                <w:szCs w:val="22"/>
                <w:lang w:eastAsia="en-AU"/>
              </w:rPr>
              <w:br/>
              <w:t>government sector</w:t>
            </w:r>
          </w:p>
        </w:tc>
      </w:tr>
      <w:tr w:rsidR="00BB67AF" w:rsidRPr="00645124" w:rsidTr="008D5D2B">
        <w:trPr>
          <w:tblHeader/>
        </w:trPr>
        <w:tc>
          <w:tcPr>
            <w:tcW w:w="5245"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991"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2014</w:t>
            </w:r>
          </w:p>
        </w:tc>
        <w:tc>
          <w:tcPr>
            <w:tcW w:w="113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2014</w:t>
            </w:r>
          </w:p>
        </w:tc>
      </w:tr>
      <w:tr w:rsidR="00BB67AF" w:rsidRPr="00645124" w:rsidTr="008D5D2B">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Economic Development, Jobs, Transport and Resources</w:t>
            </w:r>
          </w:p>
        </w:tc>
        <w:tc>
          <w:tcPr>
            <w:tcW w:w="99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1 363</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1 031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w:t>
            </w:r>
          </w:p>
        </w:tc>
      </w:tr>
      <w:tr w:rsidR="00BB67AF" w:rsidRPr="00645124" w:rsidTr="008D5D2B">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Education and Training</w:t>
            </w:r>
          </w:p>
        </w:tc>
        <w:tc>
          <w:tcPr>
            <w:tcW w:w="99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135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254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135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254</w:t>
            </w:r>
          </w:p>
        </w:tc>
      </w:tr>
      <w:tr w:rsidR="00BB67AF" w:rsidRPr="00645124" w:rsidTr="008D5D2B">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Environment, Land, Water and Planning</w:t>
            </w:r>
          </w:p>
        </w:tc>
        <w:tc>
          <w:tcPr>
            <w:tcW w:w="99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729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589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64</w:t>
            </w:r>
          </w:p>
        </w:tc>
      </w:tr>
      <w:tr w:rsidR="00BB67AF" w:rsidRPr="00645124" w:rsidTr="008D5D2B">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Health and Human Services</w:t>
            </w:r>
          </w:p>
        </w:tc>
        <w:tc>
          <w:tcPr>
            <w:tcW w:w="99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600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529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417</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518</w:t>
            </w:r>
          </w:p>
        </w:tc>
      </w:tr>
      <w:tr w:rsidR="00BB67AF" w:rsidRPr="00645124" w:rsidTr="008D5D2B">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 xml:space="preserve">Human Services </w:t>
            </w:r>
            <w:r w:rsidRPr="00645124">
              <w:rPr>
                <w:rFonts w:ascii="Calibri" w:eastAsiaTheme="minorEastAsia" w:hAnsi="Calibri" w:cs="Calibri"/>
                <w:color w:val="000000"/>
                <w:sz w:val="22"/>
                <w:szCs w:val="22"/>
                <w:vertAlign w:val="superscript"/>
                <w:lang w:eastAsia="en-AU"/>
              </w:rPr>
              <w:t>(b)</w:t>
            </w:r>
          </w:p>
        </w:tc>
        <w:tc>
          <w:tcPr>
            <w:tcW w:w="99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130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23</w:t>
            </w:r>
          </w:p>
        </w:tc>
      </w:tr>
      <w:tr w:rsidR="00BB67AF" w:rsidRPr="00645124" w:rsidTr="008D5D2B">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Justice and Regulation</w:t>
            </w:r>
          </w:p>
        </w:tc>
        <w:tc>
          <w:tcPr>
            <w:tcW w:w="99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308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259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306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258</w:t>
            </w:r>
          </w:p>
        </w:tc>
      </w:tr>
      <w:tr w:rsidR="00BB67AF" w:rsidRPr="00645124" w:rsidTr="008D5D2B">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Premier and Cabinet</w:t>
            </w:r>
          </w:p>
        </w:tc>
        <w:tc>
          <w:tcPr>
            <w:tcW w:w="99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16</w:t>
            </w:r>
          </w:p>
        </w:tc>
      </w:tr>
      <w:tr w:rsidR="00BB67AF" w:rsidRPr="00645124" w:rsidTr="008D5D2B">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Transport, Planning and Local Infrastructure </w:t>
            </w:r>
          </w:p>
        </w:tc>
        <w:tc>
          <w:tcPr>
            <w:tcW w:w="99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1 355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893</w:t>
            </w:r>
          </w:p>
        </w:tc>
      </w:tr>
      <w:tr w:rsidR="00BB67AF" w:rsidRPr="00645124" w:rsidTr="008D5D2B">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Treasury and Finance </w:t>
            </w:r>
          </w:p>
        </w:tc>
        <w:tc>
          <w:tcPr>
            <w:tcW w:w="99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17</w:t>
            </w:r>
          </w:p>
        </w:tc>
      </w:tr>
      <w:tr w:rsidR="00BB67AF" w:rsidRPr="00645124" w:rsidTr="008D5D2B">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Parliament</w:t>
            </w:r>
          </w:p>
        </w:tc>
        <w:tc>
          <w:tcPr>
            <w:tcW w:w="99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w:t>
            </w:r>
          </w:p>
        </w:tc>
      </w:tr>
      <w:tr w:rsidR="00BB67AF" w:rsidRPr="00645124" w:rsidTr="008D5D2B">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Courts</w:t>
            </w:r>
          </w:p>
        </w:tc>
        <w:tc>
          <w:tcPr>
            <w:tcW w:w="99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w:t>
            </w:r>
          </w:p>
        </w:tc>
      </w:tr>
      <w:tr w:rsidR="00BB67AF" w:rsidRPr="00645124" w:rsidTr="008D5D2B">
        <w:tc>
          <w:tcPr>
            <w:tcW w:w="524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 xml:space="preserve">Regulatory bodies and other part budget funded agencies </w:t>
            </w:r>
            <w:r w:rsidRPr="00645124">
              <w:rPr>
                <w:rFonts w:ascii="Calibri" w:eastAsiaTheme="minorEastAsia" w:hAnsi="Calibri" w:cs="Calibri"/>
                <w:color w:val="000000"/>
                <w:sz w:val="22"/>
                <w:szCs w:val="22"/>
                <w:vertAlign w:val="superscript"/>
                <w:lang w:eastAsia="en-AU"/>
              </w:rPr>
              <w:t>(c)</w:t>
            </w:r>
          </w:p>
        </w:tc>
        <w:tc>
          <w:tcPr>
            <w:tcW w:w="99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62</w:t>
            </w:r>
          </w:p>
        </w:tc>
      </w:tr>
      <w:tr w:rsidR="00BB67AF" w:rsidRPr="00645124" w:rsidTr="008D5D2B">
        <w:tc>
          <w:tcPr>
            <w:tcW w:w="5245"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 xml:space="preserve">Adjustments </w:t>
            </w:r>
            <w:r w:rsidRPr="00645124">
              <w:rPr>
                <w:rFonts w:ascii="Calibri" w:eastAsiaTheme="minorEastAsia" w:hAnsi="Calibri" w:cs="Calibri"/>
                <w:color w:val="000000"/>
                <w:sz w:val="22"/>
                <w:szCs w:val="22"/>
                <w:vertAlign w:val="superscript"/>
                <w:lang w:eastAsia="en-AU"/>
              </w:rPr>
              <w:t>(d)</w:t>
            </w:r>
          </w:p>
        </w:tc>
        <w:tc>
          <w:tcPr>
            <w:tcW w:w="991"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(27)</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19</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w:t>
            </w:r>
          </w:p>
        </w:tc>
      </w:tr>
      <w:tr w:rsidR="00BB67AF" w:rsidRPr="00645124" w:rsidTr="008D5D2B">
        <w:tc>
          <w:tcPr>
            <w:tcW w:w="5245"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vertAlign w:val="superscript"/>
                <w:lang w:eastAsia="en-AU"/>
              </w:rPr>
            </w:pPr>
            <w:r w:rsidRPr="00645124">
              <w:rPr>
                <w:rFonts w:ascii="Calibri" w:eastAsiaTheme="minorEastAsia" w:hAnsi="Calibri" w:cs="Calibri"/>
                <w:b/>
                <w:bCs/>
                <w:color w:val="000000"/>
                <w:sz w:val="22"/>
                <w:szCs w:val="22"/>
                <w:lang w:eastAsia="en-AU"/>
              </w:rPr>
              <w:t xml:space="preserve">Total </w:t>
            </w:r>
            <w:r w:rsidRPr="00645124">
              <w:rPr>
                <w:rFonts w:ascii="Calibri" w:eastAsiaTheme="minorEastAsia" w:hAnsi="Calibri" w:cs="Calibri"/>
                <w:b/>
                <w:bCs/>
                <w:color w:val="000000"/>
                <w:sz w:val="22"/>
                <w:szCs w:val="22"/>
                <w:vertAlign w:val="superscript"/>
                <w:lang w:eastAsia="en-AU"/>
              </w:rPr>
              <w:t>(b)</w:t>
            </w:r>
          </w:p>
        </w:tc>
        <w:tc>
          <w:tcPr>
            <w:tcW w:w="991"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3 266</w:t>
            </w:r>
          </w:p>
        </w:tc>
        <w:tc>
          <w:tcPr>
            <w:tcW w:w="1134"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3 226</w:t>
            </w:r>
          </w:p>
        </w:tc>
        <w:tc>
          <w:tcPr>
            <w:tcW w:w="1134"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2 037</w:t>
            </w:r>
          </w:p>
        </w:tc>
        <w:tc>
          <w:tcPr>
            <w:tcW w:w="1134"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2 118</w:t>
            </w:r>
          </w:p>
        </w:tc>
      </w:tr>
    </w:tbl>
    <w:p w:rsidR="00BB67AF" w:rsidRDefault="00BB67AF" w:rsidP="003E6750">
      <w:pPr>
        <w:pStyle w:val="Notes"/>
      </w:pPr>
      <w:r>
        <w:t>Notes:</w:t>
      </w:r>
    </w:p>
    <w:p w:rsidR="00BB67AF" w:rsidRDefault="00BB67AF" w:rsidP="003E6750">
      <w:pPr>
        <w:pStyle w:val="Notes"/>
      </w:pPr>
      <w:r>
        <w:t>(a)</w:t>
      </w:r>
      <w:r>
        <w:tab/>
        <w:t>Effective 1 January 2015 several departments were renamed due to machinery of government changes:</w:t>
      </w:r>
    </w:p>
    <w:p w:rsidR="00BB67AF" w:rsidRDefault="00BB67AF" w:rsidP="003E6750">
      <w:pPr>
        <w:pStyle w:val="NotesDash"/>
        <w:numPr>
          <w:ilvl w:val="0"/>
          <w:numId w:val="27"/>
        </w:numPr>
        <w:tabs>
          <w:tab w:val="clear" w:pos="749"/>
          <w:tab w:val="clear" w:pos="922"/>
          <w:tab w:val="num" w:pos="810"/>
        </w:tabs>
        <w:ind w:left="810" w:hanging="356"/>
      </w:pPr>
      <w:r>
        <w:t>the Department of Education and Early Childhood Development was renamed the Department of Education and Training;</w:t>
      </w:r>
    </w:p>
    <w:p w:rsidR="00BB67AF" w:rsidRDefault="00BB67AF" w:rsidP="003E6750">
      <w:pPr>
        <w:pStyle w:val="NotesDash"/>
        <w:numPr>
          <w:ilvl w:val="0"/>
          <w:numId w:val="27"/>
        </w:numPr>
        <w:tabs>
          <w:tab w:val="clear" w:pos="749"/>
          <w:tab w:val="clear" w:pos="922"/>
          <w:tab w:val="num" w:pos="810"/>
        </w:tabs>
        <w:ind w:left="810" w:hanging="356"/>
      </w:pPr>
      <w:r>
        <w:t>the Department of Environment and Primary Industries was renamed the Department of Environment, Land, Water and Planning;</w:t>
      </w:r>
    </w:p>
    <w:p w:rsidR="00BB67AF" w:rsidRDefault="00BB67AF" w:rsidP="003E6750">
      <w:pPr>
        <w:pStyle w:val="NotesDash"/>
        <w:numPr>
          <w:ilvl w:val="0"/>
          <w:numId w:val="27"/>
        </w:numPr>
        <w:tabs>
          <w:tab w:val="clear" w:pos="749"/>
          <w:tab w:val="clear" w:pos="922"/>
          <w:tab w:val="num" w:pos="810"/>
        </w:tabs>
        <w:ind w:left="810" w:hanging="356"/>
      </w:pPr>
      <w:r>
        <w:t>the Department of Health was renamed the Department of Health and Human Services;</w:t>
      </w:r>
    </w:p>
    <w:p w:rsidR="00BB67AF" w:rsidRDefault="00BB67AF" w:rsidP="003E6750">
      <w:pPr>
        <w:pStyle w:val="NotesDash"/>
        <w:numPr>
          <w:ilvl w:val="0"/>
          <w:numId w:val="27"/>
        </w:numPr>
        <w:tabs>
          <w:tab w:val="clear" w:pos="749"/>
          <w:tab w:val="clear" w:pos="922"/>
          <w:tab w:val="num" w:pos="810"/>
        </w:tabs>
        <w:ind w:left="810" w:hanging="356"/>
      </w:pPr>
      <w:r>
        <w:t>the Department of Justice was renamed the Department of Justice and Regulation;</w:t>
      </w:r>
    </w:p>
    <w:p w:rsidR="00BB67AF" w:rsidRDefault="00BB67AF" w:rsidP="003E6750">
      <w:pPr>
        <w:pStyle w:val="NotesDash"/>
        <w:numPr>
          <w:ilvl w:val="0"/>
          <w:numId w:val="27"/>
        </w:numPr>
        <w:tabs>
          <w:tab w:val="clear" w:pos="749"/>
          <w:tab w:val="clear" w:pos="922"/>
          <w:tab w:val="num" w:pos="810"/>
        </w:tabs>
        <w:ind w:left="810" w:hanging="356"/>
      </w:pPr>
      <w:r>
        <w:t>the Department of State Development, Business and Innovation was renamed the Department of Economic Development, Jobs, Transport and Resources;</w:t>
      </w:r>
    </w:p>
    <w:p w:rsidR="00BB67AF" w:rsidRDefault="00BB67AF" w:rsidP="003E6750">
      <w:pPr>
        <w:pStyle w:val="NotesDash"/>
        <w:numPr>
          <w:ilvl w:val="0"/>
          <w:numId w:val="27"/>
        </w:numPr>
        <w:tabs>
          <w:tab w:val="clear" w:pos="749"/>
          <w:tab w:val="clear" w:pos="922"/>
          <w:tab w:val="num" w:pos="810"/>
        </w:tabs>
        <w:ind w:left="810" w:hanging="356"/>
      </w:pPr>
      <w:r>
        <w:t>the Department of Human Services was abolished; and</w:t>
      </w:r>
    </w:p>
    <w:p w:rsidR="00BB67AF" w:rsidRDefault="00BB67AF" w:rsidP="003E6750">
      <w:pPr>
        <w:pStyle w:val="NotesDash"/>
        <w:numPr>
          <w:ilvl w:val="0"/>
          <w:numId w:val="27"/>
        </w:numPr>
        <w:tabs>
          <w:tab w:val="clear" w:pos="749"/>
          <w:tab w:val="clear" w:pos="922"/>
          <w:tab w:val="num" w:pos="810"/>
        </w:tabs>
        <w:ind w:left="810" w:hanging="356"/>
      </w:pPr>
      <w:r>
        <w:t>the Department of Transport, Planning and Local Infrastructure was abolished.</w:t>
      </w:r>
    </w:p>
    <w:p w:rsidR="00BB67AF" w:rsidRDefault="00BB67AF" w:rsidP="003E6750">
      <w:pPr>
        <w:pStyle w:val="Notes"/>
      </w:pPr>
      <w:r>
        <w:tab/>
        <w:t>The two abolished departments had their functions and operations transferred to other Victorian government departments. Functions and operations of the Department of Human Services were transferred to the Department of Health and Human Services and to the Department of Premier and Cabinet. Functions and operations of the Department of Transport, Planning and Local Infrastructure were transferred to the Department of Environment, Land, Water and Planning, the Department of Health and Humans Services and to the Department of Economic Development, Jobs, Transport and Resources. Certain functions and operations of continuing Victorian government departments were also transferred among departments as part of the machinery of government changes. Controlled entities which have been transferred as part of the machinery of government changes are listed under their new portfolio departments.</w:t>
      </w:r>
    </w:p>
    <w:p w:rsidR="00BB67AF" w:rsidRDefault="00BB67AF" w:rsidP="003E6750">
      <w:pPr>
        <w:pStyle w:val="Notes"/>
      </w:pPr>
      <w:r>
        <w:t>(b)</w:t>
      </w:r>
      <w:r>
        <w:tab/>
        <w:t>The December 2014 comparative figures have been restated to reflect more current information.</w:t>
      </w:r>
    </w:p>
    <w:p w:rsidR="00BB67AF" w:rsidRDefault="00BB67AF" w:rsidP="003E6750">
      <w:pPr>
        <w:pStyle w:val="Notes"/>
      </w:pPr>
      <w:r>
        <w:t>(c)</w:t>
      </w:r>
      <w:r>
        <w:tab/>
        <w:t>Other general government sector agencies not allocated to departmental portfolios.</w:t>
      </w:r>
    </w:p>
    <w:p w:rsidR="00BB67AF" w:rsidRDefault="00BB67AF" w:rsidP="003E6750">
      <w:pPr>
        <w:pStyle w:val="Notes"/>
      </w:pPr>
      <w:r>
        <w:t>(d)</w:t>
      </w:r>
      <w:r>
        <w:tab/>
        <w:t>Represents adjustments for transfers between portfolio departments.</w:t>
      </w:r>
    </w:p>
    <w:p w:rsidR="00BB67AF" w:rsidRDefault="00BB67AF" w:rsidP="003E6750"/>
    <w:p w:rsidR="00BB67AF" w:rsidRDefault="00BB67AF" w:rsidP="003E6750"/>
    <w:p w:rsidR="00BB67AF" w:rsidRDefault="00BB67AF">
      <w:pPr>
        <w:spacing w:after="0"/>
      </w:pPr>
      <w:r>
        <w:br w:type="page"/>
      </w:r>
    </w:p>
    <w:p w:rsidR="00BB67AF" w:rsidRDefault="00BB67AF" w:rsidP="003E6750">
      <w:pPr>
        <w:pStyle w:val="Heading2NotesContd"/>
      </w:pPr>
      <w:r>
        <w:lastRenderedPageBreak/>
        <w:t xml:space="preserve">Note 22: </w:t>
      </w:r>
      <w:r>
        <w:tab/>
        <w:t xml:space="preserve">Assets classified by government purpose and by department </w:t>
      </w:r>
      <w:r w:rsidRPr="003C0CC8">
        <w:rPr>
          <w:i/>
        </w:rPr>
        <w:t>(continued)</w:t>
      </w:r>
    </w:p>
    <w:p w:rsidR="00BB67AF" w:rsidRDefault="00BB67AF" w:rsidP="003E6750">
      <w:pPr>
        <w:pStyle w:val="Tableheading"/>
      </w:pPr>
      <w:r>
        <w:t xml:space="preserve">(c) </w:t>
      </w:r>
      <w:r>
        <w:tab/>
        <w:t>Total assets by government purpose classification</w:t>
      </w:r>
      <w:r w:rsidRPr="003C0CC8">
        <w:rPr>
          <w:vertAlign w:val="superscript"/>
        </w:rPr>
        <w:t xml:space="preserve">(a) </w:t>
      </w:r>
    </w:p>
    <w:p w:rsidR="00BB67AF" w:rsidRPr="006E014F" w:rsidRDefault="00BB67AF" w:rsidP="003E6750">
      <w:pPr>
        <w:pStyle w:val="million"/>
        <w:rPr>
          <w:b/>
          <w:bCs/>
          <w:lang w:val="en-US"/>
        </w:rPr>
      </w:pPr>
      <w:r>
        <w:t>($ million)</w:t>
      </w:r>
    </w:p>
    <w:tbl>
      <w:tblPr>
        <w:tblW w:w="9638" w:type="dxa"/>
        <w:tblInd w:w="45" w:type="dxa"/>
        <w:tblLayout w:type="fixed"/>
        <w:tblCellMar>
          <w:left w:w="45" w:type="dxa"/>
          <w:right w:w="45" w:type="dxa"/>
        </w:tblCellMar>
        <w:tblLook w:val="0000" w:firstRow="0" w:lastRow="0" w:firstColumn="0" w:lastColumn="0" w:noHBand="0" w:noVBand="0"/>
      </w:tblPr>
      <w:tblGrid>
        <w:gridCol w:w="5102"/>
        <w:gridCol w:w="1134"/>
        <w:gridCol w:w="1134"/>
        <w:gridCol w:w="1134"/>
        <w:gridCol w:w="1134"/>
      </w:tblGrid>
      <w:tr w:rsidR="008D5D2B" w:rsidRPr="00645124" w:rsidTr="008D5D2B">
        <w:trPr>
          <w:tblHeader/>
        </w:trPr>
        <w:tc>
          <w:tcPr>
            <w:tcW w:w="5102" w:type="dxa"/>
            <w:tcBorders>
              <w:top w:val="nil"/>
              <w:left w:val="nil"/>
              <w:bottom w:val="nil"/>
              <w:right w:val="nil"/>
            </w:tcBorders>
            <w:shd w:val="solid" w:color="000000" w:fill="auto"/>
            <w:vAlign w:val="bottom"/>
          </w:tcPr>
          <w:p w:rsidR="008D5D2B" w:rsidRPr="00645124" w:rsidRDefault="008D5D2B"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2268" w:type="dxa"/>
            <w:gridSpan w:val="2"/>
            <w:tcBorders>
              <w:top w:val="nil"/>
              <w:left w:val="nil"/>
              <w:bottom w:val="nil"/>
              <w:right w:val="nil"/>
            </w:tcBorders>
            <w:shd w:val="solid" w:color="000000" w:fill="auto"/>
            <w:vAlign w:val="bottom"/>
          </w:tcPr>
          <w:p w:rsidR="008D5D2B" w:rsidRPr="00645124" w:rsidRDefault="008D5D2B" w:rsidP="003E675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State of Victoria</w:t>
            </w:r>
          </w:p>
        </w:tc>
        <w:tc>
          <w:tcPr>
            <w:tcW w:w="2268" w:type="dxa"/>
            <w:gridSpan w:val="2"/>
            <w:tcBorders>
              <w:top w:val="nil"/>
              <w:left w:val="nil"/>
              <w:bottom w:val="nil"/>
              <w:right w:val="nil"/>
            </w:tcBorders>
            <w:shd w:val="solid" w:color="000000" w:fill="auto"/>
            <w:vAlign w:val="bottom"/>
          </w:tcPr>
          <w:p w:rsidR="008D5D2B" w:rsidRPr="00645124" w:rsidRDefault="008D5D2B" w:rsidP="008D5D2B">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General </w:t>
            </w:r>
            <w:r w:rsidRPr="00645124">
              <w:rPr>
                <w:rFonts w:ascii="Calibri" w:eastAsiaTheme="minorEastAsia" w:hAnsi="Calibri" w:cs="Calibri"/>
                <w:i/>
                <w:iCs/>
                <w:color w:val="FFFFFF"/>
                <w:sz w:val="22"/>
                <w:szCs w:val="22"/>
                <w:lang w:eastAsia="en-AU"/>
              </w:rPr>
              <w:br/>
              <w:t>government sector</w:t>
            </w:r>
          </w:p>
        </w:tc>
      </w:tr>
      <w:tr w:rsidR="00BB67AF" w:rsidRPr="00645124" w:rsidTr="003E6750">
        <w:trPr>
          <w:tblHeader/>
        </w:trPr>
        <w:tc>
          <w:tcPr>
            <w:tcW w:w="5102"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113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Dec 2015</w:t>
            </w:r>
          </w:p>
        </w:tc>
        <w:tc>
          <w:tcPr>
            <w:tcW w:w="113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Jun 2015</w:t>
            </w:r>
          </w:p>
        </w:tc>
        <w:tc>
          <w:tcPr>
            <w:tcW w:w="113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Dec 2015</w:t>
            </w:r>
          </w:p>
        </w:tc>
        <w:tc>
          <w:tcPr>
            <w:tcW w:w="113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Jun 2015</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 xml:space="preserve">General public services </w:t>
            </w:r>
            <w:r w:rsidRPr="00645124">
              <w:rPr>
                <w:rFonts w:ascii="Calibri" w:eastAsiaTheme="minorEastAsia" w:hAnsi="Calibri" w:cs="Calibri"/>
                <w:color w:val="000000"/>
                <w:sz w:val="22"/>
                <w:szCs w:val="22"/>
                <w:vertAlign w:val="superscript"/>
                <w:lang w:eastAsia="en-AU"/>
              </w:rPr>
              <w:t>(b)</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924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920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1 098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1 000</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Public order and safety</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8 742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8 606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8 742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8 606</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Education</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18 996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19 041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18 996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19 041</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Health</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12 624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12 477</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12 604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12 457</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Social security and welfare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1 903</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1 839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1 903</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1 839</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Housing and community amenities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70 619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70 559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7 121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7 160</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Recreation and culture</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12 840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13 072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8 075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8 328</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Fuel and energy</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11</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Agriculture, forestry, fishing, and hunting</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778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768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713</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701</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Transport and communications</w:t>
            </w:r>
            <w:r w:rsidRPr="00645124">
              <w:rPr>
                <w:rFonts w:ascii="Calibri" w:eastAsiaTheme="minorEastAsia" w:hAnsi="Calibri" w:cs="Calibri"/>
                <w:color w:val="000000"/>
                <w:sz w:val="22"/>
                <w:szCs w:val="22"/>
                <w:vertAlign w:val="superscript"/>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82 599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82 058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49 398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49 150</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Other economic affairs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600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626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600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626</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Other purposes</w:t>
            </w:r>
            <w:r w:rsidRPr="00645124">
              <w:rPr>
                <w:rFonts w:ascii="Calibri" w:eastAsiaTheme="minorEastAsia" w:hAnsi="Calibri" w:cs="Calibri"/>
                <w:color w:val="000000"/>
                <w:sz w:val="22"/>
                <w:szCs w:val="22"/>
                <w:vertAlign w:val="superscript"/>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w:t>
            </w:r>
          </w:p>
        </w:tc>
      </w:tr>
      <w:tr w:rsidR="00BB67AF" w:rsidRPr="00645124" w:rsidTr="003E6750">
        <w:tc>
          <w:tcPr>
            <w:tcW w:w="5102"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 xml:space="preserve">Not allocated by purpose </w:t>
            </w:r>
            <w:r w:rsidRPr="00645124">
              <w:rPr>
                <w:rFonts w:ascii="Calibri" w:eastAsiaTheme="minorEastAsia" w:hAnsi="Calibri" w:cs="Calibri"/>
                <w:color w:val="000000"/>
                <w:sz w:val="22"/>
                <w:szCs w:val="22"/>
                <w:vertAlign w:val="superscript"/>
                <w:lang w:eastAsia="en-AU"/>
              </w:rPr>
              <w:t>(c)</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51 134</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49 770</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100 566</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100 040</w:t>
            </w:r>
          </w:p>
        </w:tc>
      </w:tr>
      <w:tr w:rsidR="00BB67AF" w:rsidRPr="00645124" w:rsidTr="003E6750">
        <w:tc>
          <w:tcPr>
            <w:tcW w:w="5102" w:type="dxa"/>
            <w:tcBorders>
              <w:top w:val="single" w:sz="6" w:space="0" w:color="auto"/>
              <w:left w:val="nil"/>
              <w:bottom w:val="single" w:sz="12" w:space="0" w:color="auto"/>
              <w:right w:val="nil"/>
            </w:tcBorders>
            <w:shd w:val="clear" w:color="000000"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vertAlign w:val="superscript"/>
                <w:lang w:eastAsia="en-AU"/>
              </w:rPr>
            </w:pPr>
            <w:r w:rsidRPr="00645124">
              <w:rPr>
                <w:rFonts w:ascii="Calibri" w:eastAsiaTheme="minorEastAsia" w:hAnsi="Calibri" w:cs="Calibri"/>
                <w:b/>
                <w:bCs/>
                <w:color w:val="000000"/>
                <w:sz w:val="22"/>
                <w:szCs w:val="22"/>
                <w:lang w:eastAsia="en-AU"/>
              </w:rPr>
              <w:t xml:space="preserve">Total assets </w:t>
            </w:r>
            <w:r w:rsidRPr="00645124">
              <w:rPr>
                <w:rFonts w:ascii="Calibri" w:eastAsiaTheme="minorEastAsia" w:hAnsi="Calibri" w:cs="Calibri"/>
                <w:b/>
                <w:bCs/>
                <w:color w:val="000000"/>
                <w:sz w:val="22"/>
                <w:szCs w:val="22"/>
                <w:vertAlign w:val="superscript"/>
                <w:lang w:eastAsia="en-AU"/>
              </w:rPr>
              <w:t>(b)</w:t>
            </w:r>
          </w:p>
        </w:tc>
        <w:tc>
          <w:tcPr>
            <w:tcW w:w="1134" w:type="dxa"/>
            <w:tcBorders>
              <w:top w:val="single" w:sz="6" w:space="0" w:color="auto"/>
              <w:left w:val="nil"/>
              <w:bottom w:val="single" w:sz="12" w:space="0" w:color="auto"/>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261 778</w:t>
            </w:r>
          </w:p>
        </w:tc>
        <w:tc>
          <w:tcPr>
            <w:tcW w:w="1134" w:type="dxa"/>
            <w:tcBorders>
              <w:top w:val="single" w:sz="6" w:space="0" w:color="auto"/>
              <w:left w:val="nil"/>
              <w:bottom w:val="single" w:sz="12" w:space="0" w:color="auto"/>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259 760</w:t>
            </w:r>
          </w:p>
        </w:tc>
        <w:tc>
          <w:tcPr>
            <w:tcW w:w="1134" w:type="dxa"/>
            <w:tcBorders>
              <w:top w:val="single" w:sz="6" w:space="0" w:color="auto"/>
              <w:left w:val="nil"/>
              <w:bottom w:val="single" w:sz="12" w:space="0" w:color="auto"/>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209 830</w:t>
            </w:r>
          </w:p>
        </w:tc>
        <w:tc>
          <w:tcPr>
            <w:tcW w:w="1134" w:type="dxa"/>
            <w:tcBorders>
              <w:top w:val="single" w:sz="6" w:space="0" w:color="auto"/>
              <w:left w:val="nil"/>
              <w:bottom w:val="single" w:sz="12" w:space="0" w:color="auto"/>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208 960</w:t>
            </w:r>
          </w:p>
        </w:tc>
      </w:tr>
    </w:tbl>
    <w:p w:rsidR="00BB67AF" w:rsidRDefault="00BB67AF" w:rsidP="003E6750">
      <w:pPr>
        <w:pStyle w:val="Notes"/>
      </w:pPr>
      <w:r>
        <w:t>Notes:</w:t>
      </w:r>
    </w:p>
    <w:p w:rsidR="00BB67AF" w:rsidRDefault="00BB67AF" w:rsidP="003E6750">
      <w:pPr>
        <w:pStyle w:val="Notes"/>
      </w:pPr>
      <w:r>
        <w:t>(a)</w:t>
      </w:r>
      <w:r>
        <w:tab/>
        <w:t xml:space="preserve">Note 41 of the </w:t>
      </w:r>
      <w:r w:rsidRPr="0074033F">
        <w:rPr>
          <w:i w:val="0"/>
        </w:rPr>
        <w:t>2014</w:t>
      </w:r>
      <w:r>
        <w:rPr>
          <w:i w:val="0"/>
        </w:rPr>
        <w:noBreakHyphen/>
      </w:r>
      <w:r w:rsidRPr="0074033F">
        <w:rPr>
          <w:i w:val="0"/>
        </w:rPr>
        <w:t>15 Financial Report for the State of Victoria</w:t>
      </w:r>
      <w:r>
        <w:t xml:space="preserve"> provides definitions and descriptions of government purpose classifications.</w:t>
      </w:r>
    </w:p>
    <w:p w:rsidR="00BB67AF" w:rsidRDefault="00BB67AF" w:rsidP="003E6750">
      <w:pPr>
        <w:pStyle w:val="Notes"/>
      </w:pPr>
      <w:r>
        <w:t>(b)</w:t>
      </w:r>
      <w:r>
        <w:tab/>
        <w:t>June 2015 balances have been restated to reflect more current information.</w:t>
      </w:r>
    </w:p>
    <w:p w:rsidR="00BB67AF" w:rsidRDefault="00BB67AF" w:rsidP="003E6750">
      <w:pPr>
        <w:pStyle w:val="Notes"/>
      </w:pPr>
      <w:r>
        <w:t>(c)</w:t>
      </w:r>
      <w:r>
        <w:tab/>
        <w:t>Represents financial assets which are not able to be allocated by purpose.</w:t>
      </w:r>
    </w:p>
    <w:p w:rsidR="00BB67AF" w:rsidRDefault="00BB67AF" w:rsidP="003E6750"/>
    <w:p w:rsidR="00BB67AF" w:rsidRDefault="00BB67AF" w:rsidP="003E6750"/>
    <w:p w:rsidR="00BB67AF" w:rsidRDefault="00BB67AF" w:rsidP="003E6750">
      <w:pPr>
        <w:pStyle w:val="Heading2Notes"/>
      </w:pPr>
      <w:bookmarkStart w:id="32" w:name="_Toc445283181"/>
      <w:r w:rsidRPr="0074033F">
        <w:t xml:space="preserve">Note 23: </w:t>
      </w:r>
      <w:r w:rsidRPr="0074033F">
        <w:tab/>
        <w:t>Payables</w:t>
      </w:r>
      <w:bookmarkEnd w:id="32"/>
    </w:p>
    <w:p w:rsidR="00BB67AF" w:rsidRPr="004D1572" w:rsidRDefault="00BB67AF" w:rsidP="003E6750">
      <w:pPr>
        <w:pStyle w:val="million"/>
        <w:rPr>
          <w:b/>
          <w:bCs/>
          <w:lang w:val="en-US"/>
        </w:rPr>
      </w:pPr>
      <w:r>
        <w:t>($ million)</w:t>
      </w:r>
    </w:p>
    <w:tbl>
      <w:tblPr>
        <w:tblW w:w="9639" w:type="dxa"/>
        <w:tblInd w:w="45" w:type="dxa"/>
        <w:tblLayout w:type="fixed"/>
        <w:tblCellMar>
          <w:left w:w="45" w:type="dxa"/>
          <w:right w:w="45" w:type="dxa"/>
        </w:tblCellMar>
        <w:tblLook w:val="0000" w:firstRow="0" w:lastRow="0" w:firstColumn="0" w:lastColumn="0" w:noHBand="0" w:noVBand="0"/>
      </w:tblPr>
      <w:tblGrid>
        <w:gridCol w:w="5101"/>
        <w:gridCol w:w="1134"/>
        <w:gridCol w:w="1135"/>
        <w:gridCol w:w="1134"/>
        <w:gridCol w:w="1135"/>
      </w:tblGrid>
      <w:tr w:rsidR="008D5D2B" w:rsidRPr="00645124" w:rsidTr="008D5D2B">
        <w:trPr>
          <w:tblHeader/>
        </w:trPr>
        <w:tc>
          <w:tcPr>
            <w:tcW w:w="5101" w:type="dxa"/>
            <w:tcBorders>
              <w:top w:val="nil"/>
              <w:left w:val="nil"/>
              <w:bottom w:val="nil"/>
              <w:right w:val="nil"/>
            </w:tcBorders>
            <w:shd w:val="solid" w:color="000000" w:fill="auto"/>
            <w:vAlign w:val="bottom"/>
          </w:tcPr>
          <w:p w:rsidR="008D5D2B" w:rsidRPr="00645124" w:rsidRDefault="008D5D2B"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2269" w:type="dxa"/>
            <w:gridSpan w:val="2"/>
            <w:tcBorders>
              <w:top w:val="nil"/>
              <w:left w:val="nil"/>
              <w:bottom w:val="nil"/>
              <w:right w:val="nil"/>
            </w:tcBorders>
            <w:shd w:val="solid" w:color="000000" w:fill="auto"/>
            <w:vAlign w:val="bottom"/>
          </w:tcPr>
          <w:p w:rsidR="008D5D2B" w:rsidRPr="00645124" w:rsidRDefault="008D5D2B" w:rsidP="008D5D2B">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State of Victoria</w:t>
            </w:r>
          </w:p>
        </w:tc>
        <w:tc>
          <w:tcPr>
            <w:tcW w:w="2269" w:type="dxa"/>
            <w:gridSpan w:val="2"/>
            <w:tcBorders>
              <w:top w:val="nil"/>
              <w:left w:val="nil"/>
              <w:bottom w:val="nil"/>
              <w:right w:val="nil"/>
            </w:tcBorders>
            <w:shd w:val="solid" w:color="000000" w:fill="auto"/>
            <w:vAlign w:val="bottom"/>
          </w:tcPr>
          <w:p w:rsidR="008D5D2B" w:rsidRPr="00645124" w:rsidRDefault="008D5D2B" w:rsidP="008D5D2B">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General </w:t>
            </w:r>
            <w:r w:rsidRPr="00645124">
              <w:rPr>
                <w:rFonts w:ascii="Calibri" w:eastAsiaTheme="minorEastAsia" w:hAnsi="Calibri" w:cs="Calibri"/>
                <w:i/>
                <w:iCs/>
                <w:color w:val="FFFFFF"/>
                <w:sz w:val="22"/>
                <w:szCs w:val="22"/>
                <w:lang w:eastAsia="en-AU"/>
              </w:rPr>
              <w:br/>
              <w:t>government sector</w:t>
            </w:r>
          </w:p>
        </w:tc>
      </w:tr>
      <w:tr w:rsidR="008D5D2B" w:rsidRPr="00645124" w:rsidTr="008D5D2B">
        <w:trPr>
          <w:trHeight w:val="537"/>
          <w:tblHeader/>
        </w:trPr>
        <w:tc>
          <w:tcPr>
            <w:tcW w:w="5101"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113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Dec</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5"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Jun</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Dec</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5"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Jun</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r>
      <w:tr w:rsidR="00BB67AF" w:rsidRPr="00645124" w:rsidTr="003E6750">
        <w:tc>
          <w:tcPr>
            <w:tcW w:w="5101"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Contractual</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3E6750">
        <w:tc>
          <w:tcPr>
            <w:tcW w:w="5101"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Accounts payable</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1 666</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2 013</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1 001</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1 158</w:t>
            </w:r>
          </w:p>
        </w:tc>
      </w:tr>
      <w:tr w:rsidR="00BB67AF" w:rsidRPr="00645124" w:rsidTr="003E6750">
        <w:tc>
          <w:tcPr>
            <w:tcW w:w="5101"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Accrued expenses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1 722</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2 258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1 790</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2 172</w:t>
            </w:r>
          </w:p>
        </w:tc>
      </w:tr>
      <w:tr w:rsidR="00BB67AF" w:rsidRPr="00645124" w:rsidTr="003E6750">
        <w:tc>
          <w:tcPr>
            <w:tcW w:w="5101"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Unearned income</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4 548</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3 222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2 355</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2 332</w:t>
            </w:r>
          </w:p>
        </w:tc>
      </w:tr>
      <w:tr w:rsidR="00BB67AF" w:rsidRPr="00645124" w:rsidTr="003E6750">
        <w:tc>
          <w:tcPr>
            <w:tcW w:w="5101"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Statutory</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3E6750">
        <w:tc>
          <w:tcPr>
            <w:tcW w:w="5101"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Accrued taxes payable</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32</w:t>
            </w:r>
          </w:p>
        </w:tc>
        <w:tc>
          <w:tcPr>
            <w:tcW w:w="11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98</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42</w:t>
            </w:r>
          </w:p>
        </w:tc>
        <w:tc>
          <w:tcPr>
            <w:tcW w:w="11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43</w:t>
            </w:r>
          </w:p>
        </w:tc>
      </w:tr>
      <w:tr w:rsidR="00BB67AF" w:rsidRPr="00645124" w:rsidTr="003E6750">
        <w:tc>
          <w:tcPr>
            <w:tcW w:w="5101"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payables</w:t>
            </w:r>
          </w:p>
        </w:tc>
        <w:tc>
          <w:tcPr>
            <w:tcW w:w="113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7 967</w:t>
            </w:r>
          </w:p>
        </w:tc>
        <w:tc>
          <w:tcPr>
            <w:tcW w:w="1135"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7 591</w:t>
            </w:r>
          </w:p>
        </w:tc>
        <w:tc>
          <w:tcPr>
            <w:tcW w:w="113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5 188</w:t>
            </w:r>
          </w:p>
        </w:tc>
        <w:tc>
          <w:tcPr>
            <w:tcW w:w="1135"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5 704</w:t>
            </w:r>
          </w:p>
        </w:tc>
      </w:tr>
      <w:tr w:rsidR="00BB67AF" w:rsidRPr="00645124" w:rsidTr="003E6750">
        <w:tc>
          <w:tcPr>
            <w:tcW w:w="5101"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Represented by:</w:t>
            </w:r>
          </w:p>
        </w:tc>
        <w:tc>
          <w:tcPr>
            <w:tcW w:w="1134"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5"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5"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3E6750">
        <w:tc>
          <w:tcPr>
            <w:tcW w:w="5101"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Current payables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5 994</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5 587</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3 298</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3 776</w:t>
            </w:r>
          </w:p>
        </w:tc>
      </w:tr>
      <w:tr w:rsidR="00BB67AF" w:rsidRPr="00645124" w:rsidTr="003E6750">
        <w:tc>
          <w:tcPr>
            <w:tcW w:w="5101"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Non</w:t>
            </w:r>
            <w:r w:rsidRPr="00645124">
              <w:rPr>
                <w:rFonts w:ascii="Calibri" w:eastAsiaTheme="minorEastAsia" w:hAnsi="Calibri" w:cs="Calibri"/>
                <w:color w:val="000000"/>
                <w:sz w:val="22"/>
                <w:szCs w:val="22"/>
                <w:lang w:eastAsia="en-AU"/>
              </w:rPr>
              <w:noBreakHyphen/>
              <w:t>current payables</w:t>
            </w:r>
          </w:p>
        </w:tc>
        <w:tc>
          <w:tcPr>
            <w:tcW w:w="1134"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1 973</w:t>
            </w:r>
          </w:p>
        </w:tc>
        <w:tc>
          <w:tcPr>
            <w:tcW w:w="1135"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2 004</w:t>
            </w:r>
          </w:p>
        </w:tc>
        <w:tc>
          <w:tcPr>
            <w:tcW w:w="1134"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1 889</w:t>
            </w:r>
          </w:p>
        </w:tc>
        <w:tc>
          <w:tcPr>
            <w:tcW w:w="1135"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1 928</w:t>
            </w:r>
          </w:p>
        </w:tc>
      </w:tr>
    </w:tbl>
    <w:p w:rsidR="00BB67AF" w:rsidRDefault="00BB67AF" w:rsidP="003E6750"/>
    <w:p w:rsidR="00BB67AF" w:rsidRDefault="00BB67AF">
      <w:pPr>
        <w:spacing w:after="0"/>
        <w:rPr>
          <w:rFonts w:ascii="Calibri" w:hAnsi="Calibri"/>
          <w:b/>
          <w:kern w:val="28"/>
          <w:sz w:val="28"/>
          <w:szCs w:val="22"/>
        </w:rPr>
      </w:pPr>
      <w:r>
        <w:br w:type="page"/>
      </w:r>
    </w:p>
    <w:p w:rsidR="00BB67AF" w:rsidRDefault="00BB67AF" w:rsidP="003E6750">
      <w:pPr>
        <w:pStyle w:val="Heading2Notes"/>
      </w:pPr>
      <w:bookmarkStart w:id="33" w:name="_Toc445283182"/>
      <w:r w:rsidRPr="0074033F">
        <w:lastRenderedPageBreak/>
        <w:t xml:space="preserve">Note 24: </w:t>
      </w:r>
      <w:r w:rsidRPr="0074033F">
        <w:tab/>
        <w:t>Borrowings</w:t>
      </w:r>
      <w:bookmarkEnd w:id="33"/>
    </w:p>
    <w:p w:rsidR="00BB67AF" w:rsidRPr="004D1572" w:rsidRDefault="00BB67AF" w:rsidP="003E6750">
      <w:pPr>
        <w:pStyle w:val="million"/>
        <w:rPr>
          <w:b/>
          <w:bCs/>
          <w:lang w:val="en-US"/>
        </w:rPr>
      </w:pPr>
      <w:r>
        <w:t>($ million)</w:t>
      </w:r>
    </w:p>
    <w:tbl>
      <w:tblPr>
        <w:tblW w:w="9639" w:type="dxa"/>
        <w:tblInd w:w="45" w:type="dxa"/>
        <w:tblLayout w:type="fixed"/>
        <w:tblCellMar>
          <w:left w:w="45" w:type="dxa"/>
          <w:right w:w="45" w:type="dxa"/>
        </w:tblCellMar>
        <w:tblLook w:val="0000" w:firstRow="0" w:lastRow="0" w:firstColumn="0" w:lastColumn="0" w:noHBand="0" w:noVBand="0"/>
      </w:tblPr>
      <w:tblGrid>
        <w:gridCol w:w="5095"/>
        <w:gridCol w:w="8"/>
        <w:gridCol w:w="1130"/>
        <w:gridCol w:w="1136"/>
        <w:gridCol w:w="1135"/>
        <w:gridCol w:w="1135"/>
      </w:tblGrid>
      <w:tr w:rsidR="008D5D2B" w:rsidRPr="00645124" w:rsidTr="008D5D2B">
        <w:trPr>
          <w:tblHeader/>
        </w:trPr>
        <w:tc>
          <w:tcPr>
            <w:tcW w:w="5095" w:type="dxa"/>
            <w:tcBorders>
              <w:top w:val="nil"/>
              <w:left w:val="nil"/>
              <w:bottom w:val="nil"/>
              <w:right w:val="nil"/>
            </w:tcBorders>
            <w:shd w:val="solid" w:color="000000" w:fill="auto"/>
            <w:vAlign w:val="bottom"/>
          </w:tcPr>
          <w:p w:rsidR="008D5D2B" w:rsidRPr="00645124" w:rsidRDefault="008D5D2B"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2274" w:type="dxa"/>
            <w:gridSpan w:val="3"/>
            <w:tcBorders>
              <w:top w:val="nil"/>
              <w:left w:val="nil"/>
              <w:bottom w:val="nil"/>
              <w:right w:val="nil"/>
            </w:tcBorders>
            <w:shd w:val="solid" w:color="000000" w:fill="auto"/>
            <w:vAlign w:val="bottom"/>
          </w:tcPr>
          <w:p w:rsidR="008D5D2B" w:rsidRPr="00645124" w:rsidRDefault="008D5D2B" w:rsidP="008D5D2B">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State of Victoria</w:t>
            </w:r>
          </w:p>
        </w:tc>
        <w:tc>
          <w:tcPr>
            <w:tcW w:w="2270" w:type="dxa"/>
            <w:gridSpan w:val="2"/>
            <w:tcBorders>
              <w:top w:val="nil"/>
              <w:left w:val="nil"/>
              <w:bottom w:val="nil"/>
              <w:right w:val="nil"/>
            </w:tcBorders>
            <w:shd w:val="solid" w:color="000000" w:fill="auto"/>
            <w:vAlign w:val="bottom"/>
          </w:tcPr>
          <w:p w:rsidR="008D5D2B" w:rsidRPr="00645124" w:rsidRDefault="008D5D2B" w:rsidP="008D5D2B">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General </w:t>
            </w:r>
            <w:r w:rsidRPr="00645124">
              <w:rPr>
                <w:rFonts w:ascii="Calibri" w:eastAsiaTheme="minorEastAsia" w:hAnsi="Calibri" w:cs="Calibri"/>
                <w:i/>
                <w:iCs/>
                <w:color w:val="FFFFFF"/>
                <w:sz w:val="22"/>
                <w:szCs w:val="22"/>
                <w:lang w:eastAsia="en-AU"/>
              </w:rPr>
              <w:br/>
              <w:t>government sector</w:t>
            </w:r>
          </w:p>
        </w:tc>
      </w:tr>
      <w:tr w:rsidR="008D5D2B" w:rsidRPr="00645124" w:rsidTr="008D5D2B">
        <w:trPr>
          <w:trHeight w:val="537"/>
          <w:tblHeader/>
        </w:trPr>
        <w:tc>
          <w:tcPr>
            <w:tcW w:w="5095"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p w:rsidR="008D5D2B" w:rsidRPr="00645124" w:rsidRDefault="008D5D2B"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1138" w:type="dxa"/>
            <w:gridSpan w:val="2"/>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Dec</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6"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Jun</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5"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Dec</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5"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Jun</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r>
      <w:tr w:rsidR="00BB67AF" w:rsidRPr="00645124" w:rsidTr="003E6750">
        <w:tc>
          <w:tcPr>
            <w:tcW w:w="509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Current borrowings</w:t>
            </w:r>
          </w:p>
        </w:tc>
        <w:tc>
          <w:tcPr>
            <w:tcW w:w="1138"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3E6750">
        <w:tc>
          <w:tcPr>
            <w:tcW w:w="509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Domestic borrowings</w:t>
            </w:r>
          </w:p>
        </w:tc>
        <w:tc>
          <w:tcPr>
            <w:tcW w:w="1138"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6 301</w:t>
            </w:r>
          </w:p>
        </w:tc>
        <w:tc>
          <w:tcPr>
            <w:tcW w:w="11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4 462</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4 046</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3 861</w:t>
            </w:r>
          </w:p>
        </w:tc>
      </w:tr>
      <w:tr w:rsidR="00BB67AF" w:rsidRPr="00645124" w:rsidTr="003E6750">
        <w:tc>
          <w:tcPr>
            <w:tcW w:w="509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Foreign currency borrowings</w:t>
            </w:r>
          </w:p>
        </w:tc>
        <w:tc>
          <w:tcPr>
            <w:tcW w:w="1138"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15</w:t>
            </w:r>
          </w:p>
        </w:tc>
        <w:tc>
          <w:tcPr>
            <w:tcW w:w="11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14</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3E6750">
        <w:tc>
          <w:tcPr>
            <w:tcW w:w="509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Finance lease liabilities</w:t>
            </w:r>
          </w:p>
        </w:tc>
        <w:tc>
          <w:tcPr>
            <w:tcW w:w="1138"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201</w:t>
            </w:r>
          </w:p>
        </w:tc>
        <w:tc>
          <w:tcPr>
            <w:tcW w:w="11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209</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131</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138</w:t>
            </w:r>
          </w:p>
        </w:tc>
      </w:tr>
      <w:tr w:rsidR="00BB67AF" w:rsidRPr="00645124" w:rsidTr="003E6750">
        <w:tc>
          <w:tcPr>
            <w:tcW w:w="509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Derivative financial instruments</w:t>
            </w:r>
          </w:p>
        </w:tc>
        <w:tc>
          <w:tcPr>
            <w:tcW w:w="1138"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107</w:t>
            </w:r>
          </w:p>
        </w:tc>
        <w:tc>
          <w:tcPr>
            <w:tcW w:w="113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250</w:t>
            </w:r>
          </w:p>
        </w:tc>
        <w:tc>
          <w:tcPr>
            <w:tcW w:w="11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3E6750">
        <w:tc>
          <w:tcPr>
            <w:tcW w:w="5095"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current borrowings</w:t>
            </w:r>
          </w:p>
        </w:tc>
        <w:tc>
          <w:tcPr>
            <w:tcW w:w="1138" w:type="dxa"/>
            <w:gridSpan w:val="2"/>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6 623</w:t>
            </w:r>
          </w:p>
        </w:tc>
        <w:tc>
          <w:tcPr>
            <w:tcW w:w="1136"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4 935</w:t>
            </w:r>
          </w:p>
        </w:tc>
        <w:tc>
          <w:tcPr>
            <w:tcW w:w="1135"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4 177</w:t>
            </w:r>
          </w:p>
        </w:tc>
        <w:tc>
          <w:tcPr>
            <w:tcW w:w="1135"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3 999</w:t>
            </w:r>
          </w:p>
        </w:tc>
      </w:tr>
      <w:tr w:rsidR="00BB67AF" w:rsidRPr="00645124" w:rsidTr="003E6750">
        <w:tc>
          <w:tcPr>
            <w:tcW w:w="509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Non</w:t>
            </w:r>
            <w:r w:rsidRPr="00645124">
              <w:rPr>
                <w:rFonts w:ascii="Calibri" w:eastAsiaTheme="minorEastAsia" w:hAnsi="Calibri" w:cs="Calibri"/>
                <w:b/>
                <w:bCs/>
                <w:color w:val="000000"/>
                <w:sz w:val="22"/>
                <w:szCs w:val="22"/>
                <w:lang w:eastAsia="en-AU"/>
              </w:rPr>
              <w:noBreakHyphen/>
              <w:t>current borrowings</w:t>
            </w:r>
          </w:p>
        </w:tc>
        <w:tc>
          <w:tcPr>
            <w:tcW w:w="1138"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3E6750">
        <w:tc>
          <w:tcPr>
            <w:tcW w:w="509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Domestic borrowings</w:t>
            </w:r>
          </w:p>
        </w:tc>
        <w:tc>
          <w:tcPr>
            <w:tcW w:w="1138"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35 712</w:t>
            </w:r>
          </w:p>
        </w:tc>
        <w:tc>
          <w:tcPr>
            <w:tcW w:w="11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37 498</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22 194</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22 099</w:t>
            </w:r>
          </w:p>
        </w:tc>
      </w:tr>
      <w:tr w:rsidR="00BB67AF" w:rsidRPr="00645124" w:rsidTr="003E6750">
        <w:tc>
          <w:tcPr>
            <w:tcW w:w="509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Foreign currency borrowings</w:t>
            </w:r>
          </w:p>
        </w:tc>
        <w:tc>
          <w:tcPr>
            <w:tcW w:w="1138"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116</w:t>
            </w:r>
          </w:p>
        </w:tc>
        <w:tc>
          <w:tcPr>
            <w:tcW w:w="11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105</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3E6750">
        <w:tc>
          <w:tcPr>
            <w:tcW w:w="5095"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Finance lease liabilities</w:t>
            </w:r>
          </w:p>
        </w:tc>
        <w:tc>
          <w:tcPr>
            <w:tcW w:w="1138"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8 453</w:t>
            </w:r>
          </w:p>
        </w:tc>
        <w:tc>
          <w:tcPr>
            <w:tcW w:w="11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8 552</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7 856</w:t>
            </w:r>
          </w:p>
        </w:tc>
        <w:tc>
          <w:tcPr>
            <w:tcW w:w="11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7 920</w:t>
            </w:r>
          </w:p>
        </w:tc>
      </w:tr>
      <w:tr w:rsidR="00BB67AF" w:rsidRPr="00645124" w:rsidTr="003E6750">
        <w:tc>
          <w:tcPr>
            <w:tcW w:w="5103"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Derivative financial instruments</w:t>
            </w:r>
          </w:p>
        </w:tc>
        <w:tc>
          <w:tcPr>
            <w:tcW w:w="1130"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690</w:t>
            </w:r>
          </w:p>
        </w:tc>
        <w:tc>
          <w:tcPr>
            <w:tcW w:w="113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598</w:t>
            </w:r>
          </w:p>
        </w:tc>
        <w:tc>
          <w:tcPr>
            <w:tcW w:w="11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75</w:t>
            </w:r>
          </w:p>
        </w:tc>
        <w:tc>
          <w:tcPr>
            <w:tcW w:w="11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50</w:t>
            </w:r>
          </w:p>
        </w:tc>
      </w:tr>
      <w:tr w:rsidR="00BB67AF" w:rsidRPr="00645124" w:rsidTr="003E6750">
        <w:tc>
          <w:tcPr>
            <w:tcW w:w="5103" w:type="dxa"/>
            <w:gridSpan w:val="2"/>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non</w:t>
            </w:r>
            <w:r w:rsidRPr="00645124">
              <w:rPr>
                <w:rFonts w:ascii="Calibri" w:eastAsiaTheme="minorEastAsia" w:hAnsi="Calibri" w:cs="Calibri"/>
                <w:b/>
                <w:bCs/>
                <w:color w:val="000000"/>
                <w:sz w:val="22"/>
                <w:szCs w:val="22"/>
                <w:lang w:eastAsia="en-AU"/>
              </w:rPr>
              <w:noBreakHyphen/>
              <w:t>current borrowings</w:t>
            </w:r>
          </w:p>
        </w:tc>
        <w:tc>
          <w:tcPr>
            <w:tcW w:w="1130"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44 970</w:t>
            </w:r>
          </w:p>
        </w:tc>
        <w:tc>
          <w:tcPr>
            <w:tcW w:w="1136"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46 752</w:t>
            </w:r>
          </w:p>
        </w:tc>
        <w:tc>
          <w:tcPr>
            <w:tcW w:w="1135"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30 125</w:t>
            </w:r>
          </w:p>
        </w:tc>
        <w:tc>
          <w:tcPr>
            <w:tcW w:w="1135"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30 070</w:t>
            </w:r>
          </w:p>
        </w:tc>
      </w:tr>
      <w:tr w:rsidR="00BB67AF" w:rsidRPr="00645124" w:rsidTr="003E6750">
        <w:tc>
          <w:tcPr>
            <w:tcW w:w="5103" w:type="dxa"/>
            <w:gridSpan w:val="2"/>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borrowings</w:t>
            </w:r>
          </w:p>
        </w:tc>
        <w:tc>
          <w:tcPr>
            <w:tcW w:w="1130"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51 593</w:t>
            </w:r>
          </w:p>
        </w:tc>
        <w:tc>
          <w:tcPr>
            <w:tcW w:w="1136"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51 688</w:t>
            </w:r>
          </w:p>
        </w:tc>
        <w:tc>
          <w:tcPr>
            <w:tcW w:w="1135"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34 301</w:t>
            </w:r>
          </w:p>
        </w:tc>
        <w:tc>
          <w:tcPr>
            <w:tcW w:w="1135"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34 069</w:t>
            </w:r>
          </w:p>
        </w:tc>
      </w:tr>
    </w:tbl>
    <w:p w:rsidR="00BB67AF" w:rsidRDefault="00BB67AF" w:rsidP="003E6750"/>
    <w:p w:rsidR="00BB67AF" w:rsidRDefault="00BB67AF" w:rsidP="003E6750"/>
    <w:p w:rsidR="00BB67AF" w:rsidRDefault="00BB67AF" w:rsidP="003E6750">
      <w:pPr>
        <w:pStyle w:val="Heading2Notes"/>
      </w:pPr>
      <w:bookmarkStart w:id="34" w:name="_Toc445283183"/>
      <w:r w:rsidRPr="0074033F">
        <w:t xml:space="preserve">Note 25: </w:t>
      </w:r>
      <w:r w:rsidRPr="0074033F">
        <w:tab/>
        <w:t>Employee benefits</w:t>
      </w:r>
      <w:bookmarkEnd w:id="34"/>
    </w:p>
    <w:p w:rsidR="00BB67AF" w:rsidRPr="004D1572" w:rsidRDefault="00BB67AF" w:rsidP="003E6750">
      <w:pPr>
        <w:pStyle w:val="million"/>
        <w:rPr>
          <w:b/>
          <w:bCs/>
          <w:lang w:val="en-US"/>
        </w:rPr>
      </w:pPr>
      <w:r>
        <w:t>($ million)</w:t>
      </w:r>
    </w:p>
    <w:tbl>
      <w:tblPr>
        <w:tblW w:w="9638" w:type="dxa"/>
        <w:tblInd w:w="45" w:type="dxa"/>
        <w:tblLayout w:type="fixed"/>
        <w:tblCellMar>
          <w:left w:w="45" w:type="dxa"/>
          <w:right w:w="45" w:type="dxa"/>
        </w:tblCellMar>
        <w:tblLook w:val="0000" w:firstRow="0" w:lastRow="0" w:firstColumn="0" w:lastColumn="0" w:noHBand="0" w:noVBand="0"/>
      </w:tblPr>
      <w:tblGrid>
        <w:gridCol w:w="5102"/>
        <w:gridCol w:w="1134"/>
        <w:gridCol w:w="1134"/>
        <w:gridCol w:w="1134"/>
        <w:gridCol w:w="1134"/>
      </w:tblGrid>
      <w:tr w:rsidR="008D5D2B" w:rsidRPr="00645124" w:rsidTr="008D5D2B">
        <w:trPr>
          <w:tblHeader/>
        </w:trPr>
        <w:tc>
          <w:tcPr>
            <w:tcW w:w="5102" w:type="dxa"/>
            <w:tcBorders>
              <w:top w:val="nil"/>
              <w:left w:val="nil"/>
              <w:bottom w:val="nil"/>
              <w:right w:val="nil"/>
            </w:tcBorders>
            <w:shd w:val="solid" w:color="000000" w:fill="auto"/>
            <w:vAlign w:val="bottom"/>
          </w:tcPr>
          <w:p w:rsidR="008D5D2B" w:rsidRPr="00645124" w:rsidRDefault="008D5D2B"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2268" w:type="dxa"/>
            <w:gridSpan w:val="2"/>
            <w:tcBorders>
              <w:top w:val="nil"/>
              <w:left w:val="nil"/>
              <w:bottom w:val="nil"/>
              <w:right w:val="nil"/>
            </w:tcBorders>
            <w:shd w:val="solid" w:color="000000" w:fill="auto"/>
            <w:vAlign w:val="bottom"/>
          </w:tcPr>
          <w:p w:rsidR="008D5D2B" w:rsidRPr="00645124" w:rsidRDefault="008D5D2B" w:rsidP="008D5D2B">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State of Victoria</w:t>
            </w:r>
          </w:p>
        </w:tc>
        <w:tc>
          <w:tcPr>
            <w:tcW w:w="2268" w:type="dxa"/>
            <w:gridSpan w:val="2"/>
            <w:tcBorders>
              <w:top w:val="nil"/>
              <w:left w:val="nil"/>
              <w:bottom w:val="nil"/>
              <w:right w:val="nil"/>
            </w:tcBorders>
            <w:shd w:val="solid" w:color="000000" w:fill="auto"/>
            <w:vAlign w:val="bottom"/>
          </w:tcPr>
          <w:p w:rsidR="008D5D2B" w:rsidRPr="00645124" w:rsidRDefault="008D5D2B" w:rsidP="008D5D2B">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General </w:t>
            </w:r>
            <w:r w:rsidRPr="00645124">
              <w:rPr>
                <w:rFonts w:ascii="Calibri" w:eastAsiaTheme="minorEastAsia" w:hAnsi="Calibri" w:cs="Calibri"/>
                <w:i/>
                <w:iCs/>
                <w:color w:val="FFFFFF"/>
                <w:sz w:val="22"/>
                <w:szCs w:val="22"/>
                <w:lang w:eastAsia="en-AU"/>
              </w:rPr>
              <w:br/>
              <w:t>government sector</w:t>
            </w:r>
          </w:p>
        </w:tc>
      </w:tr>
      <w:tr w:rsidR="008D5D2B" w:rsidRPr="00645124" w:rsidTr="008D5D2B">
        <w:trPr>
          <w:trHeight w:val="537"/>
          <w:tblHeader/>
        </w:trPr>
        <w:tc>
          <w:tcPr>
            <w:tcW w:w="5102"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rPr>
                <w:rFonts w:ascii="Calibri" w:eastAsiaTheme="minorEastAsia" w:hAnsi="Calibri" w:cs="Calibri"/>
                <w:i/>
                <w:iCs/>
                <w:color w:val="FFFFFF"/>
                <w:sz w:val="22"/>
                <w:szCs w:val="22"/>
                <w:lang w:eastAsia="en-AU"/>
              </w:rPr>
            </w:pPr>
          </w:p>
        </w:tc>
        <w:tc>
          <w:tcPr>
            <w:tcW w:w="113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Dec</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Jun</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Dec</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Jun</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Current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 xml:space="preserve">Accrued salaries and wages </w:t>
            </w:r>
            <w:r w:rsidRPr="00645124">
              <w:rPr>
                <w:rFonts w:ascii="Calibri" w:eastAsiaTheme="minorEastAsia" w:hAnsi="Calibri" w:cs="Calibri"/>
                <w:color w:val="000000"/>
                <w:sz w:val="22"/>
                <w:szCs w:val="22"/>
                <w:vertAlign w:val="superscript"/>
                <w:lang w:eastAsia="en-AU"/>
              </w:rPr>
              <w:t>(a)(b)(c)</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1 845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1 790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1 685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1 616</w:t>
            </w:r>
          </w:p>
        </w:tc>
      </w:tr>
      <w:tr w:rsidR="00BB67AF" w:rsidRPr="00645124" w:rsidTr="003E6750">
        <w:tc>
          <w:tcPr>
            <w:tcW w:w="510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 xml:space="preserve">Long service leave </w:t>
            </w:r>
            <w:r w:rsidRPr="00645124">
              <w:rPr>
                <w:rFonts w:ascii="Calibri" w:eastAsiaTheme="minorEastAsia" w:hAnsi="Calibri" w:cs="Calibri"/>
                <w:color w:val="000000"/>
                <w:sz w:val="22"/>
                <w:szCs w:val="22"/>
                <w:vertAlign w:val="superscript"/>
                <w:lang w:eastAsia="en-AU"/>
              </w:rPr>
              <w:t>(b)</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3 506</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3 502</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3 283</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3 277</w:t>
            </w:r>
          </w:p>
        </w:tc>
      </w:tr>
      <w:tr w:rsidR="00BB67AF" w:rsidRPr="00645124" w:rsidTr="003E6750">
        <w:tc>
          <w:tcPr>
            <w:tcW w:w="5102"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vertAlign w:val="superscript"/>
                <w:lang w:eastAsia="en-AU"/>
              </w:rPr>
            </w:pPr>
            <w:r w:rsidRPr="00645124">
              <w:rPr>
                <w:rFonts w:ascii="Calibri" w:eastAsiaTheme="minorEastAsia" w:hAnsi="Calibri" w:cs="Calibri"/>
                <w:b/>
                <w:bCs/>
                <w:color w:val="000000"/>
                <w:sz w:val="22"/>
                <w:szCs w:val="22"/>
                <w:lang w:eastAsia="en-AU"/>
              </w:rPr>
              <w:t xml:space="preserve">Total current employee benefits </w:t>
            </w:r>
            <w:r w:rsidRPr="00645124">
              <w:rPr>
                <w:rFonts w:ascii="Calibri" w:eastAsiaTheme="minorEastAsia" w:hAnsi="Calibri" w:cs="Calibri"/>
                <w:b/>
                <w:bCs/>
                <w:color w:val="000000"/>
                <w:sz w:val="22"/>
                <w:szCs w:val="22"/>
                <w:vertAlign w:val="superscript"/>
                <w:lang w:eastAsia="en-AU"/>
              </w:rPr>
              <w:t>(c)</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5 351</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5 292</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4 967</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4 893</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Non</w:t>
            </w:r>
            <w:r w:rsidRPr="00645124">
              <w:rPr>
                <w:rFonts w:ascii="Calibri" w:eastAsiaTheme="minorEastAsia" w:hAnsi="Calibri" w:cs="Calibri"/>
                <w:b/>
                <w:bCs/>
                <w:color w:val="000000"/>
                <w:sz w:val="22"/>
                <w:szCs w:val="22"/>
                <w:lang w:eastAsia="en-AU"/>
              </w:rPr>
              <w:noBreakHyphen/>
              <w:t>current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 xml:space="preserve">Accrued salaries and wages </w:t>
            </w:r>
            <w:r w:rsidRPr="00645124">
              <w:rPr>
                <w:rFonts w:ascii="Calibri" w:eastAsiaTheme="minorEastAsia" w:hAnsi="Calibri" w:cs="Calibri"/>
                <w:color w:val="000000"/>
                <w:sz w:val="22"/>
                <w:szCs w:val="22"/>
                <w:vertAlign w:val="superscript"/>
                <w:lang w:eastAsia="en-AU"/>
              </w:rPr>
              <w:t>(c)</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3E6750">
        <w:tc>
          <w:tcPr>
            <w:tcW w:w="510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Long service leave</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871</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779</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802</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712</w:t>
            </w:r>
          </w:p>
        </w:tc>
      </w:tr>
      <w:tr w:rsidR="00BB67AF" w:rsidRPr="00645124" w:rsidTr="003E6750">
        <w:tc>
          <w:tcPr>
            <w:tcW w:w="510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non</w:t>
            </w:r>
            <w:r w:rsidRPr="00645124">
              <w:rPr>
                <w:rFonts w:ascii="Calibri" w:eastAsiaTheme="minorEastAsia" w:hAnsi="Calibri" w:cs="Calibri"/>
                <w:b/>
                <w:bCs/>
                <w:color w:val="000000"/>
                <w:sz w:val="22"/>
                <w:szCs w:val="22"/>
                <w:lang w:eastAsia="en-AU"/>
              </w:rPr>
              <w:noBreakHyphen/>
              <w:t>current employee benefits</w:t>
            </w:r>
            <w:r w:rsidRPr="00645124">
              <w:rPr>
                <w:rFonts w:ascii="Calibri" w:eastAsiaTheme="minorEastAsia" w:hAnsi="Calibri" w:cs="Calibri"/>
                <w:b/>
                <w:bCs/>
                <w:color w:val="000000"/>
                <w:sz w:val="22"/>
                <w:szCs w:val="22"/>
                <w:vertAlign w:val="superscript"/>
                <w:lang w:eastAsia="en-AU"/>
              </w:rPr>
              <w:t xml:space="preserve"> (c)</w:t>
            </w:r>
          </w:p>
        </w:tc>
        <w:tc>
          <w:tcPr>
            <w:tcW w:w="113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872</w:t>
            </w:r>
          </w:p>
        </w:tc>
        <w:tc>
          <w:tcPr>
            <w:tcW w:w="113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784</w:t>
            </w:r>
          </w:p>
        </w:tc>
        <w:tc>
          <w:tcPr>
            <w:tcW w:w="113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802</w:t>
            </w:r>
          </w:p>
        </w:tc>
        <w:tc>
          <w:tcPr>
            <w:tcW w:w="113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712</w:t>
            </w:r>
          </w:p>
        </w:tc>
      </w:tr>
      <w:tr w:rsidR="00BB67AF" w:rsidRPr="00645124" w:rsidTr="003E6750">
        <w:tc>
          <w:tcPr>
            <w:tcW w:w="5102"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employee benefits</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6 223</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6 076</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5 769</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5 605</w:t>
            </w:r>
          </w:p>
        </w:tc>
      </w:tr>
    </w:tbl>
    <w:p w:rsidR="00BB67AF" w:rsidRDefault="00BB67AF" w:rsidP="003E6750">
      <w:pPr>
        <w:pStyle w:val="Notes"/>
      </w:pPr>
      <w:r>
        <w:t>Notes:</w:t>
      </w:r>
    </w:p>
    <w:p w:rsidR="00BB67AF" w:rsidRDefault="00BB67AF" w:rsidP="003E6750">
      <w:pPr>
        <w:pStyle w:val="Notes"/>
      </w:pPr>
      <w:r>
        <w:t>(a)</w:t>
      </w:r>
      <w:r>
        <w:tab/>
        <w:t>Includes accrued annual leave, payroll tax and other similar on</w:t>
      </w:r>
      <w:r>
        <w:noBreakHyphen/>
        <w:t>costs.</w:t>
      </w:r>
    </w:p>
    <w:p w:rsidR="00BB67AF" w:rsidRDefault="00BB67AF" w:rsidP="003E6750">
      <w:pPr>
        <w:pStyle w:val="Notes"/>
      </w:pPr>
      <w:r>
        <w:t>(b)</w:t>
      </w:r>
      <w:r>
        <w:tab/>
        <w:t>While employee related on</w:t>
      </w:r>
      <w:r>
        <w:noBreakHyphen/>
        <w:t xml:space="preserve">costs were fully allocated against accrued salaries and wages in the </w:t>
      </w:r>
      <w:r w:rsidRPr="008D5D2B">
        <w:rPr>
          <w:i w:val="0"/>
        </w:rPr>
        <w:t>2015</w:t>
      </w:r>
      <w:r w:rsidRPr="008D5D2B">
        <w:rPr>
          <w:i w:val="0"/>
        </w:rPr>
        <w:noBreakHyphen/>
        <w:t>16 Budget Update</w:t>
      </w:r>
      <w:r>
        <w:t xml:space="preserve">, for the </w:t>
      </w:r>
      <w:r w:rsidRPr="00BF33AB">
        <w:rPr>
          <w:i w:val="0"/>
        </w:rPr>
        <w:t>2015</w:t>
      </w:r>
      <w:r>
        <w:rPr>
          <w:i w:val="0"/>
        </w:rPr>
        <w:noBreakHyphen/>
      </w:r>
      <w:r w:rsidRPr="00BF33AB">
        <w:rPr>
          <w:i w:val="0"/>
        </w:rPr>
        <w:t>16 M</w:t>
      </w:r>
      <w:r w:rsidR="00494AD7">
        <w:rPr>
          <w:i w:val="0"/>
        </w:rPr>
        <w:t>id-</w:t>
      </w:r>
      <w:r w:rsidRPr="00BF33AB">
        <w:rPr>
          <w:i w:val="0"/>
        </w:rPr>
        <w:t>Y</w:t>
      </w:r>
      <w:r w:rsidR="00494AD7">
        <w:rPr>
          <w:i w:val="0"/>
        </w:rPr>
        <w:t xml:space="preserve">ear </w:t>
      </w:r>
      <w:r w:rsidRPr="00BF33AB">
        <w:rPr>
          <w:i w:val="0"/>
        </w:rPr>
        <w:t>F</w:t>
      </w:r>
      <w:r w:rsidR="00494AD7">
        <w:rPr>
          <w:i w:val="0"/>
        </w:rPr>
        <w:t xml:space="preserve">inancial </w:t>
      </w:r>
      <w:r w:rsidRPr="00BF33AB">
        <w:rPr>
          <w:i w:val="0"/>
        </w:rPr>
        <w:t>R</w:t>
      </w:r>
      <w:r w:rsidR="00494AD7">
        <w:rPr>
          <w:i w:val="0"/>
        </w:rPr>
        <w:t>eport</w:t>
      </w:r>
      <w:r>
        <w:t xml:space="preserve"> and </w:t>
      </w:r>
      <w:r w:rsidRPr="00BF33AB">
        <w:rPr>
          <w:i w:val="0"/>
        </w:rPr>
        <w:t>2015</w:t>
      </w:r>
      <w:r>
        <w:rPr>
          <w:i w:val="0"/>
        </w:rPr>
        <w:noBreakHyphen/>
      </w:r>
      <w:r w:rsidRPr="00BF33AB">
        <w:rPr>
          <w:i w:val="0"/>
        </w:rPr>
        <w:t>16 original budget</w:t>
      </w:r>
      <w:r>
        <w:t>, data was available for on costs to be allocated between accrued salaries and wages and long service leave so that such on costs are better attributed to the respective components of the employee benefit provision.</w:t>
      </w:r>
    </w:p>
    <w:p w:rsidR="00BB67AF" w:rsidRDefault="00BB67AF" w:rsidP="003E6750">
      <w:pPr>
        <w:pStyle w:val="Notes"/>
      </w:pPr>
      <w:r>
        <w:t>(c)</w:t>
      </w:r>
      <w:r>
        <w:tab/>
        <w:t>June 2015 balances have been restated to reflect more current information.</w:t>
      </w:r>
    </w:p>
    <w:p w:rsidR="00BB67AF" w:rsidRDefault="00BB67AF" w:rsidP="003E6750"/>
    <w:p w:rsidR="00BB67AF" w:rsidRDefault="00BB67AF">
      <w:pPr>
        <w:spacing w:after="0"/>
        <w:rPr>
          <w:rFonts w:ascii="Calibri" w:hAnsi="Calibri"/>
          <w:b/>
          <w:kern w:val="28"/>
          <w:sz w:val="28"/>
          <w:szCs w:val="22"/>
        </w:rPr>
      </w:pPr>
      <w:r>
        <w:br w:type="page"/>
      </w:r>
    </w:p>
    <w:p w:rsidR="00BB67AF" w:rsidRDefault="00BB67AF" w:rsidP="003E6750">
      <w:pPr>
        <w:pStyle w:val="Heading2Notes"/>
      </w:pPr>
      <w:bookmarkStart w:id="35" w:name="_Toc445283184"/>
      <w:r w:rsidRPr="0074033F">
        <w:lastRenderedPageBreak/>
        <w:t xml:space="preserve">Note 26: </w:t>
      </w:r>
      <w:r w:rsidRPr="0074033F">
        <w:tab/>
        <w:t>Other provisions</w:t>
      </w:r>
      <w:bookmarkEnd w:id="35"/>
    </w:p>
    <w:p w:rsidR="00BB67AF" w:rsidRPr="004D1572" w:rsidRDefault="00BB67AF" w:rsidP="003E6750">
      <w:pPr>
        <w:pStyle w:val="million"/>
        <w:rPr>
          <w:b/>
          <w:bCs/>
          <w:lang w:val="en-US"/>
        </w:rPr>
      </w:pPr>
      <w:r>
        <w:t>($ millio</w:t>
      </w:r>
      <w:r w:rsidRPr="0074033F">
        <w:rPr>
          <w:rStyle w:val="millionChar"/>
        </w:rPr>
        <w:t>n</w:t>
      </w:r>
      <w:r>
        <w:t>)</w:t>
      </w:r>
    </w:p>
    <w:tbl>
      <w:tblPr>
        <w:tblW w:w="9638" w:type="dxa"/>
        <w:tblInd w:w="45" w:type="dxa"/>
        <w:tblLayout w:type="fixed"/>
        <w:tblCellMar>
          <w:left w:w="45" w:type="dxa"/>
          <w:right w:w="45" w:type="dxa"/>
        </w:tblCellMar>
        <w:tblLook w:val="0000" w:firstRow="0" w:lastRow="0" w:firstColumn="0" w:lastColumn="0" w:noHBand="0" w:noVBand="0"/>
      </w:tblPr>
      <w:tblGrid>
        <w:gridCol w:w="5102"/>
        <w:gridCol w:w="1134"/>
        <w:gridCol w:w="1134"/>
        <w:gridCol w:w="1134"/>
        <w:gridCol w:w="1134"/>
      </w:tblGrid>
      <w:tr w:rsidR="008D5D2B" w:rsidRPr="00645124" w:rsidTr="008D5D2B">
        <w:trPr>
          <w:tblHeader/>
        </w:trPr>
        <w:tc>
          <w:tcPr>
            <w:tcW w:w="5102" w:type="dxa"/>
            <w:tcBorders>
              <w:top w:val="nil"/>
              <w:left w:val="nil"/>
              <w:bottom w:val="nil"/>
              <w:right w:val="nil"/>
            </w:tcBorders>
            <w:shd w:val="solid" w:color="000000" w:fill="auto"/>
            <w:vAlign w:val="bottom"/>
          </w:tcPr>
          <w:p w:rsidR="008D5D2B" w:rsidRPr="00645124" w:rsidRDefault="008D5D2B"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2268" w:type="dxa"/>
            <w:gridSpan w:val="2"/>
            <w:tcBorders>
              <w:top w:val="nil"/>
              <w:left w:val="nil"/>
              <w:bottom w:val="nil"/>
              <w:right w:val="nil"/>
            </w:tcBorders>
            <w:shd w:val="solid" w:color="000000" w:fill="auto"/>
            <w:vAlign w:val="bottom"/>
          </w:tcPr>
          <w:p w:rsidR="008D5D2B" w:rsidRPr="00645124" w:rsidRDefault="008D5D2B" w:rsidP="008D5D2B">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State of Victoria</w:t>
            </w:r>
          </w:p>
        </w:tc>
        <w:tc>
          <w:tcPr>
            <w:tcW w:w="2268" w:type="dxa"/>
            <w:gridSpan w:val="2"/>
            <w:tcBorders>
              <w:top w:val="nil"/>
              <w:left w:val="nil"/>
              <w:bottom w:val="nil"/>
              <w:right w:val="nil"/>
            </w:tcBorders>
            <w:shd w:val="solid" w:color="000000" w:fill="auto"/>
            <w:vAlign w:val="bottom"/>
          </w:tcPr>
          <w:p w:rsidR="008D5D2B" w:rsidRPr="00645124" w:rsidRDefault="008D5D2B" w:rsidP="008D5D2B">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General </w:t>
            </w:r>
            <w:r w:rsidRPr="00645124">
              <w:rPr>
                <w:rFonts w:ascii="Calibri" w:eastAsiaTheme="minorEastAsia" w:hAnsi="Calibri" w:cs="Calibri"/>
                <w:i/>
                <w:iCs/>
                <w:color w:val="FFFFFF"/>
                <w:sz w:val="22"/>
                <w:szCs w:val="22"/>
                <w:lang w:eastAsia="en-AU"/>
              </w:rPr>
              <w:br/>
              <w:t>government sector</w:t>
            </w:r>
          </w:p>
        </w:tc>
      </w:tr>
      <w:tr w:rsidR="008D5D2B" w:rsidRPr="00645124" w:rsidTr="008D5D2B">
        <w:trPr>
          <w:trHeight w:val="537"/>
          <w:tblHeader/>
        </w:trPr>
        <w:tc>
          <w:tcPr>
            <w:tcW w:w="5102"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113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Dec</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Jun</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Dec</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3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Jun</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Provision for insurance claims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proofErr w:type="spellStart"/>
            <w:r w:rsidRPr="00645124">
              <w:rPr>
                <w:rFonts w:ascii="Calibri" w:eastAsiaTheme="minorEastAsia" w:hAnsi="Calibri" w:cs="Calibri"/>
                <w:color w:val="000000"/>
                <w:sz w:val="22"/>
                <w:szCs w:val="22"/>
                <w:lang w:eastAsia="en-AU"/>
              </w:rPr>
              <w:t>WorkSafe</w:t>
            </w:r>
            <w:proofErr w:type="spellEnd"/>
            <w:r w:rsidRPr="00645124">
              <w:rPr>
                <w:rFonts w:ascii="Calibri" w:eastAsiaTheme="minorEastAsia" w:hAnsi="Calibri" w:cs="Calibri"/>
                <w:color w:val="000000"/>
                <w:sz w:val="22"/>
                <w:szCs w:val="22"/>
                <w:lang w:eastAsia="en-AU"/>
              </w:rPr>
              <w:t xml:space="preserve"> Victoria</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2 026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1 995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Transport Accident Commission</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1 158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1 138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Victorian Managed Insurance Authority</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307</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299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3E6750">
        <w:tc>
          <w:tcPr>
            <w:tcW w:w="510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Other agencies</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17</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18</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13</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14</w:t>
            </w:r>
          </w:p>
        </w:tc>
      </w:tr>
      <w:tr w:rsidR="00BB67AF" w:rsidRPr="00645124" w:rsidTr="003E6750">
        <w:tc>
          <w:tcPr>
            <w:tcW w:w="5102"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Current provision for insurance claims</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3 510</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3 451</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13</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14</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Onerous contracts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47</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3E6750">
        <w:tc>
          <w:tcPr>
            <w:tcW w:w="510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Other provisions</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358</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365</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224</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234</w:t>
            </w:r>
          </w:p>
        </w:tc>
      </w:tr>
      <w:tr w:rsidR="00BB67AF" w:rsidRPr="00645124" w:rsidTr="003E6750">
        <w:tc>
          <w:tcPr>
            <w:tcW w:w="5102"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current other provisions</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3 909</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3 863</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238</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249</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Non</w:t>
            </w:r>
            <w:r w:rsidRPr="00645124">
              <w:rPr>
                <w:rFonts w:ascii="Calibri" w:eastAsiaTheme="minorEastAsia" w:hAnsi="Calibri" w:cs="Calibri"/>
                <w:b/>
                <w:bCs/>
                <w:color w:val="000000"/>
                <w:sz w:val="22"/>
                <w:szCs w:val="22"/>
                <w:lang w:eastAsia="en-AU"/>
              </w:rPr>
              <w:noBreakHyphen/>
              <w:t>current provision for insurance claims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 </w:t>
            </w:r>
          </w:p>
        </w:tc>
      </w:tr>
      <w:tr w:rsidR="00BB67AF" w:rsidRPr="00645124" w:rsidTr="008D5D2B">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proofErr w:type="spellStart"/>
            <w:r w:rsidRPr="00645124">
              <w:rPr>
                <w:rFonts w:ascii="Calibri" w:eastAsiaTheme="minorEastAsia" w:hAnsi="Calibri" w:cs="Calibri"/>
                <w:color w:val="000000"/>
                <w:sz w:val="22"/>
                <w:szCs w:val="22"/>
                <w:lang w:eastAsia="en-AU"/>
              </w:rPr>
              <w:t>WorkSafe</w:t>
            </w:r>
            <w:proofErr w:type="spellEnd"/>
            <w:r w:rsidRPr="00645124">
              <w:rPr>
                <w:rFonts w:ascii="Calibri" w:eastAsiaTheme="minorEastAsia" w:hAnsi="Calibri" w:cs="Calibri"/>
                <w:color w:val="000000"/>
                <w:sz w:val="22"/>
                <w:szCs w:val="22"/>
                <w:lang w:eastAsia="en-AU"/>
              </w:rPr>
              <w:t xml:space="preserve"> Victoria</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9 671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9 366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8D5D2B">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Transport Accident Commission</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11 323</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10 896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8D5D2B">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Victorian Managed Insurance Authority</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1 556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1 462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8D5D2B">
        <w:tc>
          <w:tcPr>
            <w:tcW w:w="510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Other agencies</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31</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31</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29</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30</w:t>
            </w:r>
          </w:p>
        </w:tc>
      </w:tr>
      <w:tr w:rsidR="00BB67AF" w:rsidRPr="00645124" w:rsidTr="008D5D2B">
        <w:tc>
          <w:tcPr>
            <w:tcW w:w="5102"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Non</w:t>
            </w:r>
            <w:r w:rsidRPr="00645124">
              <w:rPr>
                <w:rFonts w:ascii="Calibri" w:eastAsiaTheme="minorEastAsia" w:hAnsi="Calibri" w:cs="Calibri"/>
                <w:b/>
                <w:bCs/>
                <w:color w:val="000000"/>
                <w:sz w:val="22"/>
                <w:szCs w:val="22"/>
                <w:lang w:eastAsia="en-AU"/>
              </w:rPr>
              <w:noBreakHyphen/>
              <w:t>current provision for insurance claims</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22 581</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21 755</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29</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30</w:t>
            </w:r>
          </w:p>
        </w:tc>
      </w:tr>
      <w:tr w:rsidR="00BB67AF" w:rsidRPr="00645124" w:rsidTr="008D5D2B">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Onerous contracts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8D5D2B">
        <w:tc>
          <w:tcPr>
            <w:tcW w:w="510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Other provisions</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579</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569</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542</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529</w:t>
            </w:r>
          </w:p>
        </w:tc>
      </w:tr>
      <w:tr w:rsidR="00BB67AF" w:rsidRPr="00645124" w:rsidTr="008D5D2B">
        <w:tc>
          <w:tcPr>
            <w:tcW w:w="510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non</w:t>
            </w:r>
            <w:r w:rsidRPr="00645124">
              <w:rPr>
                <w:rFonts w:ascii="Calibri" w:eastAsiaTheme="minorEastAsia" w:hAnsi="Calibri" w:cs="Calibri"/>
                <w:b/>
                <w:bCs/>
                <w:color w:val="000000"/>
                <w:sz w:val="22"/>
                <w:szCs w:val="22"/>
                <w:lang w:eastAsia="en-AU"/>
              </w:rPr>
              <w:noBreakHyphen/>
              <w:t>current other provisions</w:t>
            </w:r>
          </w:p>
        </w:tc>
        <w:tc>
          <w:tcPr>
            <w:tcW w:w="113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23 195</w:t>
            </w:r>
          </w:p>
        </w:tc>
        <w:tc>
          <w:tcPr>
            <w:tcW w:w="113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22 350</w:t>
            </w:r>
          </w:p>
        </w:tc>
        <w:tc>
          <w:tcPr>
            <w:tcW w:w="113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571</w:t>
            </w:r>
          </w:p>
        </w:tc>
        <w:tc>
          <w:tcPr>
            <w:tcW w:w="113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559</w:t>
            </w:r>
          </w:p>
        </w:tc>
      </w:tr>
      <w:tr w:rsidR="00BB67AF" w:rsidRPr="00645124" w:rsidTr="008D5D2B">
        <w:tc>
          <w:tcPr>
            <w:tcW w:w="5102"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other provisions</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27 104</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26 213</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809</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807</w:t>
            </w:r>
          </w:p>
        </w:tc>
      </w:tr>
    </w:tbl>
    <w:p w:rsidR="00BB67AF" w:rsidRDefault="00BB67AF" w:rsidP="003E6750"/>
    <w:p w:rsidR="00BB67AF" w:rsidRDefault="00BB67AF">
      <w:pPr>
        <w:spacing w:after="0"/>
        <w:rPr>
          <w:rFonts w:ascii="Calibri" w:hAnsi="Calibri"/>
          <w:b/>
          <w:kern w:val="28"/>
          <w:sz w:val="28"/>
          <w:szCs w:val="22"/>
        </w:rPr>
      </w:pPr>
      <w:r>
        <w:br w:type="page"/>
      </w:r>
    </w:p>
    <w:p w:rsidR="00BB67AF" w:rsidRDefault="00BB67AF" w:rsidP="003E6750">
      <w:pPr>
        <w:pStyle w:val="Heading2Notes"/>
      </w:pPr>
      <w:bookmarkStart w:id="36" w:name="_Toc445283185"/>
      <w:r>
        <w:lastRenderedPageBreak/>
        <w:t xml:space="preserve">Note 27: </w:t>
      </w:r>
      <w:r>
        <w:tab/>
        <w:t>Cash flow information</w:t>
      </w:r>
      <w:bookmarkEnd w:id="36"/>
    </w:p>
    <w:p w:rsidR="00BB67AF" w:rsidRDefault="00BB67AF" w:rsidP="003E6750">
      <w:pPr>
        <w:pStyle w:val="Tableheading"/>
      </w:pPr>
      <w:r>
        <w:t xml:space="preserve">(a) </w:t>
      </w:r>
      <w:r>
        <w:tab/>
        <w:t>Reconciliation of cash and cash equivalents</w:t>
      </w:r>
    </w:p>
    <w:p w:rsidR="00BB67AF" w:rsidRPr="00BE0F9F" w:rsidRDefault="00BB67AF" w:rsidP="003E6750">
      <w:pPr>
        <w:pStyle w:val="million"/>
        <w:rPr>
          <w:b/>
          <w:bCs/>
          <w:lang w:val="en-US"/>
        </w:rPr>
      </w:pPr>
      <w:r>
        <w:t>($ million)</w:t>
      </w:r>
    </w:p>
    <w:tbl>
      <w:tblPr>
        <w:tblW w:w="9638" w:type="dxa"/>
        <w:tblInd w:w="45" w:type="dxa"/>
        <w:tblLayout w:type="fixed"/>
        <w:tblCellMar>
          <w:left w:w="45" w:type="dxa"/>
          <w:right w:w="45" w:type="dxa"/>
        </w:tblCellMar>
        <w:tblLook w:val="0000" w:firstRow="0" w:lastRow="0" w:firstColumn="0" w:lastColumn="0" w:noHBand="0" w:noVBand="0"/>
      </w:tblPr>
      <w:tblGrid>
        <w:gridCol w:w="5102"/>
        <w:gridCol w:w="1134"/>
        <w:gridCol w:w="1134"/>
        <w:gridCol w:w="1134"/>
        <w:gridCol w:w="1134"/>
      </w:tblGrid>
      <w:tr w:rsidR="008D5D2B" w:rsidRPr="00645124" w:rsidTr="008D5D2B">
        <w:trPr>
          <w:tblHeader/>
        </w:trPr>
        <w:tc>
          <w:tcPr>
            <w:tcW w:w="5102" w:type="dxa"/>
            <w:tcBorders>
              <w:top w:val="nil"/>
              <w:left w:val="nil"/>
              <w:bottom w:val="nil"/>
              <w:right w:val="nil"/>
            </w:tcBorders>
            <w:shd w:val="solid" w:color="000000" w:fill="auto"/>
            <w:vAlign w:val="bottom"/>
          </w:tcPr>
          <w:p w:rsidR="008D5D2B" w:rsidRPr="00645124" w:rsidRDefault="008D5D2B"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2268" w:type="dxa"/>
            <w:gridSpan w:val="2"/>
            <w:tcBorders>
              <w:top w:val="nil"/>
              <w:left w:val="nil"/>
              <w:bottom w:val="nil"/>
              <w:right w:val="nil"/>
            </w:tcBorders>
            <w:shd w:val="solid" w:color="000000" w:fill="auto"/>
            <w:vAlign w:val="bottom"/>
          </w:tcPr>
          <w:p w:rsidR="008D5D2B" w:rsidRPr="00645124" w:rsidRDefault="008D5D2B" w:rsidP="008D5D2B">
            <w:pPr>
              <w:autoSpaceDE w:val="0"/>
              <w:autoSpaceDN w:val="0"/>
              <w:adjustRightInd w:val="0"/>
              <w:spacing w:after="0"/>
              <w:jc w:val="center"/>
              <w:rPr>
                <w:rFonts w:ascii="Calibri" w:eastAsiaTheme="minorEastAsia" w:hAnsi="Calibri" w:cs="Calibri"/>
                <w:i/>
                <w:iCs/>
                <w:color w:val="FFFFFF"/>
                <w:sz w:val="22"/>
                <w:szCs w:val="16"/>
                <w:lang w:eastAsia="en-AU"/>
              </w:rPr>
            </w:pPr>
            <w:r w:rsidRPr="00645124">
              <w:rPr>
                <w:rFonts w:ascii="Calibri" w:eastAsiaTheme="minorEastAsia" w:hAnsi="Calibri" w:cs="Calibri"/>
                <w:i/>
                <w:iCs/>
                <w:color w:val="FFFFFF"/>
                <w:sz w:val="22"/>
                <w:szCs w:val="16"/>
                <w:lang w:eastAsia="en-AU"/>
              </w:rPr>
              <w:t>State of Victoria</w:t>
            </w:r>
          </w:p>
        </w:tc>
        <w:tc>
          <w:tcPr>
            <w:tcW w:w="2268" w:type="dxa"/>
            <w:gridSpan w:val="2"/>
            <w:tcBorders>
              <w:top w:val="nil"/>
              <w:left w:val="nil"/>
              <w:bottom w:val="nil"/>
              <w:right w:val="nil"/>
            </w:tcBorders>
            <w:shd w:val="solid" w:color="000000" w:fill="auto"/>
            <w:vAlign w:val="bottom"/>
          </w:tcPr>
          <w:p w:rsidR="008D5D2B" w:rsidRPr="00645124" w:rsidRDefault="008D5D2B" w:rsidP="008D5D2B">
            <w:pPr>
              <w:autoSpaceDE w:val="0"/>
              <w:autoSpaceDN w:val="0"/>
              <w:adjustRightInd w:val="0"/>
              <w:spacing w:after="0"/>
              <w:jc w:val="center"/>
              <w:rPr>
                <w:rFonts w:ascii="Calibri" w:eastAsiaTheme="minorEastAsia" w:hAnsi="Calibri" w:cs="Calibri"/>
                <w:i/>
                <w:iCs/>
                <w:color w:val="FFFFFF"/>
                <w:sz w:val="22"/>
                <w:szCs w:val="16"/>
                <w:lang w:eastAsia="en-AU"/>
              </w:rPr>
            </w:pPr>
            <w:r w:rsidRPr="00645124">
              <w:rPr>
                <w:rFonts w:ascii="Calibri" w:eastAsiaTheme="minorEastAsia" w:hAnsi="Calibri" w:cs="Calibri"/>
                <w:i/>
                <w:iCs/>
                <w:color w:val="FFFFFF"/>
                <w:sz w:val="22"/>
                <w:szCs w:val="16"/>
                <w:lang w:eastAsia="en-AU"/>
              </w:rPr>
              <w:t xml:space="preserve">General </w:t>
            </w:r>
            <w:r w:rsidRPr="00645124">
              <w:rPr>
                <w:rFonts w:ascii="Calibri" w:eastAsiaTheme="minorEastAsia" w:hAnsi="Calibri" w:cs="Calibri"/>
                <w:i/>
                <w:iCs/>
                <w:color w:val="FFFFFF"/>
                <w:sz w:val="22"/>
                <w:szCs w:val="16"/>
                <w:lang w:eastAsia="en-AU"/>
              </w:rPr>
              <w:br/>
              <w:t>government sector</w:t>
            </w:r>
          </w:p>
        </w:tc>
      </w:tr>
      <w:tr w:rsidR="008D5D2B" w:rsidRPr="00645124" w:rsidTr="008D5D2B">
        <w:trPr>
          <w:trHeight w:val="537"/>
          <w:tblHeader/>
        </w:trPr>
        <w:tc>
          <w:tcPr>
            <w:tcW w:w="5102"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113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16"/>
                <w:lang w:eastAsia="en-AU"/>
              </w:rPr>
            </w:pPr>
            <w:r w:rsidRPr="00645124">
              <w:rPr>
                <w:rFonts w:ascii="Calibri" w:eastAsiaTheme="minorEastAsia" w:hAnsi="Calibri" w:cs="Calibri"/>
                <w:i/>
                <w:iCs/>
                <w:color w:val="FFFFFF"/>
                <w:sz w:val="22"/>
                <w:szCs w:val="16"/>
                <w:lang w:eastAsia="en-AU"/>
              </w:rPr>
              <w:t>Dec</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16"/>
                <w:lang w:eastAsia="en-AU"/>
              </w:rPr>
            </w:pPr>
            <w:r w:rsidRPr="00645124">
              <w:rPr>
                <w:rFonts w:ascii="Calibri" w:eastAsiaTheme="minorEastAsia" w:hAnsi="Calibri" w:cs="Calibri"/>
                <w:i/>
                <w:iCs/>
                <w:color w:val="FFFFFF"/>
                <w:sz w:val="22"/>
                <w:szCs w:val="16"/>
                <w:lang w:eastAsia="en-AU"/>
              </w:rPr>
              <w:t>2015</w:t>
            </w:r>
          </w:p>
        </w:tc>
        <w:tc>
          <w:tcPr>
            <w:tcW w:w="113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16"/>
                <w:lang w:eastAsia="en-AU"/>
              </w:rPr>
            </w:pPr>
            <w:r w:rsidRPr="00645124">
              <w:rPr>
                <w:rFonts w:ascii="Calibri" w:eastAsiaTheme="minorEastAsia" w:hAnsi="Calibri" w:cs="Calibri"/>
                <w:i/>
                <w:iCs/>
                <w:color w:val="FFFFFF"/>
                <w:sz w:val="22"/>
                <w:szCs w:val="16"/>
                <w:lang w:eastAsia="en-AU"/>
              </w:rPr>
              <w:t>Dec</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16"/>
                <w:lang w:eastAsia="en-AU"/>
              </w:rPr>
            </w:pPr>
            <w:r w:rsidRPr="00645124">
              <w:rPr>
                <w:rFonts w:ascii="Calibri" w:eastAsiaTheme="minorEastAsia" w:hAnsi="Calibri" w:cs="Calibri"/>
                <w:i/>
                <w:iCs/>
                <w:color w:val="FFFFFF"/>
                <w:sz w:val="22"/>
                <w:szCs w:val="16"/>
                <w:lang w:eastAsia="en-AU"/>
              </w:rPr>
              <w:t xml:space="preserve">2014 </w:t>
            </w:r>
            <w:r w:rsidRPr="00645124">
              <w:rPr>
                <w:rFonts w:ascii="Calibri" w:eastAsiaTheme="minorEastAsia" w:hAnsi="Calibri" w:cs="Calibri"/>
                <w:i/>
                <w:iCs/>
                <w:color w:val="FFFFFF"/>
                <w:sz w:val="22"/>
                <w:szCs w:val="16"/>
                <w:vertAlign w:val="superscript"/>
                <w:lang w:eastAsia="en-AU"/>
              </w:rPr>
              <w:t>(a)</w:t>
            </w:r>
          </w:p>
        </w:tc>
        <w:tc>
          <w:tcPr>
            <w:tcW w:w="113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16"/>
                <w:lang w:eastAsia="en-AU"/>
              </w:rPr>
            </w:pPr>
            <w:r w:rsidRPr="00645124">
              <w:rPr>
                <w:rFonts w:ascii="Calibri" w:eastAsiaTheme="minorEastAsia" w:hAnsi="Calibri" w:cs="Calibri"/>
                <w:i/>
                <w:iCs/>
                <w:color w:val="FFFFFF"/>
                <w:sz w:val="22"/>
                <w:szCs w:val="16"/>
                <w:lang w:eastAsia="en-AU"/>
              </w:rPr>
              <w:t>Dec</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16"/>
                <w:lang w:eastAsia="en-AU"/>
              </w:rPr>
            </w:pPr>
            <w:r w:rsidRPr="00645124">
              <w:rPr>
                <w:rFonts w:ascii="Calibri" w:eastAsiaTheme="minorEastAsia" w:hAnsi="Calibri" w:cs="Calibri"/>
                <w:i/>
                <w:iCs/>
                <w:color w:val="FFFFFF"/>
                <w:sz w:val="22"/>
                <w:szCs w:val="16"/>
                <w:lang w:eastAsia="en-AU"/>
              </w:rPr>
              <w:t>2015</w:t>
            </w:r>
          </w:p>
        </w:tc>
        <w:tc>
          <w:tcPr>
            <w:tcW w:w="113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16"/>
                <w:lang w:eastAsia="en-AU"/>
              </w:rPr>
            </w:pPr>
            <w:r w:rsidRPr="00645124">
              <w:rPr>
                <w:rFonts w:ascii="Calibri" w:eastAsiaTheme="minorEastAsia" w:hAnsi="Calibri" w:cs="Calibri"/>
                <w:i/>
                <w:iCs/>
                <w:color w:val="FFFFFF"/>
                <w:sz w:val="22"/>
                <w:szCs w:val="16"/>
                <w:lang w:eastAsia="en-AU"/>
              </w:rPr>
              <w:t>Dec</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16"/>
                <w:lang w:eastAsia="en-AU"/>
              </w:rPr>
            </w:pPr>
            <w:r w:rsidRPr="00645124">
              <w:rPr>
                <w:rFonts w:ascii="Calibri" w:eastAsiaTheme="minorEastAsia" w:hAnsi="Calibri" w:cs="Calibri"/>
                <w:i/>
                <w:iCs/>
                <w:color w:val="FFFFFF"/>
                <w:sz w:val="22"/>
                <w:szCs w:val="16"/>
                <w:lang w:eastAsia="en-AU"/>
              </w:rPr>
              <w:t xml:space="preserve">2014 </w:t>
            </w:r>
            <w:r w:rsidRPr="00645124">
              <w:rPr>
                <w:rFonts w:ascii="Calibri" w:eastAsiaTheme="minorEastAsia" w:hAnsi="Calibri" w:cs="Calibri"/>
                <w:i/>
                <w:iCs/>
                <w:color w:val="FFFFFF"/>
                <w:sz w:val="22"/>
                <w:szCs w:val="16"/>
                <w:vertAlign w:val="superscript"/>
                <w:lang w:eastAsia="en-AU"/>
              </w:rPr>
              <w:t>(a)</w:t>
            </w:r>
          </w:p>
        </w:tc>
      </w:tr>
      <w:tr w:rsidR="00BB67AF" w:rsidRPr="00645124" w:rsidTr="003E6750">
        <w:tc>
          <w:tcPr>
            <w:tcW w:w="5102"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18"/>
                <w:lang w:eastAsia="en-AU"/>
              </w:rPr>
            </w:pPr>
            <w:r w:rsidRPr="00645124">
              <w:rPr>
                <w:rFonts w:ascii="Calibri" w:eastAsiaTheme="minorEastAsia" w:hAnsi="Calibri" w:cs="Calibri"/>
                <w:color w:val="000000"/>
                <w:sz w:val="22"/>
                <w:szCs w:val="18"/>
                <w:lang w:eastAsia="en-AU"/>
              </w:rPr>
              <w:t>Cash</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18"/>
                <w:lang w:eastAsia="en-AU"/>
              </w:rPr>
            </w:pPr>
            <w:r w:rsidRPr="00645124">
              <w:rPr>
                <w:rFonts w:ascii="Calibri" w:eastAsiaTheme="minorEastAsia" w:hAnsi="Calibri" w:cs="Calibri"/>
                <w:color w:val="000000"/>
                <w:sz w:val="22"/>
                <w:szCs w:val="18"/>
                <w:lang w:eastAsia="en-AU"/>
              </w:rPr>
              <w:t>1 594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18"/>
                <w:lang w:eastAsia="en-AU"/>
              </w:rPr>
            </w:pPr>
            <w:r w:rsidRPr="00645124">
              <w:rPr>
                <w:rFonts w:ascii="Calibri" w:eastAsiaTheme="minorEastAsia" w:hAnsi="Calibri" w:cs="Calibri"/>
                <w:color w:val="000000"/>
                <w:sz w:val="22"/>
                <w:szCs w:val="18"/>
                <w:lang w:eastAsia="en-AU"/>
              </w:rPr>
              <w:t>1 747</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18"/>
                <w:lang w:eastAsia="en-AU"/>
              </w:rPr>
            </w:pPr>
            <w:r w:rsidRPr="00645124">
              <w:rPr>
                <w:rFonts w:ascii="Calibri" w:eastAsiaTheme="minorEastAsia" w:hAnsi="Calibri" w:cs="Calibri"/>
                <w:color w:val="000000"/>
                <w:sz w:val="22"/>
                <w:szCs w:val="18"/>
                <w:lang w:eastAsia="en-AU"/>
              </w:rPr>
              <w:t>1 245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18"/>
                <w:lang w:eastAsia="en-AU"/>
              </w:rPr>
            </w:pPr>
            <w:r w:rsidRPr="00645124">
              <w:rPr>
                <w:rFonts w:ascii="Calibri" w:eastAsiaTheme="minorEastAsia" w:hAnsi="Calibri" w:cs="Calibri"/>
                <w:color w:val="000000"/>
                <w:sz w:val="22"/>
                <w:szCs w:val="18"/>
                <w:lang w:eastAsia="en-AU"/>
              </w:rPr>
              <w:t>1 466</w:t>
            </w:r>
          </w:p>
        </w:tc>
      </w:tr>
      <w:tr w:rsidR="00BB67AF" w:rsidRPr="00645124" w:rsidTr="003E6750">
        <w:tc>
          <w:tcPr>
            <w:tcW w:w="510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18"/>
                <w:lang w:eastAsia="en-AU"/>
              </w:rPr>
            </w:pPr>
            <w:r w:rsidRPr="00645124">
              <w:rPr>
                <w:rFonts w:ascii="Calibri" w:eastAsiaTheme="minorEastAsia" w:hAnsi="Calibri" w:cs="Calibri"/>
                <w:color w:val="000000"/>
                <w:sz w:val="22"/>
                <w:szCs w:val="18"/>
                <w:lang w:eastAsia="en-AU"/>
              </w:rPr>
              <w:t>Deposits at call</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18"/>
                <w:lang w:eastAsia="en-AU"/>
              </w:rPr>
            </w:pPr>
            <w:r w:rsidRPr="00645124">
              <w:rPr>
                <w:rFonts w:ascii="Calibri" w:eastAsiaTheme="minorEastAsia" w:hAnsi="Calibri" w:cs="Calibri"/>
                <w:color w:val="000000"/>
                <w:sz w:val="22"/>
                <w:szCs w:val="18"/>
                <w:lang w:eastAsia="en-AU"/>
              </w:rPr>
              <w:t>4 352</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18"/>
                <w:lang w:eastAsia="en-AU"/>
              </w:rPr>
            </w:pPr>
            <w:r w:rsidRPr="00645124">
              <w:rPr>
                <w:rFonts w:ascii="Calibri" w:eastAsiaTheme="minorEastAsia" w:hAnsi="Calibri" w:cs="Calibri"/>
                <w:color w:val="000000"/>
                <w:sz w:val="22"/>
                <w:szCs w:val="18"/>
                <w:lang w:eastAsia="en-AU"/>
              </w:rPr>
              <w:t>5 970</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18"/>
                <w:lang w:eastAsia="en-AU"/>
              </w:rPr>
            </w:pPr>
            <w:r w:rsidRPr="00645124">
              <w:rPr>
                <w:rFonts w:ascii="Calibri" w:eastAsiaTheme="minorEastAsia" w:hAnsi="Calibri" w:cs="Calibri"/>
                <w:color w:val="000000"/>
                <w:sz w:val="22"/>
                <w:szCs w:val="18"/>
                <w:lang w:eastAsia="en-AU"/>
              </w:rPr>
              <w:t>2 867</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18"/>
                <w:lang w:eastAsia="en-AU"/>
              </w:rPr>
            </w:pPr>
            <w:r w:rsidRPr="00645124">
              <w:rPr>
                <w:rFonts w:ascii="Calibri" w:eastAsiaTheme="minorEastAsia" w:hAnsi="Calibri" w:cs="Calibri"/>
                <w:color w:val="000000"/>
                <w:sz w:val="22"/>
                <w:szCs w:val="18"/>
                <w:lang w:eastAsia="en-AU"/>
              </w:rPr>
              <w:t>2 241</w:t>
            </w:r>
          </w:p>
        </w:tc>
      </w:tr>
      <w:tr w:rsidR="00BB67AF" w:rsidRPr="00645124" w:rsidTr="003E6750">
        <w:tc>
          <w:tcPr>
            <w:tcW w:w="5102"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18"/>
                <w:lang w:eastAsia="en-AU"/>
              </w:rPr>
            </w:pPr>
            <w:r w:rsidRPr="00645124">
              <w:rPr>
                <w:rFonts w:ascii="Calibri" w:eastAsiaTheme="minorEastAsia" w:hAnsi="Calibri" w:cs="Calibri"/>
                <w:b/>
                <w:bCs/>
                <w:color w:val="000000"/>
                <w:sz w:val="22"/>
                <w:szCs w:val="18"/>
                <w:lang w:eastAsia="en-AU"/>
              </w:rPr>
              <w:t>Cash and cash equivalents</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18"/>
                <w:lang w:eastAsia="en-AU"/>
              </w:rPr>
            </w:pPr>
            <w:r w:rsidRPr="00645124">
              <w:rPr>
                <w:rFonts w:ascii="Calibri" w:eastAsiaTheme="minorEastAsia" w:hAnsi="Calibri" w:cs="Calibri"/>
                <w:b/>
                <w:bCs/>
                <w:color w:val="000000"/>
                <w:sz w:val="22"/>
                <w:szCs w:val="18"/>
                <w:lang w:eastAsia="en-AU"/>
              </w:rPr>
              <w:t>5 946</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18"/>
                <w:lang w:eastAsia="en-AU"/>
              </w:rPr>
            </w:pPr>
            <w:r w:rsidRPr="00645124">
              <w:rPr>
                <w:rFonts w:ascii="Calibri" w:eastAsiaTheme="minorEastAsia" w:hAnsi="Calibri" w:cs="Calibri"/>
                <w:b/>
                <w:bCs/>
                <w:color w:val="000000"/>
                <w:sz w:val="22"/>
                <w:szCs w:val="18"/>
                <w:lang w:eastAsia="en-AU"/>
              </w:rPr>
              <w:t>7 717</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18"/>
                <w:lang w:eastAsia="en-AU"/>
              </w:rPr>
            </w:pPr>
            <w:r w:rsidRPr="00645124">
              <w:rPr>
                <w:rFonts w:ascii="Calibri" w:eastAsiaTheme="minorEastAsia" w:hAnsi="Calibri" w:cs="Calibri"/>
                <w:b/>
                <w:bCs/>
                <w:color w:val="000000"/>
                <w:sz w:val="22"/>
                <w:szCs w:val="18"/>
                <w:lang w:eastAsia="en-AU"/>
              </w:rPr>
              <w:t>4 112</w:t>
            </w:r>
          </w:p>
        </w:tc>
        <w:tc>
          <w:tcPr>
            <w:tcW w:w="113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18"/>
                <w:lang w:eastAsia="en-AU"/>
              </w:rPr>
            </w:pPr>
            <w:r w:rsidRPr="00645124">
              <w:rPr>
                <w:rFonts w:ascii="Calibri" w:eastAsiaTheme="minorEastAsia" w:hAnsi="Calibri" w:cs="Calibri"/>
                <w:b/>
                <w:bCs/>
                <w:color w:val="000000"/>
                <w:sz w:val="22"/>
                <w:szCs w:val="18"/>
                <w:lang w:eastAsia="en-AU"/>
              </w:rPr>
              <w:t>3 707</w:t>
            </w:r>
          </w:p>
        </w:tc>
      </w:tr>
      <w:tr w:rsidR="00BB67AF" w:rsidRPr="00645124" w:rsidTr="003E6750">
        <w:tc>
          <w:tcPr>
            <w:tcW w:w="510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18"/>
                <w:lang w:eastAsia="en-AU"/>
              </w:rPr>
            </w:pPr>
            <w:r w:rsidRPr="00645124">
              <w:rPr>
                <w:rFonts w:ascii="Calibri" w:eastAsiaTheme="minorEastAsia" w:hAnsi="Calibri" w:cs="Calibri"/>
                <w:color w:val="000000"/>
                <w:sz w:val="22"/>
                <w:szCs w:val="18"/>
                <w:lang w:eastAsia="en-AU"/>
              </w:rPr>
              <w:t>Bank overdraft</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645124">
              <w:rPr>
                <w:rFonts w:ascii="Calibri" w:eastAsiaTheme="minorEastAsia" w:hAnsi="Calibri" w:cs="Calibri"/>
                <w:color w:val="000000"/>
                <w:sz w:val="22"/>
                <w:szCs w:val="18"/>
                <w:lang w:eastAsia="en-AU"/>
              </w:rPr>
              <w:t>..</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18"/>
                <w:szCs w:val="18"/>
                <w:lang w:eastAsia="en-AU"/>
              </w:rPr>
            </w:pPr>
            <w:r w:rsidRPr="00645124">
              <w:rPr>
                <w:rFonts w:ascii="Calibri" w:eastAsiaTheme="minorEastAsia" w:hAnsi="Calibri" w:cs="Calibri"/>
                <w:color w:val="000000"/>
                <w:sz w:val="22"/>
                <w:szCs w:val="18"/>
                <w:lang w:eastAsia="en-AU"/>
              </w:rPr>
              <w:t>..</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18"/>
                <w:lang w:eastAsia="en-AU"/>
              </w:rPr>
            </w:pPr>
            <w:r w:rsidRPr="00645124">
              <w:rPr>
                <w:rFonts w:ascii="Calibri" w:eastAsiaTheme="minorEastAsia" w:hAnsi="Calibri" w:cs="Calibri"/>
                <w:color w:val="000000"/>
                <w:sz w:val="22"/>
                <w:szCs w:val="18"/>
                <w:lang w:eastAsia="en-AU"/>
              </w:rPr>
              <w:t>..</w:t>
            </w:r>
          </w:p>
        </w:tc>
        <w:tc>
          <w:tcPr>
            <w:tcW w:w="113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18"/>
                <w:lang w:eastAsia="en-AU"/>
              </w:rPr>
            </w:pPr>
            <w:r w:rsidRPr="00645124">
              <w:rPr>
                <w:rFonts w:ascii="Calibri" w:eastAsiaTheme="minorEastAsia" w:hAnsi="Calibri" w:cs="Calibri"/>
                <w:color w:val="000000"/>
                <w:sz w:val="22"/>
                <w:szCs w:val="18"/>
                <w:lang w:eastAsia="en-AU"/>
              </w:rPr>
              <w:t>..</w:t>
            </w:r>
          </w:p>
        </w:tc>
      </w:tr>
      <w:tr w:rsidR="00BB67AF" w:rsidRPr="00645124" w:rsidTr="003E6750">
        <w:tc>
          <w:tcPr>
            <w:tcW w:w="5102"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18"/>
                <w:lang w:eastAsia="en-AU"/>
              </w:rPr>
            </w:pPr>
            <w:r w:rsidRPr="00645124">
              <w:rPr>
                <w:rFonts w:ascii="Calibri" w:eastAsiaTheme="minorEastAsia" w:hAnsi="Calibri" w:cs="Calibri"/>
                <w:b/>
                <w:bCs/>
                <w:color w:val="000000"/>
                <w:sz w:val="22"/>
                <w:szCs w:val="18"/>
                <w:lang w:eastAsia="en-AU"/>
              </w:rPr>
              <w:t>Balances as per cash flow statement</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18"/>
                <w:lang w:eastAsia="en-AU"/>
              </w:rPr>
            </w:pPr>
            <w:r w:rsidRPr="00645124">
              <w:rPr>
                <w:rFonts w:ascii="Calibri" w:eastAsiaTheme="minorEastAsia" w:hAnsi="Calibri" w:cs="Calibri"/>
                <w:b/>
                <w:bCs/>
                <w:color w:val="000000"/>
                <w:sz w:val="22"/>
                <w:szCs w:val="18"/>
                <w:lang w:eastAsia="en-AU"/>
              </w:rPr>
              <w:t>5 946</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18"/>
                <w:lang w:eastAsia="en-AU"/>
              </w:rPr>
            </w:pPr>
            <w:r w:rsidRPr="00645124">
              <w:rPr>
                <w:rFonts w:ascii="Calibri" w:eastAsiaTheme="minorEastAsia" w:hAnsi="Calibri" w:cs="Calibri"/>
                <w:b/>
                <w:bCs/>
                <w:color w:val="000000"/>
                <w:sz w:val="22"/>
                <w:szCs w:val="18"/>
                <w:lang w:eastAsia="en-AU"/>
              </w:rPr>
              <w:t>7 717</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18"/>
                <w:lang w:eastAsia="en-AU"/>
              </w:rPr>
            </w:pPr>
            <w:r w:rsidRPr="00645124">
              <w:rPr>
                <w:rFonts w:ascii="Calibri" w:eastAsiaTheme="minorEastAsia" w:hAnsi="Calibri" w:cs="Calibri"/>
                <w:b/>
                <w:bCs/>
                <w:color w:val="000000"/>
                <w:sz w:val="22"/>
                <w:szCs w:val="18"/>
                <w:lang w:eastAsia="en-AU"/>
              </w:rPr>
              <w:t>4 112</w:t>
            </w:r>
          </w:p>
        </w:tc>
        <w:tc>
          <w:tcPr>
            <w:tcW w:w="113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18"/>
                <w:lang w:eastAsia="en-AU"/>
              </w:rPr>
            </w:pPr>
            <w:r w:rsidRPr="00645124">
              <w:rPr>
                <w:rFonts w:ascii="Calibri" w:eastAsiaTheme="minorEastAsia" w:hAnsi="Calibri" w:cs="Calibri"/>
                <w:b/>
                <w:bCs/>
                <w:color w:val="000000"/>
                <w:sz w:val="22"/>
                <w:szCs w:val="18"/>
                <w:lang w:eastAsia="en-AU"/>
              </w:rPr>
              <w:t>3 707</w:t>
            </w:r>
          </w:p>
        </w:tc>
      </w:tr>
    </w:tbl>
    <w:p w:rsidR="00BB67AF" w:rsidRDefault="00BB67AF" w:rsidP="003E6750">
      <w:pPr>
        <w:pStyle w:val="Notes"/>
      </w:pPr>
      <w:r>
        <w:t>Note:</w:t>
      </w:r>
    </w:p>
    <w:p w:rsidR="00BB67AF" w:rsidRPr="00717E8D" w:rsidRDefault="00BB67AF" w:rsidP="003E6750">
      <w:pPr>
        <w:pStyle w:val="Notes"/>
      </w:pPr>
      <w:r>
        <w:t>(a)</w:t>
      </w:r>
      <w:r>
        <w:tab/>
        <w:t>Certain December 2014 comparative figures have been restated to reflect more current information.</w:t>
      </w:r>
    </w:p>
    <w:p w:rsidR="008D5D2B" w:rsidRDefault="008D5D2B" w:rsidP="003E6750">
      <w:pPr>
        <w:pStyle w:val="Tableheading"/>
      </w:pPr>
    </w:p>
    <w:p w:rsidR="00BB67AF" w:rsidRDefault="00BB67AF" w:rsidP="003E6750">
      <w:pPr>
        <w:pStyle w:val="Tableheading"/>
      </w:pPr>
      <w:r w:rsidRPr="00C107C8">
        <w:t xml:space="preserve">(b) </w:t>
      </w:r>
      <w:r w:rsidRPr="00C107C8">
        <w:tab/>
        <w:t>Reconciliation of net result to net cash flows from operating activities</w:t>
      </w:r>
    </w:p>
    <w:p w:rsidR="00BB67AF" w:rsidRPr="006E014F" w:rsidRDefault="00BB67AF" w:rsidP="003E6750">
      <w:pPr>
        <w:pStyle w:val="million"/>
        <w:rPr>
          <w:b/>
          <w:bCs/>
          <w:lang w:val="en-US"/>
        </w:rPr>
      </w:pPr>
      <w:r>
        <w:t>($ million)</w:t>
      </w:r>
    </w:p>
    <w:tbl>
      <w:tblPr>
        <w:tblW w:w="9694" w:type="dxa"/>
        <w:tblInd w:w="45" w:type="dxa"/>
        <w:tblLayout w:type="fixed"/>
        <w:tblCellMar>
          <w:left w:w="45" w:type="dxa"/>
          <w:right w:w="45" w:type="dxa"/>
        </w:tblCellMar>
        <w:tblLook w:val="0000" w:firstRow="0" w:lastRow="0" w:firstColumn="0" w:lastColumn="0" w:noHBand="0" w:noVBand="0"/>
      </w:tblPr>
      <w:tblGrid>
        <w:gridCol w:w="5140"/>
        <w:gridCol w:w="840"/>
        <w:gridCol w:w="278"/>
        <w:gridCol w:w="1123"/>
        <w:gridCol w:w="1117"/>
        <w:gridCol w:w="1196"/>
      </w:tblGrid>
      <w:tr w:rsidR="008D5D2B" w:rsidRPr="00645124" w:rsidTr="008D5D2B">
        <w:trPr>
          <w:tblHeader/>
        </w:trPr>
        <w:tc>
          <w:tcPr>
            <w:tcW w:w="5140" w:type="dxa"/>
            <w:tcBorders>
              <w:top w:val="nil"/>
              <w:left w:val="nil"/>
              <w:bottom w:val="nil"/>
              <w:right w:val="nil"/>
            </w:tcBorders>
            <w:shd w:val="solid" w:color="000000" w:fill="auto"/>
            <w:vAlign w:val="bottom"/>
          </w:tcPr>
          <w:p w:rsidR="008D5D2B" w:rsidRPr="00645124" w:rsidRDefault="008D5D2B" w:rsidP="003E675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2241" w:type="dxa"/>
            <w:gridSpan w:val="3"/>
            <w:tcBorders>
              <w:top w:val="nil"/>
              <w:left w:val="nil"/>
              <w:bottom w:val="nil"/>
              <w:right w:val="nil"/>
            </w:tcBorders>
            <w:shd w:val="solid" w:color="000000" w:fill="auto"/>
            <w:vAlign w:val="bottom"/>
          </w:tcPr>
          <w:p w:rsidR="008D5D2B" w:rsidRPr="00645124" w:rsidRDefault="008D5D2B" w:rsidP="003E6750">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State of Victoria</w:t>
            </w:r>
          </w:p>
        </w:tc>
        <w:tc>
          <w:tcPr>
            <w:tcW w:w="2313" w:type="dxa"/>
            <w:gridSpan w:val="2"/>
            <w:tcBorders>
              <w:top w:val="nil"/>
              <w:left w:val="nil"/>
              <w:bottom w:val="nil"/>
              <w:right w:val="nil"/>
            </w:tcBorders>
            <w:shd w:val="solid" w:color="000000" w:fill="auto"/>
            <w:vAlign w:val="bottom"/>
          </w:tcPr>
          <w:p w:rsidR="008D5D2B" w:rsidRPr="00645124" w:rsidRDefault="008D5D2B" w:rsidP="008D5D2B">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General </w:t>
            </w:r>
            <w:r w:rsidRPr="00645124">
              <w:rPr>
                <w:rFonts w:ascii="Calibri" w:eastAsiaTheme="minorEastAsia" w:hAnsi="Calibri" w:cs="Calibri"/>
                <w:i/>
                <w:iCs/>
                <w:color w:val="FFFFFF"/>
                <w:sz w:val="22"/>
                <w:szCs w:val="22"/>
                <w:lang w:eastAsia="en-AU"/>
              </w:rPr>
              <w:br/>
              <w:t>government sector</w:t>
            </w:r>
          </w:p>
        </w:tc>
      </w:tr>
      <w:tr w:rsidR="008D5D2B" w:rsidRPr="00645124" w:rsidTr="008D5D2B">
        <w:trPr>
          <w:trHeight w:val="537"/>
          <w:tblHeader/>
        </w:trPr>
        <w:tc>
          <w:tcPr>
            <w:tcW w:w="5140"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1118" w:type="dxa"/>
            <w:gridSpan w:val="2"/>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Dec</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23"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Dec</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2014 </w:t>
            </w:r>
            <w:r w:rsidRPr="00645124">
              <w:rPr>
                <w:rFonts w:ascii="Calibri" w:eastAsiaTheme="minorEastAsia" w:hAnsi="Calibri" w:cs="Calibri"/>
                <w:i/>
                <w:iCs/>
                <w:color w:val="FFFFFF"/>
                <w:sz w:val="22"/>
                <w:szCs w:val="22"/>
                <w:vertAlign w:val="superscript"/>
                <w:lang w:eastAsia="en-AU"/>
              </w:rPr>
              <w:t>(a)</w:t>
            </w:r>
          </w:p>
        </w:tc>
        <w:tc>
          <w:tcPr>
            <w:tcW w:w="1117"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Dec</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p>
        </w:tc>
        <w:tc>
          <w:tcPr>
            <w:tcW w:w="1196"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Dec</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2014 </w:t>
            </w:r>
            <w:r w:rsidRPr="00645124">
              <w:rPr>
                <w:rFonts w:ascii="Calibri" w:eastAsiaTheme="minorEastAsia" w:hAnsi="Calibri" w:cs="Calibri"/>
                <w:i/>
                <w:iCs/>
                <w:color w:val="FFFFFF"/>
                <w:sz w:val="22"/>
                <w:szCs w:val="22"/>
                <w:vertAlign w:val="superscript"/>
                <w:lang w:eastAsia="en-AU"/>
              </w:rPr>
              <w:t>(a)</w:t>
            </w:r>
          </w:p>
        </w:tc>
      </w:tr>
      <w:tr w:rsidR="00BB67AF" w:rsidRPr="00645124" w:rsidTr="008D5D2B">
        <w:tc>
          <w:tcPr>
            <w:tcW w:w="514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Net result</w:t>
            </w:r>
          </w:p>
        </w:tc>
        <w:tc>
          <w:tcPr>
            <w:tcW w:w="1118"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542</w:t>
            </w:r>
          </w:p>
        </w:tc>
        <w:tc>
          <w:tcPr>
            <w:tcW w:w="112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(1 779)</w:t>
            </w:r>
          </w:p>
        </w:tc>
        <w:tc>
          <w:tcPr>
            <w:tcW w:w="111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1 239</w:t>
            </w:r>
          </w:p>
        </w:tc>
        <w:tc>
          <w:tcPr>
            <w:tcW w:w="119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191</w:t>
            </w:r>
          </w:p>
        </w:tc>
      </w:tr>
      <w:tr w:rsidR="00BB67AF" w:rsidRPr="00645124" w:rsidTr="008D5D2B">
        <w:tc>
          <w:tcPr>
            <w:tcW w:w="514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Non-cash movements</w:t>
            </w:r>
          </w:p>
        </w:tc>
        <w:tc>
          <w:tcPr>
            <w:tcW w:w="1118"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123" w:type="dxa"/>
            <w:tcBorders>
              <w:top w:val="nil"/>
              <w:left w:val="nil"/>
              <w:right w:val="nil"/>
            </w:tcBorders>
            <w:shd w:val="clear" w:color="auto" w:fill="FFFFFF"/>
          </w:tcPr>
          <w:p w:rsidR="00BB67AF" w:rsidRPr="00645124" w:rsidRDefault="00BB67AF" w:rsidP="003E6750">
            <w:pPr>
              <w:autoSpaceDE w:val="0"/>
              <w:autoSpaceDN w:val="0"/>
              <w:adjustRightInd w:val="0"/>
              <w:spacing w:after="0"/>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117" w:type="dxa"/>
            <w:tcBorders>
              <w:top w:val="nil"/>
              <w:left w:val="nil"/>
              <w:right w:val="nil"/>
            </w:tcBorders>
            <w:shd w:val="clear" w:color="auto" w:fill="FFFFFF"/>
          </w:tcPr>
          <w:p w:rsidR="00BB67AF" w:rsidRPr="00645124" w:rsidRDefault="00BB67AF" w:rsidP="003E6750">
            <w:pPr>
              <w:autoSpaceDE w:val="0"/>
              <w:autoSpaceDN w:val="0"/>
              <w:adjustRightInd w:val="0"/>
              <w:spacing w:after="0"/>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196" w:type="dxa"/>
            <w:tcBorders>
              <w:top w:val="nil"/>
              <w:left w:val="nil"/>
              <w:right w:val="nil"/>
            </w:tcBorders>
            <w:shd w:val="clear" w:color="auto" w:fill="FFFFFF"/>
          </w:tcPr>
          <w:p w:rsidR="00BB67AF" w:rsidRPr="00645124" w:rsidRDefault="00BB67AF" w:rsidP="003E6750">
            <w:pPr>
              <w:autoSpaceDE w:val="0"/>
              <w:autoSpaceDN w:val="0"/>
              <w:adjustRightInd w:val="0"/>
              <w:spacing w:after="0"/>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r>
      <w:tr w:rsidR="00BB67AF" w:rsidRPr="00645124" w:rsidTr="008D5D2B">
        <w:tc>
          <w:tcPr>
            <w:tcW w:w="514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Depreciation and amortisation</w:t>
            </w:r>
          </w:p>
        </w:tc>
        <w:tc>
          <w:tcPr>
            <w:tcW w:w="1118"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2 339</w:t>
            </w:r>
          </w:p>
        </w:tc>
        <w:tc>
          <w:tcPr>
            <w:tcW w:w="112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2 206</w:t>
            </w:r>
          </w:p>
        </w:tc>
        <w:tc>
          <w:tcPr>
            <w:tcW w:w="111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1 203</w:t>
            </w:r>
          </w:p>
        </w:tc>
        <w:tc>
          <w:tcPr>
            <w:tcW w:w="119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1 202</w:t>
            </w:r>
          </w:p>
        </w:tc>
      </w:tr>
      <w:tr w:rsidR="00BB67AF" w:rsidRPr="00645124" w:rsidTr="008D5D2B">
        <w:tc>
          <w:tcPr>
            <w:tcW w:w="514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Revaluation of investments</w:t>
            </w:r>
          </w:p>
        </w:tc>
        <w:tc>
          <w:tcPr>
            <w:tcW w:w="1118"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148</w:t>
            </w:r>
          </w:p>
        </w:tc>
        <w:tc>
          <w:tcPr>
            <w:tcW w:w="112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(1 060)</w:t>
            </w:r>
          </w:p>
        </w:tc>
        <w:tc>
          <w:tcPr>
            <w:tcW w:w="111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21</w:t>
            </w:r>
          </w:p>
        </w:tc>
        <w:tc>
          <w:tcPr>
            <w:tcW w:w="119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(21)</w:t>
            </w:r>
          </w:p>
        </w:tc>
      </w:tr>
      <w:tr w:rsidR="00BB67AF" w:rsidRPr="00645124" w:rsidTr="008D5D2B">
        <w:tc>
          <w:tcPr>
            <w:tcW w:w="514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Assets (received)/provided free of charge</w:t>
            </w:r>
          </w:p>
        </w:tc>
        <w:tc>
          <w:tcPr>
            <w:tcW w:w="1118"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(95)</w:t>
            </w:r>
          </w:p>
        </w:tc>
        <w:tc>
          <w:tcPr>
            <w:tcW w:w="112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(57)</w:t>
            </w:r>
          </w:p>
        </w:tc>
        <w:tc>
          <w:tcPr>
            <w:tcW w:w="111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w:t>
            </w:r>
          </w:p>
        </w:tc>
        <w:tc>
          <w:tcPr>
            <w:tcW w:w="119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w:t>
            </w:r>
          </w:p>
        </w:tc>
      </w:tr>
      <w:tr w:rsidR="00BB67AF" w:rsidRPr="00645124" w:rsidTr="008D5D2B">
        <w:tc>
          <w:tcPr>
            <w:tcW w:w="514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Assets not previously recognised</w:t>
            </w:r>
          </w:p>
        </w:tc>
        <w:tc>
          <w:tcPr>
            <w:tcW w:w="1118"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w:t>
            </w:r>
          </w:p>
        </w:tc>
        <w:tc>
          <w:tcPr>
            <w:tcW w:w="112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w:t>
            </w:r>
          </w:p>
        </w:tc>
        <w:tc>
          <w:tcPr>
            <w:tcW w:w="111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w:t>
            </w:r>
          </w:p>
        </w:tc>
        <w:tc>
          <w:tcPr>
            <w:tcW w:w="119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w:t>
            </w:r>
          </w:p>
        </w:tc>
      </w:tr>
      <w:tr w:rsidR="00BB67AF" w:rsidRPr="00645124" w:rsidTr="008D5D2B">
        <w:tc>
          <w:tcPr>
            <w:tcW w:w="514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Revaluation of assets</w:t>
            </w:r>
          </w:p>
        </w:tc>
        <w:tc>
          <w:tcPr>
            <w:tcW w:w="1118"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w:t>
            </w:r>
          </w:p>
        </w:tc>
        <w:tc>
          <w:tcPr>
            <w:tcW w:w="112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102</w:t>
            </w:r>
          </w:p>
        </w:tc>
        <w:tc>
          <w:tcPr>
            <w:tcW w:w="111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w:t>
            </w:r>
          </w:p>
        </w:tc>
        <w:tc>
          <w:tcPr>
            <w:tcW w:w="119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102</w:t>
            </w:r>
          </w:p>
        </w:tc>
      </w:tr>
      <w:tr w:rsidR="00BB67AF" w:rsidRPr="00645124" w:rsidTr="008D5D2B">
        <w:tc>
          <w:tcPr>
            <w:tcW w:w="514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Discount/premium on other financial assets/borrowings</w:t>
            </w:r>
          </w:p>
        </w:tc>
        <w:tc>
          <w:tcPr>
            <w:tcW w:w="1118"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(41)</w:t>
            </w:r>
          </w:p>
        </w:tc>
        <w:tc>
          <w:tcPr>
            <w:tcW w:w="112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(61)</w:t>
            </w:r>
          </w:p>
        </w:tc>
        <w:tc>
          <w:tcPr>
            <w:tcW w:w="111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w:t>
            </w:r>
          </w:p>
        </w:tc>
        <w:tc>
          <w:tcPr>
            <w:tcW w:w="119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w:t>
            </w:r>
          </w:p>
        </w:tc>
      </w:tr>
      <w:tr w:rsidR="00BB67AF" w:rsidRPr="00645124" w:rsidTr="008D5D2B">
        <w:tc>
          <w:tcPr>
            <w:tcW w:w="514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Bad/doubtful debts</w:t>
            </w:r>
          </w:p>
        </w:tc>
        <w:tc>
          <w:tcPr>
            <w:tcW w:w="1118"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2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1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9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8D5D2B">
        <w:tc>
          <w:tcPr>
            <w:tcW w:w="514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Foreign currency dealings</w:t>
            </w:r>
          </w:p>
        </w:tc>
        <w:tc>
          <w:tcPr>
            <w:tcW w:w="1118"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w:t>
            </w:r>
          </w:p>
        </w:tc>
        <w:tc>
          <w:tcPr>
            <w:tcW w:w="112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1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w:t>
            </w:r>
          </w:p>
        </w:tc>
        <w:tc>
          <w:tcPr>
            <w:tcW w:w="119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8D5D2B">
        <w:tc>
          <w:tcPr>
            <w:tcW w:w="514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Unrealised (gains)/losses on borrowings</w:t>
            </w:r>
          </w:p>
        </w:tc>
        <w:tc>
          <w:tcPr>
            <w:tcW w:w="1118"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(44)</w:t>
            </w:r>
          </w:p>
        </w:tc>
        <w:tc>
          <w:tcPr>
            <w:tcW w:w="112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1 318</w:t>
            </w:r>
          </w:p>
        </w:tc>
        <w:tc>
          <w:tcPr>
            <w:tcW w:w="111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9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8D5D2B">
        <w:tc>
          <w:tcPr>
            <w:tcW w:w="5140"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Discounting of assets and liabilities</w:t>
            </w:r>
          </w:p>
        </w:tc>
        <w:tc>
          <w:tcPr>
            <w:tcW w:w="1118"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23"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17"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96"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8D5D2B">
        <w:tc>
          <w:tcPr>
            <w:tcW w:w="5980" w:type="dxa"/>
            <w:gridSpan w:val="2"/>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Movements included in investing and financing activities</w:t>
            </w:r>
          </w:p>
        </w:tc>
        <w:tc>
          <w:tcPr>
            <w:tcW w:w="278"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123"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117"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196"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r>
      <w:tr w:rsidR="00BB67AF" w:rsidRPr="00645124" w:rsidTr="008D5D2B">
        <w:tc>
          <w:tcPr>
            <w:tcW w:w="514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Net gain/loss from sale of investments</w:t>
            </w:r>
          </w:p>
        </w:tc>
        <w:tc>
          <w:tcPr>
            <w:tcW w:w="1118"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250</w:t>
            </w:r>
          </w:p>
        </w:tc>
        <w:tc>
          <w:tcPr>
            <w:tcW w:w="112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(114)</w:t>
            </w:r>
          </w:p>
        </w:tc>
        <w:tc>
          <w:tcPr>
            <w:tcW w:w="111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w:t>
            </w:r>
          </w:p>
        </w:tc>
        <w:tc>
          <w:tcPr>
            <w:tcW w:w="119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(14)</w:t>
            </w:r>
          </w:p>
        </w:tc>
      </w:tr>
      <w:tr w:rsidR="00BB67AF" w:rsidRPr="00645124" w:rsidTr="008D5D2B">
        <w:tc>
          <w:tcPr>
            <w:tcW w:w="514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Net revenues from sale of non-financial assets</w:t>
            </w:r>
          </w:p>
        </w:tc>
        <w:tc>
          <w:tcPr>
            <w:tcW w:w="1118"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w:t>
            </w:r>
          </w:p>
        </w:tc>
        <w:tc>
          <w:tcPr>
            <w:tcW w:w="112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(29)</w:t>
            </w:r>
          </w:p>
        </w:tc>
        <w:tc>
          <w:tcPr>
            <w:tcW w:w="111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(11)</w:t>
            </w:r>
          </w:p>
        </w:tc>
        <w:tc>
          <w:tcPr>
            <w:tcW w:w="119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(26)</w:t>
            </w:r>
          </w:p>
        </w:tc>
      </w:tr>
      <w:tr w:rsidR="00BB67AF" w:rsidRPr="00645124" w:rsidTr="008D5D2B">
        <w:tc>
          <w:tcPr>
            <w:tcW w:w="514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Net revenues from sale of investments</w:t>
            </w:r>
          </w:p>
        </w:tc>
        <w:tc>
          <w:tcPr>
            <w:tcW w:w="1118"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w:t>
            </w:r>
          </w:p>
        </w:tc>
        <w:tc>
          <w:tcPr>
            <w:tcW w:w="112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12</w:t>
            </w:r>
          </w:p>
        </w:tc>
        <w:tc>
          <w:tcPr>
            <w:tcW w:w="111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9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8D5D2B">
        <w:tc>
          <w:tcPr>
            <w:tcW w:w="514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Movements in assets and liabilities</w:t>
            </w:r>
          </w:p>
        </w:tc>
        <w:tc>
          <w:tcPr>
            <w:tcW w:w="1118"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123" w:type="dxa"/>
            <w:tcBorders>
              <w:top w:val="nil"/>
              <w:left w:val="nil"/>
              <w:right w:val="nil"/>
            </w:tcBorders>
            <w:shd w:val="clear" w:color="auto" w:fill="FFFFFF"/>
          </w:tcPr>
          <w:p w:rsidR="00BB67AF" w:rsidRPr="00645124" w:rsidRDefault="00BB67AF" w:rsidP="003E6750">
            <w:pPr>
              <w:autoSpaceDE w:val="0"/>
              <w:autoSpaceDN w:val="0"/>
              <w:adjustRightInd w:val="0"/>
              <w:spacing w:after="0"/>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117" w:type="dxa"/>
            <w:tcBorders>
              <w:top w:val="nil"/>
              <w:left w:val="nil"/>
              <w:right w:val="nil"/>
            </w:tcBorders>
            <w:shd w:val="clear" w:color="auto" w:fill="FFFFFF"/>
          </w:tcPr>
          <w:p w:rsidR="00BB67AF" w:rsidRPr="00645124" w:rsidRDefault="00BB67AF" w:rsidP="003E6750">
            <w:pPr>
              <w:autoSpaceDE w:val="0"/>
              <w:autoSpaceDN w:val="0"/>
              <w:adjustRightInd w:val="0"/>
              <w:spacing w:after="0"/>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196" w:type="dxa"/>
            <w:tcBorders>
              <w:top w:val="nil"/>
              <w:left w:val="nil"/>
              <w:right w:val="nil"/>
            </w:tcBorders>
            <w:shd w:val="clear" w:color="auto" w:fill="FFFFFF"/>
          </w:tcPr>
          <w:p w:rsidR="00BB67AF" w:rsidRPr="00645124" w:rsidRDefault="00BB67AF" w:rsidP="003E6750">
            <w:pPr>
              <w:autoSpaceDE w:val="0"/>
              <w:autoSpaceDN w:val="0"/>
              <w:adjustRightInd w:val="0"/>
              <w:spacing w:after="0"/>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r>
      <w:tr w:rsidR="00BB67AF" w:rsidRPr="00645124" w:rsidTr="008D5D2B">
        <w:tc>
          <w:tcPr>
            <w:tcW w:w="514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Increase/(decrease) in provision for doubtful debts</w:t>
            </w:r>
          </w:p>
        </w:tc>
        <w:tc>
          <w:tcPr>
            <w:tcW w:w="1118"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46</w:t>
            </w:r>
          </w:p>
        </w:tc>
        <w:tc>
          <w:tcPr>
            <w:tcW w:w="112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12</w:t>
            </w:r>
          </w:p>
        </w:tc>
        <w:tc>
          <w:tcPr>
            <w:tcW w:w="111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47</w:t>
            </w:r>
          </w:p>
        </w:tc>
        <w:tc>
          <w:tcPr>
            <w:tcW w:w="119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13</w:t>
            </w:r>
          </w:p>
        </w:tc>
      </w:tr>
      <w:tr w:rsidR="00BB67AF" w:rsidRPr="00645124" w:rsidTr="008D5D2B">
        <w:tc>
          <w:tcPr>
            <w:tcW w:w="514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Increase/(decrease) in payables </w:t>
            </w:r>
          </w:p>
        </w:tc>
        <w:tc>
          <w:tcPr>
            <w:tcW w:w="1118"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702</w:t>
            </w:r>
          </w:p>
        </w:tc>
        <w:tc>
          <w:tcPr>
            <w:tcW w:w="112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1 034</w:t>
            </w:r>
          </w:p>
        </w:tc>
        <w:tc>
          <w:tcPr>
            <w:tcW w:w="111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(307)</w:t>
            </w:r>
          </w:p>
        </w:tc>
        <w:tc>
          <w:tcPr>
            <w:tcW w:w="119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(50)</w:t>
            </w:r>
          </w:p>
        </w:tc>
      </w:tr>
      <w:tr w:rsidR="00BB67AF" w:rsidRPr="00645124" w:rsidTr="008D5D2B">
        <w:tc>
          <w:tcPr>
            <w:tcW w:w="514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Increase/(decrease) in employee benefits</w:t>
            </w:r>
          </w:p>
        </w:tc>
        <w:tc>
          <w:tcPr>
            <w:tcW w:w="1118"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147</w:t>
            </w:r>
          </w:p>
        </w:tc>
        <w:tc>
          <w:tcPr>
            <w:tcW w:w="112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109</w:t>
            </w:r>
          </w:p>
        </w:tc>
        <w:tc>
          <w:tcPr>
            <w:tcW w:w="111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164</w:t>
            </w:r>
          </w:p>
        </w:tc>
        <w:tc>
          <w:tcPr>
            <w:tcW w:w="119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133</w:t>
            </w:r>
          </w:p>
        </w:tc>
      </w:tr>
      <w:tr w:rsidR="00BB67AF" w:rsidRPr="00645124" w:rsidTr="008D5D2B">
        <w:tc>
          <w:tcPr>
            <w:tcW w:w="514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Increase/(decrease) in superannuation</w:t>
            </w:r>
          </w:p>
        </w:tc>
        <w:tc>
          <w:tcPr>
            <w:tcW w:w="1118"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70</w:t>
            </w:r>
          </w:p>
        </w:tc>
        <w:tc>
          <w:tcPr>
            <w:tcW w:w="112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125</w:t>
            </w:r>
          </w:p>
        </w:tc>
        <w:tc>
          <w:tcPr>
            <w:tcW w:w="111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72</w:t>
            </w:r>
          </w:p>
        </w:tc>
        <w:tc>
          <w:tcPr>
            <w:tcW w:w="119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126</w:t>
            </w:r>
          </w:p>
        </w:tc>
      </w:tr>
      <w:tr w:rsidR="00BB67AF" w:rsidRPr="00645124" w:rsidTr="008D5D2B">
        <w:tc>
          <w:tcPr>
            <w:tcW w:w="514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Increase/(decrease) in other provisions</w:t>
            </w:r>
          </w:p>
        </w:tc>
        <w:tc>
          <w:tcPr>
            <w:tcW w:w="1118"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891</w:t>
            </w:r>
          </w:p>
        </w:tc>
        <w:tc>
          <w:tcPr>
            <w:tcW w:w="112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1 691</w:t>
            </w:r>
          </w:p>
        </w:tc>
        <w:tc>
          <w:tcPr>
            <w:tcW w:w="111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9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57</w:t>
            </w:r>
          </w:p>
        </w:tc>
      </w:tr>
      <w:tr w:rsidR="00BB67AF" w:rsidRPr="00645124" w:rsidTr="008D5D2B">
        <w:tc>
          <w:tcPr>
            <w:tcW w:w="5140"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(Increase)/decrease in receivables </w:t>
            </w:r>
          </w:p>
        </w:tc>
        <w:tc>
          <w:tcPr>
            <w:tcW w:w="1118"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(992)</w:t>
            </w:r>
          </w:p>
        </w:tc>
        <w:tc>
          <w:tcPr>
            <w:tcW w:w="1123"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(518)</w:t>
            </w:r>
          </w:p>
        </w:tc>
        <w:tc>
          <w:tcPr>
            <w:tcW w:w="1117"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(399)</w:t>
            </w:r>
          </w:p>
        </w:tc>
        <w:tc>
          <w:tcPr>
            <w:tcW w:w="119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(74)</w:t>
            </w:r>
          </w:p>
        </w:tc>
      </w:tr>
      <w:tr w:rsidR="00BB67AF" w:rsidRPr="00645124" w:rsidTr="008D5D2B">
        <w:tc>
          <w:tcPr>
            <w:tcW w:w="5140"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(Increase)/decrease in other non-financial assets</w:t>
            </w:r>
          </w:p>
        </w:tc>
        <w:tc>
          <w:tcPr>
            <w:tcW w:w="1118" w:type="dxa"/>
            <w:gridSpan w:val="2"/>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(238)</w:t>
            </w:r>
          </w:p>
        </w:tc>
        <w:tc>
          <w:tcPr>
            <w:tcW w:w="1123"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(245)</w:t>
            </w:r>
          </w:p>
        </w:tc>
        <w:tc>
          <w:tcPr>
            <w:tcW w:w="1117"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(209)</w:t>
            </w:r>
          </w:p>
        </w:tc>
        <w:tc>
          <w:tcPr>
            <w:tcW w:w="1196"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(310)</w:t>
            </w:r>
          </w:p>
        </w:tc>
      </w:tr>
      <w:tr w:rsidR="00BB67AF" w:rsidRPr="00645124" w:rsidTr="008D5D2B">
        <w:tc>
          <w:tcPr>
            <w:tcW w:w="5140" w:type="dxa"/>
            <w:tcBorders>
              <w:top w:val="single" w:sz="6" w:space="0" w:color="auto"/>
              <w:left w:val="nil"/>
              <w:bottom w:val="single" w:sz="12" w:space="0" w:color="auto"/>
              <w:right w:val="nil"/>
            </w:tcBorders>
            <w:shd w:val="clear" w:color="000000"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Net cash flows from operating activities</w:t>
            </w:r>
          </w:p>
        </w:tc>
        <w:tc>
          <w:tcPr>
            <w:tcW w:w="1118" w:type="dxa"/>
            <w:gridSpan w:val="2"/>
            <w:tcBorders>
              <w:top w:val="single" w:sz="6" w:space="0" w:color="auto"/>
              <w:left w:val="nil"/>
              <w:bottom w:val="single" w:sz="12" w:space="0" w:color="auto"/>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3 724</w:t>
            </w:r>
          </w:p>
        </w:tc>
        <w:tc>
          <w:tcPr>
            <w:tcW w:w="1123" w:type="dxa"/>
            <w:tcBorders>
              <w:top w:val="single" w:sz="6" w:space="0" w:color="auto"/>
              <w:left w:val="nil"/>
              <w:bottom w:val="single" w:sz="12" w:space="0" w:color="auto"/>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2 746</w:t>
            </w:r>
          </w:p>
        </w:tc>
        <w:tc>
          <w:tcPr>
            <w:tcW w:w="1117" w:type="dxa"/>
            <w:tcBorders>
              <w:top w:val="single" w:sz="6" w:space="0" w:color="auto"/>
              <w:left w:val="nil"/>
              <w:bottom w:val="single" w:sz="12" w:space="0" w:color="auto"/>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1 821</w:t>
            </w:r>
          </w:p>
        </w:tc>
        <w:tc>
          <w:tcPr>
            <w:tcW w:w="1196" w:type="dxa"/>
            <w:tcBorders>
              <w:top w:val="single" w:sz="6" w:space="0" w:color="auto"/>
              <w:left w:val="nil"/>
              <w:bottom w:val="single" w:sz="12" w:space="0" w:color="auto"/>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1 332</w:t>
            </w:r>
          </w:p>
        </w:tc>
      </w:tr>
    </w:tbl>
    <w:p w:rsidR="00BB67AF" w:rsidRDefault="00BB67AF" w:rsidP="003E6750">
      <w:pPr>
        <w:pStyle w:val="Notes"/>
      </w:pPr>
      <w:r>
        <w:t>Note:</w:t>
      </w:r>
    </w:p>
    <w:p w:rsidR="00BB67AF" w:rsidRPr="00717E8D" w:rsidRDefault="00BB67AF" w:rsidP="003E6750">
      <w:pPr>
        <w:pStyle w:val="Notes"/>
      </w:pPr>
      <w:r>
        <w:t>(a)</w:t>
      </w:r>
      <w:r>
        <w:tab/>
        <w:t xml:space="preserve">Certain December 2014 comparative figures have been restated to reflect more current information, mainly including adjustments outlined in Note 37 of the </w:t>
      </w:r>
      <w:r>
        <w:rPr>
          <w:i w:val="0"/>
        </w:rPr>
        <w:t>2014</w:t>
      </w:r>
      <w:r>
        <w:rPr>
          <w:i w:val="0"/>
        </w:rPr>
        <w:noBreakHyphen/>
        <w:t>15 Financial Report</w:t>
      </w:r>
      <w:r>
        <w:t>.</w:t>
      </w:r>
    </w:p>
    <w:p w:rsidR="00BB67AF" w:rsidRDefault="00BB67AF">
      <w:pPr>
        <w:spacing w:after="0"/>
      </w:pPr>
    </w:p>
    <w:p w:rsidR="00BB67AF" w:rsidRDefault="00BB67AF" w:rsidP="003E6750">
      <w:pPr>
        <w:pStyle w:val="Heading2Notes"/>
      </w:pPr>
      <w:bookmarkStart w:id="37" w:name="_Toc445283186"/>
      <w:r>
        <w:lastRenderedPageBreak/>
        <w:t xml:space="preserve">Note 28: </w:t>
      </w:r>
      <w:r>
        <w:tab/>
        <w:t>Financial instruments</w:t>
      </w:r>
      <w:bookmarkEnd w:id="37"/>
    </w:p>
    <w:p w:rsidR="00BB67AF" w:rsidRDefault="00BB67AF" w:rsidP="003E6750">
      <w:r>
        <w:t xml:space="preserve">Note 33 in Chapter 4 of the </w:t>
      </w:r>
      <w:r w:rsidRPr="00C107C8">
        <w:rPr>
          <w:i/>
        </w:rPr>
        <w:t>2014</w:t>
      </w:r>
      <w:r>
        <w:rPr>
          <w:i/>
        </w:rPr>
        <w:noBreakHyphen/>
      </w:r>
      <w:r w:rsidRPr="00C107C8">
        <w:rPr>
          <w:i/>
        </w:rPr>
        <w:t xml:space="preserve">15 Financial Report </w:t>
      </w:r>
      <w:r w:rsidRPr="000014D7">
        <w:t xml:space="preserve">for the State of Victoria </w:t>
      </w:r>
      <w:r>
        <w:t>contains a comprehensive disclosure of the State’s financial risk management objectives and policies.</w:t>
      </w:r>
    </w:p>
    <w:p w:rsidR="00BB67AF" w:rsidRPr="000014D7" w:rsidRDefault="00BB67AF" w:rsidP="003E6750">
      <w:r>
        <w:t xml:space="preserve">There has been no substantive change to the accounting classification of financial assets and liabilities reported in the </w:t>
      </w:r>
      <w:r w:rsidRPr="00C107C8">
        <w:rPr>
          <w:i/>
        </w:rPr>
        <w:t>2014</w:t>
      </w:r>
      <w:r>
        <w:rPr>
          <w:i/>
        </w:rPr>
        <w:noBreakHyphen/>
      </w:r>
      <w:r w:rsidRPr="00C107C8">
        <w:rPr>
          <w:i/>
        </w:rPr>
        <w:t xml:space="preserve">15 Financial Report </w:t>
      </w:r>
      <w:r w:rsidRPr="000014D7">
        <w:t>for the State of Victoria.</w:t>
      </w:r>
    </w:p>
    <w:p w:rsidR="00BB67AF" w:rsidRDefault="00BB67AF" w:rsidP="003E6750"/>
    <w:p w:rsidR="00BB67AF" w:rsidRDefault="00BB67AF" w:rsidP="003E6750"/>
    <w:p w:rsidR="00BB67AF" w:rsidRDefault="00BB67AF" w:rsidP="003E6750">
      <w:pPr>
        <w:pStyle w:val="Heading2Notes"/>
      </w:pPr>
      <w:bookmarkStart w:id="38" w:name="_Toc445283187"/>
      <w:r>
        <w:t xml:space="preserve">Note 29: </w:t>
      </w:r>
      <w:r>
        <w:tab/>
        <w:t>Commitments</w:t>
      </w:r>
      <w:bookmarkEnd w:id="38"/>
    </w:p>
    <w:p w:rsidR="00BB67AF" w:rsidRDefault="00BB67AF" w:rsidP="003E6750">
      <w:r>
        <w:t>Commitments include those operating, capital and other commitments contracted as at balance date but not recognised as liabilities, arising from non</w:t>
      </w:r>
      <w:r>
        <w:noBreakHyphen/>
        <w:t>cancellable, contractual or statutory sources, and which embody obligations to sacrifice of future economic benefits.</w:t>
      </w:r>
    </w:p>
    <w:p w:rsidR="00BB67AF" w:rsidRDefault="00BB67AF" w:rsidP="003E6750">
      <w:r>
        <w:t xml:space="preserve">Reference to the </w:t>
      </w:r>
      <w:r w:rsidRPr="00C107C8">
        <w:rPr>
          <w:i/>
        </w:rPr>
        <w:t>2014</w:t>
      </w:r>
      <w:r>
        <w:rPr>
          <w:i/>
        </w:rPr>
        <w:noBreakHyphen/>
      </w:r>
      <w:r w:rsidRPr="00C107C8">
        <w:rPr>
          <w:i/>
        </w:rPr>
        <w:t xml:space="preserve">15 Financial Report </w:t>
      </w:r>
      <w:r w:rsidRPr="000014D7">
        <w:t xml:space="preserve">for the State of Victoria </w:t>
      </w:r>
      <w:r>
        <w:t>(Note 34) should be made for details of commitments as at 30 June 2015.</w:t>
      </w:r>
    </w:p>
    <w:p w:rsidR="00BB67AF" w:rsidRDefault="00BB67AF" w:rsidP="003E6750">
      <w:r>
        <w:t>As at 31 December 2015, the following additional material commitments were recorded for the State of Victoria:</w:t>
      </w:r>
    </w:p>
    <w:p w:rsidR="00BB67AF" w:rsidRDefault="00BB67AF" w:rsidP="003E6750">
      <w:pPr>
        <w:pStyle w:val="BulletText"/>
        <w:numPr>
          <w:ilvl w:val="0"/>
          <w:numId w:val="25"/>
        </w:numPr>
      </w:pPr>
      <w:r>
        <w:t xml:space="preserve">On 8 September 2015, the State entered an alliance between Metro Trains Melbourne, Public Transport Victoria, Leighton, </w:t>
      </w:r>
      <w:proofErr w:type="spellStart"/>
      <w:r>
        <w:t>Aurecon</w:t>
      </w:r>
      <w:proofErr w:type="spellEnd"/>
      <w:r>
        <w:t xml:space="preserve">, </w:t>
      </w:r>
      <w:proofErr w:type="spellStart"/>
      <w:r>
        <w:t>Hyder</w:t>
      </w:r>
      <w:proofErr w:type="spellEnd"/>
      <w:r>
        <w:t xml:space="preserve"> and VicRoads for the removal of level crossings at Blackburn, Main, Heatherdale and Furlong roads. The program, totalling $429 million, has a planned completion date of 31 May 2017.</w:t>
      </w:r>
    </w:p>
    <w:p w:rsidR="00BB67AF" w:rsidRDefault="00BB67AF" w:rsidP="003E6750">
      <w:pPr>
        <w:pStyle w:val="BulletText"/>
        <w:numPr>
          <w:ilvl w:val="0"/>
          <w:numId w:val="25"/>
        </w:numPr>
      </w:pPr>
      <w:r>
        <w:t>A $57 million contract was entered with TYCO Traffic and Transportation for traffic signals maintenance in the Melbourne metropolitan area was entered on 7 August 2015.</w:t>
      </w:r>
    </w:p>
    <w:p w:rsidR="00BB67AF" w:rsidRDefault="00BB67AF" w:rsidP="003E6750">
      <w:pPr>
        <w:pStyle w:val="BulletText"/>
        <w:numPr>
          <w:ilvl w:val="0"/>
          <w:numId w:val="25"/>
        </w:numPr>
      </w:pPr>
      <w:r>
        <w:t>Road Network Maintenance Alliance agreements for Eastern and South Western Regions totalling $378 million were entered into on 1 September 2015 with Fulton Hogan Industries Pty Ltd.</w:t>
      </w:r>
    </w:p>
    <w:p w:rsidR="00BB67AF" w:rsidRDefault="00BB67AF" w:rsidP="003E6750">
      <w:pPr>
        <w:pStyle w:val="BulletText"/>
        <w:numPr>
          <w:ilvl w:val="0"/>
          <w:numId w:val="25"/>
        </w:numPr>
      </w:pPr>
      <w:r>
        <w:t>The State has commenced the refurbishment of Rod Laver Arena (around $192 million) as part of the Melbourne Park Redevelopment Stage 2 Project. The contract was awarded to Lend Lease Building on 26 October 2015 and the work is expected to be completed in October 2019.</w:t>
      </w:r>
    </w:p>
    <w:p w:rsidR="00BB67AF" w:rsidRDefault="00BB67AF" w:rsidP="003E6750">
      <w:pPr>
        <w:pStyle w:val="BulletText"/>
        <w:numPr>
          <w:ilvl w:val="0"/>
          <w:numId w:val="25"/>
        </w:numPr>
      </w:pPr>
      <w:r>
        <w:t xml:space="preserve">The </w:t>
      </w:r>
      <w:proofErr w:type="spellStart"/>
      <w:r>
        <w:t>Aurecon</w:t>
      </w:r>
      <w:proofErr w:type="spellEnd"/>
      <w:r>
        <w:t xml:space="preserve"> Jacobs Mott MacDonald (AJM) joint venture contract for technical advisory services relating to the Melbourne Metro Rail Project was entered into on 30 October 2014 with an end date of 31 December 2029. The contract is structured on a staged basis. The initial contract value reflected delivery of part of Stage 1 services, and variations with a combined value of $80 million covering full completion of this stage and Stage 2 contract works were exercised in late 2015.</w:t>
      </w:r>
    </w:p>
    <w:p w:rsidR="00BB67AF" w:rsidRDefault="00BB67AF" w:rsidP="003E6750">
      <w:pPr>
        <w:pStyle w:val="BulletText"/>
        <w:numPr>
          <w:ilvl w:val="0"/>
          <w:numId w:val="25"/>
        </w:numPr>
      </w:pPr>
      <w:r>
        <w:t xml:space="preserve">The State entered into a contract with the Learning Communities Victoria consortium on 28 October 2015 to deliver the New Schools Public Private Partnership project. The Learning Communities Victoria consortium, including </w:t>
      </w:r>
      <w:proofErr w:type="spellStart"/>
      <w:r>
        <w:t>Watpac</w:t>
      </w:r>
      <w:proofErr w:type="spellEnd"/>
      <w:r>
        <w:t xml:space="preserve"> and Spotless, will design, build, finance and maintain 15 new schools over a contract term of 25 years. The present value of the minimum lease payments is $394 million. The present value of the other commitment is $172 million.</w:t>
      </w:r>
    </w:p>
    <w:p w:rsidR="00BB67AF" w:rsidRDefault="00BB67AF" w:rsidP="003E6750">
      <w:pPr>
        <w:pStyle w:val="BulletText"/>
        <w:numPr>
          <w:ilvl w:val="0"/>
          <w:numId w:val="25"/>
        </w:numPr>
      </w:pPr>
      <w:r>
        <w:t>The public private partnership agreement with G4S for the operations of Port Phillip Prison has been extended for 20 years from 2018 to 2037 ($3.7 billion).</w:t>
      </w:r>
    </w:p>
    <w:p w:rsidR="00BB67AF" w:rsidRDefault="00BB67AF" w:rsidP="003E6750">
      <w:pPr>
        <w:pStyle w:val="BulletText"/>
        <w:numPr>
          <w:ilvl w:val="0"/>
          <w:numId w:val="25"/>
        </w:numPr>
      </w:pPr>
      <w:r>
        <w:t>A five year contract extension and other contract variations to health service agreements with GEO consortium was signed on 24 November 2015 for an additional total amount of $67 million.</w:t>
      </w:r>
    </w:p>
    <w:p w:rsidR="00BB67AF" w:rsidRDefault="00BB67AF" w:rsidP="003E6750">
      <w:r>
        <w:t>There was no other material change in commitments for the State during this mid</w:t>
      </w:r>
      <w:r>
        <w:noBreakHyphen/>
        <w:t>year reporting period.</w:t>
      </w:r>
    </w:p>
    <w:p w:rsidR="00BB67AF" w:rsidRDefault="00BB67AF">
      <w:pPr>
        <w:spacing w:after="0"/>
        <w:rPr>
          <w:rFonts w:ascii="Calibri" w:hAnsi="Calibri"/>
          <w:b/>
          <w:kern w:val="28"/>
          <w:sz w:val="28"/>
          <w:szCs w:val="22"/>
        </w:rPr>
      </w:pPr>
      <w:r>
        <w:br w:type="page"/>
      </w:r>
    </w:p>
    <w:p w:rsidR="00BB67AF" w:rsidRDefault="00BB67AF" w:rsidP="003E6750">
      <w:pPr>
        <w:pStyle w:val="Heading2Notes"/>
      </w:pPr>
      <w:bookmarkStart w:id="39" w:name="_Toc445283188"/>
      <w:r>
        <w:lastRenderedPageBreak/>
        <w:t xml:space="preserve">Note 30: </w:t>
      </w:r>
      <w:r>
        <w:tab/>
        <w:t>Contingent assets and contingent liabilities</w:t>
      </w:r>
      <w:bookmarkEnd w:id="39"/>
      <w:r>
        <w:t xml:space="preserve"> </w:t>
      </w:r>
    </w:p>
    <w:p w:rsidR="00BB67AF" w:rsidRDefault="00BB67AF" w:rsidP="003E6750">
      <w:pPr>
        <w:pStyle w:val="Heading3"/>
      </w:pPr>
      <w:r>
        <w:t>Contingent assets</w:t>
      </w:r>
    </w:p>
    <w:p w:rsidR="00BB67AF" w:rsidRDefault="00BB67AF" w:rsidP="003E6750">
      <w:r>
        <w:t>Contingent assets are possible assets that arise from past events, whose existence will be confirmed only by the occurrence or non</w:t>
      </w:r>
      <w:r>
        <w:noBreakHyphen/>
        <w:t>occurrence of one or more uncertain future events not wholly within the control of the entity.</w:t>
      </w:r>
    </w:p>
    <w:p w:rsidR="00BB67AF" w:rsidRDefault="00BB67AF" w:rsidP="003E6750">
      <w:r>
        <w:t xml:space="preserve">Reference to the </w:t>
      </w:r>
      <w:r w:rsidRPr="00B3427E">
        <w:rPr>
          <w:i/>
        </w:rPr>
        <w:t>2014</w:t>
      </w:r>
      <w:r>
        <w:rPr>
          <w:i/>
        </w:rPr>
        <w:noBreakHyphen/>
      </w:r>
      <w:r w:rsidRPr="00B3427E">
        <w:rPr>
          <w:i/>
        </w:rPr>
        <w:t xml:space="preserve">15 Financial Report </w:t>
      </w:r>
      <w:r w:rsidRPr="000014D7">
        <w:t>for the State of Victoria (</w:t>
      </w:r>
      <w:r>
        <w:t>Note 35) should be made for details of contingent assets as at 30 June 2015.</w:t>
      </w:r>
    </w:p>
    <w:p w:rsidR="00BB67AF" w:rsidRDefault="00BB67AF" w:rsidP="003E6750">
      <w:r>
        <w:t>The following item has changed materially with regards to the contingent assets disclosed at 30 June 2015:</w:t>
      </w:r>
    </w:p>
    <w:p w:rsidR="00BB67AF" w:rsidRDefault="00BB67AF" w:rsidP="003E6750">
      <w:pPr>
        <w:pStyle w:val="BulletText"/>
        <w:numPr>
          <w:ilvl w:val="0"/>
          <w:numId w:val="25"/>
        </w:numPr>
      </w:pPr>
      <w:r>
        <w:t>On 2 March 2016 the High Court of Australia overturned the Court of Appeal’s decision relating to Tatts Group Limited’s (Tatts) ‘Gambling Licences’ proceedings. Tatts’ is liable to pay the State $540.5 million plus interest as a result of the decision, with this amount being reflected in the financial statements. The parties have exhausted all avenues of appeal and the proceedings are at an end.</w:t>
      </w:r>
    </w:p>
    <w:p w:rsidR="00BB67AF" w:rsidRDefault="00BB67AF" w:rsidP="003E6750">
      <w:pPr>
        <w:pStyle w:val="Heading3"/>
      </w:pPr>
      <w:r>
        <w:t>Contingent liabilities</w:t>
      </w:r>
    </w:p>
    <w:p w:rsidR="00BB67AF" w:rsidRDefault="00BB67AF" w:rsidP="003E6750">
      <w:r>
        <w:t>Contingent liabilities are:</w:t>
      </w:r>
    </w:p>
    <w:p w:rsidR="00BB67AF" w:rsidRDefault="00BB67AF" w:rsidP="003E6750">
      <w:pPr>
        <w:pStyle w:val="BulletText"/>
        <w:numPr>
          <w:ilvl w:val="0"/>
          <w:numId w:val="25"/>
        </w:numPr>
      </w:pPr>
      <w:r>
        <w:t>possible obligations that arise from past events, whose existence will be confirmed only by the occurrence or non</w:t>
      </w:r>
      <w:r>
        <w:noBreakHyphen/>
        <w:t>occurrence of one or more uncertain future events not wholly within the control of the entity; or</w:t>
      </w:r>
    </w:p>
    <w:p w:rsidR="00BB67AF" w:rsidRDefault="00BB67AF" w:rsidP="003E6750">
      <w:pPr>
        <w:pStyle w:val="BulletText"/>
        <w:numPr>
          <w:ilvl w:val="0"/>
          <w:numId w:val="25"/>
        </w:numPr>
      </w:pPr>
      <w:r>
        <w:t>present obligations that arise from past events but are not recognised because:</w:t>
      </w:r>
    </w:p>
    <w:p w:rsidR="00BB67AF" w:rsidRDefault="00BB67AF" w:rsidP="003E6750">
      <w:pPr>
        <w:pStyle w:val="DashText"/>
        <w:numPr>
          <w:ilvl w:val="1"/>
          <w:numId w:val="25"/>
        </w:numPr>
      </w:pPr>
      <w:r>
        <w:t>it is not probably that an outflow of resources embodying economic benefits will be required to settle the obligations; or</w:t>
      </w:r>
    </w:p>
    <w:p w:rsidR="00BB67AF" w:rsidRDefault="00BB67AF" w:rsidP="003E6750">
      <w:pPr>
        <w:pStyle w:val="DashText"/>
        <w:numPr>
          <w:ilvl w:val="1"/>
          <w:numId w:val="25"/>
        </w:numPr>
      </w:pPr>
      <w:r>
        <w:t>the amount of the obligations cannot be measured with sufficient reliability.</w:t>
      </w:r>
    </w:p>
    <w:p w:rsidR="00BB67AF" w:rsidRDefault="00BB67AF" w:rsidP="003E6750">
      <w:r>
        <w:t xml:space="preserve">Reference to the </w:t>
      </w:r>
      <w:r w:rsidRPr="00B3427E">
        <w:rPr>
          <w:i/>
        </w:rPr>
        <w:t>2014</w:t>
      </w:r>
      <w:r>
        <w:rPr>
          <w:i/>
        </w:rPr>
        <w:noBreakHyphen/>
      </w:r>
      <w:r w:rsidRPr="00B3427E">
        <w:rPr>
          <w:i/>
        </w:rPr>
        <w:t xml:space="preserve">15 Financial Report </w:t>
      </w:r>
      <w:r w:rsidRPr="000014D7">
        <w:t>for the State of Victoria (</w:t>
      </w:r>
      <w:r>
        <w:t>Note 35) should be made for details of contingent liabilities as at 30 June 2015.</w:t>
      </w:r>
    </w:p>
    <w:p w:rsidR="00BB67AF" w:rsidRDefault="00BB67AF" w:rsidP="003E6750">
      <w:r>
        <w:t>The following items have changed materially with regards to the contingent liabilities disclosed at 30 June 2015:</w:t>
      </w:r>
    </w:p>
    <w:p w:rsidR="00BB67AF" w:rsidRDefault="00BB67AF" w:rsidP="003E6750">
      <w:pPr>
        <w:pStyle w:val="BulletText"/>
        <w:numPr>
          <w:ilvl w:val="0"/>
          <w:numId w:val="25"/>
        </w:numPr>
      </w:pPr>
      <w:r>
        <w:t xml:space="preserve">The State has lodged its defence to </w:t>
      </w:r>
      <w:proofErr w:type="spellStart"/>
      <w:r>
        <w:t>Intralot’s</w:t>
      </w:r>
      <w:proofErr w:type="spellEnd"/>
      <w:r>
        <w:t xml:space="preserve"> claim that Tattersall’s Sweeps Pty Ltd was granted favourable treatment relating to public lottery licences. The matter has been listed for a directions hearing in the Supreme Court on 18 March 2016.</w:t>
      </w:r>
    </w:p>
    <w:p w:rsidR="00BB67AF" w:rsidRDefault="00BB67AF" w:rsidP="003E6750">
      <w:pPr>
        <w:pStyle w:val="BulletText"/>
        <w:numPr>
          <w:ilvl w:val="0"/>
          <w:numId w:val="25"/>
        </w:numPr>
      </w:pPr>
      <w:r>
        <w:t xml:space="preserve">On 2 March 2016 the High Court of Australia upheld the Court of Appeal’s decision relating to </w:t>
      </w:r>
      <w:proofErr w:type="spellStart"/>
      <w:r>
        <w:t>Tabcorp’s</w:t>
      </w:r>
      <w:proofErr w:type="spellEnd"/>
      <w:r>
        <w:t xml:space="preserve"> ‘Gambling Licences’ proceedings. There are no financial implications for the State as a result of the decision. The parties have exhausted all avenues of appeal and the proceedings are at an end.</w:t>
      </w:r>
    </w:p>
    <w:p w:rsidR="00BB67AF" w:rsidRDefault="00BB67AF" w:rsidP="003E6750">
      <w:pPr>
        <w:pStyle w:val="BulletText"/>
        <w:numPr>
          <w:ilvl w:val="0"/>
          <w:numId w:val="25"/>
        </w:numPr>
      </w:pPr>
      <w:r>
        <w:t>The Victorian Managed Insurance Authority (VMIA) has increased the insurance cover it provides participating parties, bodies and other entities for property, public and products liability, professional indemnity and contract works. The VMIA reinsures in the private market for losses above $50 million arising out of any one occurrence, up to a maximum of $1 billion for public and products liability, and for losses above $50 million arising out of any one event, up to a maximum of $3.35 billion for property. The risk of losses above these reinsured levels is borne by the State.</w:t>
      </w:r>
    </w:p>
    <w:p w:rsidR="00BB67AF" w:rsidRDefault="00BB67AF" w:rsidP="003E6750">
      <w:r>
        <w:t>There was no other material change in contingent liabilities for the State during this mid</w:t>
      </w:r>
      <w:r>
        <w:noBreakHyphen/>
        <w:t>year reporting period.</w:t>
      </w:r>
    </w:p>
    <w:p w:rsidR="00BB67AF" w:rsidRDefault="00BB67AF">
      <w:pPr>
        <w:spacing w:after="0"/>
        <w:rPr>
          <w:rFonts w:ascii="Calibri" w:hAnsi="Calibri"/>
          <w:b/>
          <w:kern w:val="28"/>
          <w:sz w:val="28"/>
          <w:szCs w:val="22"/>
        </w:rPr>
      </w:pPr>
      <w:r>
        <w:br w:type="page"/>
      </w:r>
    </w:p>
    <w:p w:rsidR="00BB67AF" w:rsidRDefault="00BB67AF" w:rsidP="003E6750">
      <w:pPr>
        <w:pStyle w:val="Heading2Notes"/>
      </w:pPr>
      <w:bookmarkStart w:id="40" w:name="_Toc445283189"/>
      <w:r>
        <w:lastRenderedPageBreak/>
        <w:t xml:space="preserve">Note 31: </w:t>
      </w:r>
      <w:r>
        <w:tab/>
        <w:t>Subsequent events</w:t>
      </w:r>
      <w:bookmarkEnd w:id="40"/>
    </w:p>
    <w:p w:rsidR="00BB67AF" w:rsidRDefault="00BB67AF" w:rsidP="003E6750">
      <w:r>
        <w:t xml:space="preserve">In August 2012, Tatts and </w:t>
      </w:r>
      <w:proofErr w:type="spellStart"/>
      <w:r>
        <w:t>Tabcorp</w:t>
      </w:r>
      <w:proofErr w:type="spellEnd"/>
      <w:r>
        <w:t xml:space="preserve"> commenced legal proceedings in the Supreme Court against the State seeking compensation after the expiration of their licences. The State defended both claims and was successful in relation to the </w:t>
      </w:r>
      <w:proofErr w:type="spellStart"/>
      <w:r>
        <w:t>Tabcorp</w:t>
      </w:r>
      <w:proofErr w:type="spellEnd"/>
      <w:r>
        <w:t xml:space="preserve"> claim but unsuccessful in relation to the Tatts claim. On </w:t>
      </w:r>
      <w:r w:rsidR="008D5D2B">
        <w:t>27 </w:t>
      </w:r>
      <w:r>
        <w:t>June 2014, the State paid Tatts its claim including interest, amounting to $540.5 million.</w:t>
      </w:r>
    </w:p>
    <w:p w:rsidR="00BB67AF" w:rsidRDefault="00BB67AF" w:rsidP="003E6750">
      <w:r>
        <w:t xml:space="preserve">On 4 December 2014, both decisions were upheld by the Court of Appeal. The State and </w:t>
      </w:r>
      <w:proofErr w:type="spellStart"/>
      <w:r>
        <w:t>Tabcorp</w:t>
      </w:r>
      <w:proofErr w:type="spellEnd"/>
      <w:r>
        <w:t xml:space="preserve"> appealed the decisions to the High Court of Australia.</w:t>
      </w:r>
    </w:p>
    <w:p w:rsidR="00BB67AF" w:rsidRDefault="00BB67AF" w:rsidP="003E6750">
      <w:r>
        <w:t xml:space="preserve">On 2 March 2016, the High Court of Australia overturned the Court of Appeal’s decision relating to the Tatts’ proceedings and upheld the Court of Appeal’s decision relating to </w:t>
      </w:r>
      <w:proofErr w:type="spellStart"/>
      <w:r>
        <w:t>Tabcorp’s</w:t>
      </w:r>
      <w:proofErr w:type="spellEnd"/>
      <w:r>
        <w:t xml:space="preserve"> proceedings. Tatts is liable to repay the State $540.5 million plus interest as a result of the decision, and the amount has been reflected in the financial statements. The parties have exhausted all avenues of appeal and the proceedings are at an end.</w:t>
      </w:r>
    </w:p>
    <w:p w:rsidR="00BB67AF" w:rsidRDefault="00BB67AF">
      <w:pPr>
        <w:spacing w:after="0"/>
        <w:rPr>
          <w:rFonts w:ascii="Calibri" w:hAnsi="Calibri"/>
          <w:b/>
          <w:kern w:val="28"/>
          <w:sz w:val="28"/>
          <w:szCs w:val="22"/>
        </w:rPr>
      </w:pPr>
      <w:r>
        <w:br w:type="page"/>
      </w:r>
    </w:p>
    <w:p w:rsidR="00BB67AF" w:rsidRDefault="00BB67AF" w:rsidP="003E6750">
      <w:pPr>
        <w:pStyle w:val="Heading2Notes"/>
      </w:pPr>
      <w:bookmarkStart w:id="41" w:name="_Toc445283190"/>
      <w:r>
        <w:lastRenderedPageBreak/>
        <w:t xml:space="preserve">Note 32: </w:t>
      </w:r>
      <w:r>
        <w:tab/>
        <w:t>Public account disclosure</w:t>
      </w:r>
      <w:bookmarkEnd w:id="41"/>
    </w:p>
    <w:p w:rsidR="00BB67AF" w:rsidRDefault="00BB67AF" w:rsidP="003E6750">
      <w:pPr>
        <w:pStyle w:val="Tableheading"/>
      </w:pPr>
      <w:r>
        <w:t xml:space="preserve">(a) </w:t>
      </w:r>
      <w:r>
        <w:tab/>
        <w:t>Consolidated fund receipts and payments</w:t>
      </w:r>
      <w:r w:rsidRPr="009A2FDC">
        <w:rPr>
          <w:vertAlign w:val="superscript"/>
        </w:rPr>
        <w:t>(a)</w:t>
      </w:r>
    </w:p>
    <w:p w:rsidR="00BB67AF" w:rsidRPr="00177194" w:rsidRDefault="00BB67AF" w:rsidP="003E6750">
      <w:pPr>
        <w:pStyle w:val="million"/>
        <w:rPr>
          <w:b/>
          <w:bCs/>
          <w:sz w:val="16"/>
          <w:lang w:val="en-US"/>
        </w:rPr>
      </w:pPr>
      <w:r>
        <w:t>($ million)</w:t>
      </w:r>
    </w:p>
    <w:tbl>
      <w:tblPr>
        <w:tblW w:w="9638" w:type="dxa"/>
        <w:tblInd w:w="45" w:type="dxa"/>
        <w:tblLayout w:type="fixed"/>
        <w:tblCellMar>
          <w:left w:w="45" w:type="dxa"/>
          <w:right w:w="45" w:type="dxa"/>
        </w:tblCellMar>
        <w:tblLook w:val="0000" w:firstRow="0" w:lastRow="0" w:firstColumn="0" w:lastColumn="0" w:noHBand="0" w:noVBand="0"/>
      </w:tblPr>
      <w:tblGrid>
        <w:gridCol w:w="1134"/>
        <w:gridCol w:w="6236"/>
        <w:gridCol w:w="1134"/>
        <w:gridCol w:w="1134"/>
      </w:tblGrid>
      <w:tr w:rsidR="008D5D2B" w:rsidRPr="00645124" w:rsidTr="008D5D2B">
        <w:trPr>
          <w:cantSplit/>
          <w:tblHeader/>
        </w:trPr>
        <w:tc>
          <w:tcPr>
            <w:tcW w:w="1134" w:type="dxa"/>
            <w:tcBorders>
              <w:top w:val="nil"/>
              <w:left w:val="nil"/>
              <w:bottom w:val="nil"/>
              <w:right w:val="nil"/>
            </w:tcBorders>
            <w:shd w:val="solid" w:color="000000" w:fill="auto"/>
            <w:vAlign w:val="bottom"/>
          </w:tcPr>
          <w:p w:rsidR="008D5D2B" w:rsidRPr="00645124" w:rsidRDefault="008D5D2B" w:rsidP="003E6750">
            <w:pPr>
              <w:pStyle w:val="Notes"/>
              <w:jc w:val="right"/>
              <w:rPr>
                <w:rFonts w:eastAsiaTheme="minorEastAsia" w:cs="Calibri"/>
                <w:iCs/>
                <w:color w:val="FFFFFF"/>
                <w:sz w:val="22"/>
                <w:szCs w:val="22"/>
                <w:lang w:eastAsia="en-AU"/>
              </w:rPr>
            </w:pPr>
            <w:r w:rsidRPr="00645124">
              <w:rPr>
                <w:rFonts w:eastAsiaTheme="minorEastAsia" w:cs="Calibri"/>
                <w:iCs/>
                <w:color w:val="FFFFFF"/>
                <w:sz w:val="22"/>
                <w:szCs w:val="22"/>
                <w:lang w:eastAsia="en-AU"/>
              </w:rPr>
              <w:t>2014</w:t>
            </w:r>
            <w:r w:rsidRPr="00645124">
              <w:rPr>
                <w:rFonts w:eastAsiaTheme="minorEastAsia" w:cs="Calibri"/>
                <w:iCs/>
                <w:color w:val="FFFFFF"/>
                <w:sz w:val="22"/>
                <w:szCs w:val="22"/>
                <w:lang w:eastAsia="en-AU"/>
              </w:rPr>
              <w:noBreakHyphen/>
              <w:t>15</w:t>
            </w:r>
          </w:p>
        </w:tc>
        <w:tc>
          <w:tcPr>
            <w:tcW w:w="6236" w:type="dxa"/>
            <w:tcBorders>
              <w:top w:val="nil"/>
              <w:left w:val="nil"/>
              <w:bottom w:val="nil"/>
              <w:right w:val="nil"/>
            </w:tcBorders>
            <w:shd w:val="solid" w:color="000000" w:fill="auto"/>
            <w:vAlign w:val="bottom"/>
          </w:tcPr>
          <w:p w:rsidR="008D5D2B" w:rsidRPr="00645124" w:rsidRDefault="008D5D2B"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2268" w:type="dxa"/>
            <w:gridSpan w:val="2"/>
            <w:tcBorders>
              <w:top w:val="nil"/>
              <w:left w:val="nil"/>
              <w:bottom w:val="nil"/>
              <w:right w:val="nil"/>
            </w:tcBorders>
            <w:shd w:val="solid" w:color="000000" w:fill="auto"/>
            <w:vAlign w:val="bottom"/>
          </w:tcPr>
          <w:p w:rsidR="008D5D2B" w:rsidRPr="00645124" w:rsidRDefault="008D5D2B" w:rsidP="008D5D2B">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r w:rsidRPr="00645124">
              <w:rPr>
                <w:rFonts w:ascii="Calibri" w:eastAsiaTheme="minorEastAsia" w:hAnsi="Calibri" w:cs="Calibri"/>
                <w:i/>
                <w:iCs/>
                <w:color w:val="FFFFFF"/>
                <w:sz w:val="22"/>
                <w:szCs w:val="22"/>
                <w:lang w:eastAsia="en-AU"/>
              </w:rPr>
              <w:noBreakHyphen/>
              <w:t>16</w:t>
            </w:r>
          </w:p>
        </w:tc>
      </w:tr>
      <w:tr w:rsidR="008D5D2B" w:rsidRPr="00645124" w:rsidTr="008D5D2B">
        <w:trPr>
          <w:cantSplit/>
          <w:trHeight w:val="537"/>
          <w:tblHeader/>
        </w:trPr>
        <w:tc>
          <w:tcPr>
            <w:tcW w:w="113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Actual </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to Dec</w:t>
            </w:r>
          </w:p>
        </w:tc>
        <w:tc>
          <w:tcPr>
            <w:tcW w:w="6236"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113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Actual </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to Dec</w:t>
            </w:r>
          </w:p>
        </w:tc>
        <w:tc>
          <w:tcPr>
            <w:tcW w:w="113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Revised</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budget</w:t>
            </w:r>
          </w:p>
        </w:tc>
      </w:tr>
      <w:tr w:rsidR="00BB67AF" w:rsidRPr="00645124" w:rsidTr="003E6750">
        <w:trPr>
          <w:cantSplit/>
        </w:trPr>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i/>
                <w:iCs/>
                <w:color w:val="000000"/>
                <w:sz w:val="22"/>
                <w:szCs w:val="22"/>
                <w:lang w:eastAsia="en-AU"/>
              </w:rPr>
            </w:pPr>
            <w:r w:rsidRPr="00645124">
              <w:rPr>
                <w:rFonts w:ascii="Calibri" w:eastAsiaTheme="minorEastAsia" w:hAnsi="Calibri" w:cs="Calibri"/>
                <w:i/>
                <w:iCs/>
                <w:color w:val="000000"/>
                <w:sz w:val="22"/>
                <w:szCs w:val="22"/>
                <w:lang w:eastAsia="en-AU"/>
              </w:rPr>
              <w:t xml:space="preserve"> </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Receipts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i/>
                <w:iCs/>
                <w:color w:val="000000"/>
                <w:sz w:val="22"/>
                <w:szCs w:val="22"/>
                <w:lang w:eastAsia="en-AU"/>
              </w:rPr>
            </w:pPr>
            <w:r w:rsidRPr="00645124">
              <w:rPr>
                <w:rFonts w:ascii="Calibri" w:eastAsiaTheme="minorEastAsia" w:hAnsi="Calibri" w:cs="Calibri"/>
                <w:i/>
                <w:iCs/>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i/>
                <w:iCs/>
                <w:color w:val="000000"/>
                <w:sz w:val="22"/>
                <w:szCs w:val="22"/>
                <w:lang w:eastAsia="en-AU"/>
              </w:rPr>
            </w:pPr>
            <w:r w:rsidRPr="00645124">
              <w:rPr>
                <w:rFonts w:ascii="Calibri" w:eastAsiaTheme="minorEastAsia" w:hAnsi="Calibri" w:cs="Calibri"/>
                <w:i/>
                <w:iCs/>
                <w:color w:val="000000"/>
                <w:sz w:val="22"/>
                <w:szCs w:val="22"/>
                <w:lang w:eastAsia="en-AU"/>
              </w:rPr>
              <w:t xml:space="preserve"> </w:t>
            </w:r>
          </w:p>
        </w:tc>
      </w:tr>
      <w:tr w:rsidR="00BB67AF" w:rsidRPr="00645124" w:rsidTr="003E6750">
        <w:trPr>
          <w:cantSplit/>
        </w:trPr>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9 417</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Taxation</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9 991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19 725</w:t>
            </w:r>
          </w:p>
        </w:tc>
      </w:tr>
      <w:tr w:rsidR="00BB67AF" w:rsidRPr="00645124" w:rsidTr="003E6750">
        <w:trPr>
          <w:cantSplit/>
        </w:trPr>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412</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Fines and regulatory fees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416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906</w:t>
            </w:r>
          </w:p>
        </w:tc>
      </w:tr>
      <w:tr w:rsidR="00BB67AF" w:rsidRPr="00645124" w:rsidTr="003E6750">
        <w:trPr>
          <w:cantSplit/>
        </w:trPr>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7 672</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Grants received</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8 193</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17 255</w:t>
            </w:r>
          </w:p>
        </w:tc>
      </w:tr>
      <w:tr w:rsidR="00BB67AF" w:rsidRPr="00645124" w:rsidTr="003E6750">
        <w:trPr>
          <w:cantSplit/>
        </w:trPr>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2 743</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Sales of goods and services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2 869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5 788</w:t>
            </w:r>
          </w:p>
        </w:tc>
      </w:tr>
      <w:tr w:rsidR="00BB67AF" w:rsidRPr="00645124" w:rsidTr="003E6750">
        <w:trPr>
          <w:cantSplit/>
        </w:trPr>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247</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Interest received</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245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536</w:t>
            </w:r>
          </w:p>
        </w:tc>
      </w:tr>
      <w:tr w:rsidR="00BB67AF" w:rsidRPr="00645124" w:rsidTr="003E6750">
        <w:trPr>
          <w:cantSplit/>
        </w:trPr>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666</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Public authority receipts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609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1 099</w:t>
            </w:r>
          </w:p>
        </w:tc>
      </w:tr>
      <w:tr w:rsidR="00BB67AF" w:rsidRPr="00645124" w:rsidTr="003E6750">
        <w:trPr>
          <w:cantSplit/>
        </w:trPr>
        <w:tc>
          <w:tcPr>
            <w:tcW w:w="1134" w:type="dxa"/>
            <w:tcBorders>
              <w:top w:val="nil"/>
              <w:left w:val="nil"/>
              <w:bottom w:val="single" w:sz="6" w:space="0" w:color="auto"/>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182</w:t>
            </w:r>
          </w:p>
        </w:tc>
        <w:tc>
          <w:tcPr>
            <w:tcW w:w="6236" w:type="dxa"/>
            <w:tcBorders>
              <w:top w:val="nil"/>
              <w:left w:val="nil"/>
              <w:bottom w:val="single" w:sz="6" w:space="0" w:color="auto"/>
              <w:right w:val="nil"/>
            </w:tcBorders>
            <w:shd w:val="clear" w:color="000000"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Other receipts</w:t>
            </w:r>
            <w:r w:rsidR="00E96351">
              <w:rPr>
                <w:rFonts w:ascii="Calibri" w:eastAsiaTheme="minorEastAsia" w:hAnsi="Calibri" w:cs="Calibri"/>
                <w:color w:val="000000"/>
                <w:sz w:val="22"/>
                <w:szCs w:val="22"/>
                <w:lang w:eastAsia="en-AU"/>
              </w:rPr>
              <w:t xml:space="preserve"> </w:t>
            </w:r>
            <w:r w:rsidRPr="00645124">
              <w:rPr>
                <w:rFonts w:ascii="Calibri" w:eastAsiaTheme="minorEastAsia" w:hAnsi="Calibri" w:cs="Calibri"/>
                <w:color w:val="000000"/>
                <w:sz w:val="22"/>
                <w:szCs w:val="22"/>
                <w:vertAlign w:val="superscript"/>
                <w:lang w:eastAsia="en-AU"/>
              </w:rPr>
              <w:t>(b)</w:t>
            </w:r>
          </w:p>
        </w:tc>
        <w:tc>
          <w:tcPr>
            <w:tcW w:w="1134" w:type="dxa"/>
            <w:tcBorders>
              <w:top w:val="nil"/>
              <w:left w:val="nil"/>
              <w:bottom w:val="single" w:sz="6" w:space="0" w:color="auto"/>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177</w:t>
            </w:r>
          </w:p>
        </w:tc>
        <w:tc>
          <w:tcPr>
            <w:tcW w:w="1134" w:type="dxa"/>
            <w:tcBorders>
              <w:top w:val="nil"/>
              <w:left w:val="nil"/>
              <w:bottom w:val="single" w:sz="6" w:space="0" w:color="auto"/>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359</w:t>
            </w:r>
          </w:p>
        </w:tc>
      </w:tr>
      <w:tr w:rsidR="00BB67AF" w:rsidRPr="00645124" w:rsidTr="003E6750">
        <w:trPr>
          <w:cantSplit/>
        </w:trPr>
        <w:tc>
          <w:tcPr>
            <w:tcW w:w="113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21 340</w:t>
            </w:r>
          </w:p>
        </w:tc>
        <w:tc>
          <w:tcPr>
            <w:tcW w:w="6236"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b/>
                <w:bCs/>
                <w:color w:val="000000"/>
                <w:sz w:val="22"/>
                <w:szCs w:val="22"/>
                <w:vertAlign w:val="superscript"/>
                <w:lang w:eastAsia="en-AU"/>
              </w:rPr>
            </w:pPr>
            <w:r w:rsidRPr="00645124">
              <w:rPr>
                <w:rFonts w:ascii="Calibri" w:eastAsiaTheme="minorEastAsia" w:hAnsi="Calibri" w:cs="Calibri"/>
                <w:b/>
                <w:bCs/>
                <w:color w:val="000000"/>
                <w:sz w:val="22"/>
                <w:szCs w:val="22"/>
                <w:lang w:eastAsia="en-AU"/>
              </w:rPr>
              <w:t xml:space="preserve">Total operating activities </w:t>
            </w:r>
            <w:r w:rsidRPr="00645124">
              <w:rPr>
                <w:rFonts w:ascii="Calibri" w:eastAsiaTheme="minorEastAsia" w:hAnsi="Calibri" w:cs="Calibri"/>
                <w:b/>
                <w:bCs/>
                <w:color w:val="000000"/>
                <w:sz w:val="22"/>
                <w:szCs w:val="22"/>
                <w:vertAlign w:val="superscript"/>
                <w:lang w:eastAsia="en-AU"/>
              </w:rPr>
              <w:t>(b)</w:t>
            </w:r>
          </w:p>
        </w:tc>
        <w:tc>
          <w:tcPr>
            <w:tcW w:w="113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22 499</w:t>
            </w:r>
          </w:p>
        </w:tc>
        <w:tc>
          <w:tcPr>
            <w:tcW w:w="113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45 668</w:t>
            </w:r>
          </w:p>
        </w:tc>
      </w:tr>
      <w:tr w:rsidR="00BB67AF" w:rsidRPr="00645124" w:rsidTr="003E6750">
        <w:trPr>
          <w:cantSplit/>
        </w:trPr>
        <w:tc>
          <w:tcPr>
            <w:tcW w:w="1134" w:type="dxa"/>
            <w:tcBorders>
              <w:top w:val="nil"/>
              <w:left w:val="nil"/>
              <w:bottom w:val="single" w:sz="6" w:space="0" w:color="auto"/>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583</w:t>
            </w:r>
          </w:p>
        </w:tc>
        <w:tc>
          <w:tcPr>
            <w:tcW w:w="6236" w:type="dxa"/>
            <w:tcBorders>
              <w:top w:val="nil"/>
              <w:left w:val="nil"/>
              <w:bottom w:val="single" w:sz="6" w:space="0" w:color="auto"/>
              <w:right w:val="nil"/>
            </w:tcBorders>
            <w:shd w:val="clear" w:color="000000"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Total inflows from investing and financing</w:t>
            </w:r>
            <w:r w:rsidR="00E96351">
              <w:rPr>
                <w:rFonts w:ascii="Calibri" w:eastAsiaTheme="minorEastAsia" w:hAnsi="Calibri" w:cs="Calibri"/>
                <w:color w:val="000000"/>
                <w:sz w:val="22"/>
                <w:szCs w:val="22"/>
                <w:lang w:eastAsia="en-AU"/>
              </w:rPr>
              <w:t xml:space="preserve"> </w:t>
            </w:r>
            <w:r w:rsidRPr="00645124">
              <w:rPr>
                <w:rFonts w:ascii="Calibri" w:eastAsiaTheme="minorEastAsia" w:hAnsi="Calibri" w:cs="Calibri"/>
                <w:color w:val="000000"/>
                <w:sz w:val="22"/>
                <w:szCs w:val="22"/>
                <w:vertAlign w:val="superscript"/>
                <w:lang w:eastAsia="en-AU"/>
              </w:rPr>
              <w:t>(b)</w:t>
            </w:r>
          </w:p>
        </w:tc>
        <w:tc>
          <w:tcPr>
            <w:tcW w:w="1134" w:type="dxa"/>
            <w:tcBorders>
              <w:top w:val="nil"/>
              <w:left w:val="nil"/>
              <w:bottom w:val="single" w:sz="6" w:space="0" w:color="auto"/>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725</w:t>
            </w:r>
          </w:p>
        </w:tc>
        <w:tc>
          <w:tcPr>
            <w:tcW w:w="1134" w:type="dxa"/>
            <w:tcBorders>
              <w:top w:val="nil"/>
              <w:left w:val="nil"/>
              <w:bottom w:val="single" w:sz="6" w:space="0" w:color="auto"/>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2 696</w:t>
            </w:r>
          </w:p>
        </w:tc>
      </w:tr>
      <w:tr w:rsidR="00BB67AF" w:rsidRPr="00645124" w:rsidTr="003E6750">
        <w:trPr>
          <w:cantSplit/>
        </w:trPr>
        <w:tc>
          <w:tcPr>
            <w:tcW w:w="113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21 924</w:t>
            </w:r>
          </w:p>
        </w:tc>
        <w:tc>
          <w:tcPr>
            <w:tcW w:w="6236"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b/>
                <w:bCs/>
                <w:color w:val="000000"/>
                <w:sz w:val="22"/>
                <w:szCs w:val="22"/>
                <w:vertAlign w:val="superscript"/>
                <w:lang w:eastAsia="en-AU"/>
              </w:rPr>
            </w:pPr>
            <w:r w:rsidRPr="00645124">
              <w:rPr>
                <w:rFonts w:ascii="Calibri" w:eastAsiaTheme="minorEastAsia" w:hAnsi="Calibri" w:cs="Calibri"/>
                <w:b/>
                <w:bCs/>
                <w:color w:val="000000"/>
                <w:sz w:val="22"/>
                <w:szCs w:val="22"/>
                <w:lang w:eastAsia="en-AU"/>
              </w:rPr>
              <w:t xml:space="preserve">Total receipts </w:t>
            </w:r>
            <w:r w:rsidRPr="00645124">
              <w:rPr>
                <w:rFonts w:ascii="Calibri" w:eastAsiaTheme="minorEastAsia" w:hAnsi="Calibri" w:cs="Calibri"/>
                <w:b/>
                <w:bCs/>
                <w:color w:val="000000"/>
                <w:sz w:val="22"/>
                <w:szCs w:val="22"/>
                <w:vertAlign w:val="superscript"/>
                <w:lang w:eastAsia="en-AU"/>
              </w:rPr>
              <w:t>(b)</w:t>
            </w:r>
          </w:p>
        </w:tc>
        <w:tc>
          <w:tcPr>
            <w:tcW w:w="113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23 224</w:t>
            </w:r>
          </w:p>
        </w:tc>
        <w:tc>
          <w:tcPr>
            <w:tcW w:w="113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48 363</w:t>
            </w:r>
          </w:p>
        </w:tc>
      </w:tr>
      <w:tr w:rsidR="00BB67AF" w:rsidRPr="00645124" w:rsidTr="003E6750">
        <w:trPr>
          <w:cantSplit/>
        </w:trPr>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Payments to departments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r>
      <w:tr w:rsidR="00BB67AF" w:rsidRPr="00645124" w:rsidTr="003E6750">
        <w:trPr>
          <w:cantSplit/>
        </w:trPr>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438</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Economic Development, Jobs, Transport and Resources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4 594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9 337</w:t>
            </w:r>
          </w:p>
        </w:tc>
      </w:tr>
      <w:tr w:rsidR="00BB67AF" w:rsidRPr="00645124" w:rsidTr="003E6750">
        <w:trPr>
          <w:cantSplit/>
        </w:trPr>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5 513</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Education and Training</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5 717</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11 803</w:t>
            </w:r>
          </w:p>
        </w:tc>
      </w:tr>
      <w:tr w:rsidR="00BB67AF" w:rsidRPr="00645124" w:rsidTr="003E6750">
        <w:trPr>
          <w:cantSplit/>
        </w:trPr>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1 085</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Environment, Land, Water and Planning</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978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2 048</w:t>
            </w:r>
          </w:p>
        </w:tc>
      </w:tr>
      <w:tr w:rsidR="00BB67AF" w:rsidRPr="00645124" w:rsidTr="003E6750">
        <w:trPr>
          <w:cantSplit/>
        </w:trPr>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5 135</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Health and Human Services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7 468</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14 216</w:t>
            </w:r>
          </w:p>
        </w:tc>
      </w:tr>
      <w:tr w:rsidR="00BB67AF" w:rsidRPr="00645124" w:rsidTr="003E6750">
        <w:trPr>
          <w:cantSplit/>
        </w:trPr>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2 882</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Justice and Regulation</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3 005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6 072</w:t>
            </w:r>
          </w:p>
        </w:tc>
      </w:tr>
      <w:tr w:rsidR="00BB67AF" w:rsidRPr="00645124" w:rsidTr="003E6750">
        <w:trPr>
          <w:cantSplit/>
        </w:trPr>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309</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Premier and Cabinet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166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414</w:t>
            </w:r>
          </w:p>
        </w:tc>
      </w:tr>
      <w:tr w:rsidR="00BB67AF" w:rsidRPr="00645124" w:rsidTr="003E6750">
        <w:trPr>
          <w:cantSplit/>
        </w:trPr>
        <w:tc>
          <w:tcPr>
            <w:tcW w:w="1134" w:type="dxa"/>
            <w:tcBorders>
              <w:top w:val="nil"/>
              <w:left w:val="nil"/>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1 679</w:t>
            </w:r>
          </w:p>
        </w:tc>
        <w:tc>
          <w:tcPr>
            <w:tcW w:w="6236" w:type="dxa"/>
            <w:tcBorders>
              <w:top w:val="nil"/>
              <w:left w:val="nil"/>
              <w:right w:val="nil"/>
            </w:tcBorders>
            <w:shd w:val="clear" w:color="000000"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Treasury and Finance</w:t>
            </w:r>
          </w:p>
        </w:tc>
        <w:tc>
          <w:tcPr>
            <w:tcW w:w="1134" w:type="dxa"/>
            <w:tcBorders>
              <w:top w:val="nil"/>
              <w:left w:val="nil"/>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1 787</w:t>
            </w:r>
          </w:p>
        </w:tc>
        <w:tc>
          <w:tcPr>
            <w:tcW w:w="1134" w:type="dxa"/>
            <w:tcBorders>
              <w:top w:val="nil"/>
              <w:left w:val="nil"/>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5 023</w:t>
            </w:r>
          </w:p>
        </w:tc>
      </w:tr>
      <w:tr w:rsidR="00BB67AF" w:rsidRPr="00645124" w:rsidTr="003E6750">
        <w:trPr>
          <w:cantSplit/>
        </w:trPr>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86</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Parliament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83</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184</w:t>
            </w:r>
          </w:p>
        </w:tc>
      </w:tr>
      <w:tr w:rsidR="00BB67AF" w:rsidRPr="00645124" w:rsidTr="003E6750">
        <w:trPr>
          <w:cantSplit/>
        </w:trPr>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183</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Courts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251</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529</w:t>
            </w:r>
          </w:p>
        </w:tc>
      </w:tr>
      <w:tr w:rsidR="00BB67AF" w:rsidRPr="00645124" w:rsidTr="003E6750">
        <w:trPr>
          <w:cantSplit/>
        </w:trPr>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2 039</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Human Services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3E6750">
        <w:trPr>
          <w:cantSplit/>
        </w:trPr>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3 783</w:t>
            </w:r>
          </w:p>
        </w:tc>
        <w:tc>
          <w:tcPr>
            <w:tcW w:w="6236"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Transport, Planning and Local Infrastructure </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3E6750">
        <w:trPr>
          <w:cantSplit/>
        </w:trPr>
        <w:tc>
          <w:tcPr>
            <w:tcW w:w="1134" w:type="dxa"/>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23 131</w:t>
            </w:r>
          </w:p>
        </w:tc>
        <w:tc>
          <w:tcPr>
            <w:tcW w:w="6236" w:type="dxa"/>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payments</w:t>
            </w:r>
          </w:p>
        </w:tc>
        <w:tc>
          <w:tcPr>
            <w:tcW w:w="1134" w:type="dxa"/>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24 049</w:t>
            </w:r>
          </w:p>
        </w:tc>
        <w:tc>
          <w:tcPr>
            <w:tcW w:w="1134" w:type="dxa"/>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49 625</w:t>
            </w:r>
          </w:p>
        </w:tc>
      </w:tr>
      <w:tr w:rsidR="00BB67AF" w:rsidRPr="00645124" w:rsidTr="003E6750">
        <w:trPr>
          <w:cantSplit/>
        </w:trPr>
        <w:tc>
          <w:tcPr>
            <w:tcW w:w="1134"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(1 207)</w:t>
            </w:r>
          </w:p>
        </w:tc>
        <w:tc>
          <w:tcPr>
            <w:tcW w:w="6236"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b/>
                <w:bCs/>
                <w:color w:val="000000"/>
                <w:sz w:val="22"/>
                <w:szCs w:val="22"/>
                <w:vertAlign w:val="superscript"/>
                <w:lang w:eastAsia="en-AU"/>
              </w:rPr>
            </w:pPr>
            <w:r w:rsidRPr="00645124">
              <w:rPr>
                <w:rFonts w:ascii="Calibri" w:eastAsiaTheme="minorEastAsia" w:hAnsi="Calibri" w:cs="Calibri"/>
                <w:b/>
                <w:bCs/>
                <w:color w:val="000000"/>
                <w:sz w:val="22"/>
                <w:szCs w:val="22"/>
                <w:lang w:eastAsia="en-AU"/>
              </w:rPr>
              <w:t>Net receipts/(payments)</w:t>
            </w:r>
            <w:r w:rsidR="00E96351">
              <w:rPr>
                <w:rFonts w:ascii="Calibri" w:eastAsiaTheme="minorEastAsia" w:hAnsi="Calibri" w:cs="Calibri"/>
                <w:b/>
                <w:bCs/>
                <w:color w:val="000000"/>
                <w:sz w:val="22"/>
                <w:szCs w:val="22"/>
                <w:lang w:eastAsia="en-AU"/>
              </w:rPr>
              <w:t xml:space="preserve"> </w:t>
            </w:r>
            <w:r w:rsidRPr="00645124">
              <w:rPr>
                <w:rFonts w:ascii="Calibri" w:eastAsiaTheme="minorEastAsia" w:hAnsi="Calibri" w:cs="Calibri"/>
                <w:b/>
                <w:bCs/>
                <w:color w:val="000000"/>
                <w:sz w:val="22"/>
                <w:szCs w:val="22"/>
                <w:vertAlign w:val="superscript"/>
                <w:lang w:eastAsia="en-AU"/>
              </w:rPr>
              <w:t>(b)</w:t>
            </w:r>
          </w:p>
        </w:tc>
        <w:tc>
          <w:tcPr>
            <w:tcW w:w="1134"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(825)</w:t>
            </w:r>
          </w:p>
        </w:tc>
        <w:tc>
          <w:tcPr>
            <w:tcW w:w="1134"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(1 261)</w:t>
            </w:r>
          </w:p>
        </w:tc>
      </w:tr>
    </w:tbl>
    <w:p w:rsidR="00BB67AF" w:rsidRDefault="00BB67AF" w:rsidP="003E6750">
      <w:pPr>
        <w:pStyle w:val="Notes"/>
      </w:pPr>
      <w:r>
        <w:t>Notes:</w:t>
      </w:r>
    </w:p>
    <w:p w:rsidR="00BB67AF" w:rsidRDefault="00BB67AF" w:rsidP="003E6750">
      <w:pPr>
        <w:pStyle w:val="Notes"/>
      </w:pPr>
      <w:r>
        <w:t>(a)</w:t>
      </w:r>
      <w:r>
        <w:tab/>
        <w:t>Effective 1 January 2015 several departments were renamed due to machinery of government changes:</w:t>
      </w:r>
    </w:p>
    <w:p w:rsidR="00BB67AF" w:rsidRDefault="00BB67AF" w:rsidP="003E6750">
      <w:pPr>
        <w:pStyle w:val="NotesDash"/>
        <w:numPr>
          <w:ilvl w:val="0"/>
          <w:numId w:val="27"/>
        </w:numPr>
        <w:tabs>
          <w:tab w:val="clear" w:pos="749"/>
          <w:tab w:val="clear" w:pos="922"/>
          <w:tab w:val="num" w:pos="810"/>
        </w:tabs>
        <w:ind w:left="810" w:hanging="356"/>
      </w:pPr>
      <w:r>
        <w:t>the Department of Education and Early Childhood Development was renamed the Department of Education and Training;</w:t>
      </w:r>
    </w:p>
    <w:p w:rsidR="00BB67AF" w:rsidRDefault="00BB67AF" w:rsidP="003E6750">
      <w:pPr>
        <w:pStyle w:val="NotesDash"/>
        <w:numPr>
          <w:ilvl w:val="0"/>
          <w:numId w:val="27"/>
        </w:numPr>
        <w:tabs>
          <w:tab w:val="clear" w:pos="749"/>
          <w:tab w:val="clear" w:pos="922"/>
          <w:tab w:val="num" w:pos="810"/>
        </w:tabs>
        <w:ind w:left="810" w:hanging="356"/>
      </w:pPr>
      <w:r>
        <w:t>the Department of Environment and Primary Industries was renamed the Department of Environment, Land, Water and Planning;</w:t>
      </w:r>
    </w:p>
    <w:p w:rsidR="00BB67AF" w:rsidRDefault="00BB67AF" w:rsidP="003E6750">
      <w:pPr>
        <w:pStyle w:val="NotesDash"/>
        <w:numPr>
          <w:ilvl w:val="0"/>
          <w:numId w:val="27"/>
        </w:numPr>
        <w:tabs>
          <w:tab w:val="clear" w:pos="749"/>
          <w:tab w:val="clear" w:pos="922"/>
          <w:tab w:val="num" w:pos="810"/>
        </w:tabs>
        <w:ind w:left="810" w:hanging="356"/>
      </w:pPr>
      <w:r>
        <w:t>the Department of Health was renamed the Department of Health and Human Services;</w:t>
      </w:r>
    </w:p>
    <w:p w:rsidR="00BB67AF" w:rsidRDefault="00BB67AF" w:rsidP="003E6750">
      <w:pPr>
        <w:pStyle w:val="NotesDash"/>
        <w:numPr>
          <w:ilvl w:val="0"/>
          <w:numId w:val="27"/>
        </w:numPr>
        <w:tabs>
          <w:tab w:val="clear" w:pos="749"/>
          <w:tab w:val="clear" w:pos="922"/>
          <w:tab w:val="num" w:pos="810"/>
        </w:tabs>
        <w:ind w:left="810" w:hanging="356"/>
      </w:pPr>
      <w:r>
        <w:t>the Department of Justice was renamed the Department of Justice and Regulation;</w:t>
      </w:r>
    </w:p>
    <w:p w:rsidR="00BB67AF" w:rsidRDefault="00BB67AF" w:rsidP="003E6750">
      <w:pPr>
        <w:pStyle w:val="NotesDash"/>
        <w:numPr>
          <w:ilvl w:val="0"/>
          <w:numId w:val="27"/>
        </w:numPr>
        <w:tabs>
          <w:tab w:val="clear" w:pos="749"/>
          <w:tab w:val="clear" w:pos="922"/>
          <w:tab w:val="num" w:pos="810"/>
        </w:tabs>
        <w:ind w:left="810" w:hanging="356"/>
      </w:pPr>
      <w:r>
        <w:t>the Department of State Development, Business and Innovation was renamed the Department of Economic Development, Jobs, Transport and Resources;</w:t>
      </w:r>
    </w:p>
    <w:p w:rsidR="00BB67AF" w:rsidRDefault="00BB67AF" w:rsidP="003E6750">
      <w:pPr>
        <w:pStyle w:val="NotesDash"/>
        <w:numPr>
          <w:ilvl w:val="0"/>
          <w:numId w:val="27"/>
        </w:numPr>
        <w:tabs>
          <w:tab w:val="clear" w:pos="749"/>
          <w:tab w:val="clear" w:pos="922"/>
          <w:tab w:val="num" w:pos="810"/>
        </w:tabs>
        <w:ind w:left="810" w:hanging="356"/>
      </w:pPr>
      <w:r>
        <w:t>the Department of Human Services was abolished; and</w:t>
      </w:r>
    </w:p>
    <w:p w:rsidR="00BB67AF" w:rsidRDefault="00BB67AF" w:rsidP="003E6750">
      <w:pPr>
        <w:pStyle w:val="NotesDash"/>
        <w:numPr>
          <w:ilvl w:val="0"/>
          <w:numId w:val="27"/>
        </w:numPr>
        <w:tabs>
          <w:tab w:val="clear" w:pos="749"/>
          <w:tab w:val="clear" w:pos="922"/>
          <w:tab w:val="num" w:pos="810"/>
        </w:tabs>
        <w:ind w:left="810" w:hanging="356"/>
      </w:pPr>
      <w:r>
        <w:t>the Department of Transport, Planning and Local Infrastructure was abolished.</w:t>
      </w:r>
    </w:p>
    <w:p w:rsidR="00BB67AF" w:rsidRDefault="00BB67AF" w:rsidP="003E6750">
      <w:pPr>
        <w:pStyle w:val="Notes"/>
      </w:pPr>
      <w:r>
        <w:tab/>
        <w:t>The two abolished departments had their functions and operations transferred to other Victorian government departments. Functions and operations of the Department of Human Services were transferred to the Department of Health and Human Services and to the Department of Premier and Cabinet. Functions and operations of the Department of Transport, Planning and Local Infrastructure were transferred to the Department of Environment, Land, Water and Planning, the Department of Health and Humans Services and to the Department of Economic Development, Jobs, Transport and Resources. Certain functions and operations of continuing Victorian government departments were also transferred among departments as part of the machinery of government changes. Controlled entities which have been transferred as part of the machinery of government changes are listed under their new portfolio departments.</w:t>
      </w:r>
    </w:p>
    <w:p w:rsidR="00BB67AF" w:rsidRDefault="00BB67AF" w:rsidP="003E6750">
      <w:pPr>
        <w:pStyle w:val="Notes"/>
      </w:pPr>
      <w:r>
        <w:t>(b)</w:t>
      </w:r>
      <w:r>
        <w:tab/>
        <w:t>The December 2014 comparative figures have been restated to reflect more current information.</w:t>
      </w:r>
    </w:p>
    <w:p w:rsidR="00BB67AF" w:rsidRDefault="00BB67AF" w:rsidP="003E6750"/>
    <w:p w:rsidR="00BB67AF" w:rsidRDefault="00BB67AF" w:rsidP="003E6750"/>
    <w:p w:rsidR="00BB67AF" w:rsidRDefault="00BB67AF">
      <w:pPr>
        <w:spacing w:after="0"/>
      </w:pPr>
      <w:r>
        <w:br w:type="page"/>
      </w:r>
    </w:p>
    <w:p w:rsidR="00BB67AF" w:rsidRDefault="00BB67AF" w:rsidP="003E6750">
      <w:pPr>
        <w:pStyle w:val="Heading2NotesContd"/>
      </w:pPr>
      <w:r>
        <w:lastRenderedPageBreak/>
        <w:t xml:space="preserve">Note 32: </w:t>
      </w:r>
      <w:r>
        <w:tab/>
        <w:t xml:space="preserve">Public account disclosure </w:t>
      </w:r>
      <w:r w:rsidRPr="00827BAF">
        <w:rPr>
          <w:i/>
        </w:rPr>
        <w:t>(continued)</w:t>
      </w:r>
    </w:p>
    <w:p w:rsidR="00BB67AF" w:rsidRDefault="00BB67AF" w:rsidP="003E6750">
      <w:pPr>
        <w:pStyle w:val="Tableheading"/>
      </w:pPr>
      <w:r w:rsidRPr="009A2FDC">
        <w:t xml:space="preserve">(b) </w:t>
      </w:r>
      <w:r w:rsidRPr="009A2FDC">
        <w:tab/>
        <w:t xml:space="preserve">Trust fund cash flow statement </w:t>
      </w:r>
    </w:p>
    <w:p w:rsidR="00BB67AF" w:rsidRPr="004D1572" w:rsidRDefault="00BB67AF" w:rsidP="003E6750">
      <w:pPr>
        <w:pStyle w:val="million"/>
        <w:rPr>
          <w:b/>
          <w:bCs/>
          <w:lang w:val="en-US"/>
        </w:rPr>
      </w:pPr>
      <w:r>
        <w:t>($ million)</w:t>
      </w:r>
    </w:p>
    <w:tbl>
      <w:tblPr>
        <w:tblW w:w="9638" w:type="dxa"/>
        <w:tblInd w:w="45" w:type="dxa"/>
        <w:tblLayout w:type="fixed"/>
        <w:tblCellMar>
          <w:left w:w="45" w:type="dxa"/>
          <w:right w:w="45" w:type="dxa"/>
        </w:tblCellMar>
        <w:tblLook w:val="0000" w:firstRow="0" w:lastRow="0" w:firstColumn="0" w:lastColumn="0" w:noHBand="0" w:noVBand="0"/>
      </w:tblPr>
      <w:tblGrid>
        <w:gridCol w:w="1134"/>
        <w:gridCol w:w="6236"/>
        <w:gridCol w:w="1134"/>
        <w:gridCol w:w="1134"/>
      </w:tblGrid>
      <w:tr w:rsidR="008D5D2B" w:rsidRPr="00645124" w:rsidTr="008D5D2B">
        <w:trPr>
          <w:tblHeader/>
        </w:trPr>
        <w:tc>
          <w:tcPr>
            <w:tcW w:w="1134" w:type="dxa"/>
            <w:tcBorders>
              <w:top w:val="nil"/>
              <w:left w:val="nil"/>
              <w:bottom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2014</w:t>
            </w:r>
            <w:r w:rsidRPr="00645124">
              <w:rPr>
                <w:rFonts w:ascii="Calibri" w:eastAsiaTheme="minorEastAsia" w:hAnsi="Calibri" w:cs="Calibri"/>
                <w:i/>
                <w:iCs/>
                <w:color w:val="FFFFFF"/>
                <w:sz w:val="22"/>
                <w:szCs w:val="22"/>
                <w:lang w:eastAsia="en-AU"/>
              </w:rPr>
              <w:noBreakHyphen/>
              <w:t>15</w:t>
            </w:r>
          </w:p>
        </w:tc>
        <w:tc>
          <w:tcPr>
            <w:tcW w:w="6236" w:type="dxa"/>
            <w:tcBorders>
              <w:top w:val="nil"/>
              <w:left w:val="nil"/>
              <w:bottom w:val="nil"/>
              <w:right w:val="nil"/>
            </w:tcBorders>
            <w:shd w:val="solid" w:color="000000" w:fill="auto"/>
            <w:vAlign w:val="bottom"/>
          </w:tcPr>
          <w:p w:rsidR="008D5D2B" w:rsidRPr="00645124" w:rsidRDefault="008D5D2B"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2268" w:type="dxa"/>
            <w:gridSpan w:val="2"/>
            <w:tcBorders>
              <w:top w:val="nil"/>
              <w:left w:val="nil"/>
              <w:bottom w:val="nil"/>
              <w:right w:val="nil"/>
            </w:tcBorders>
            <w:shd w:val="solid" w:color="000000" w:fill="auto"/>
            <w:vAlign w:val="bottom"/>
          </w:tcPr>
          <w:p w:rsidR="008D5D2B" w:rsidRPr="00645124" w:rsidRDefault="008D5D2B" w:rsidP="008D5D2B">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r w:rsidRPr="00645124">
              <w:rPr>
                <w:rFonts w:ascii="Calibri" w:eastAsiaTheme="minorEastAsia" w:hAnsi="Calibri" w:cs="Calibri"/>
                <w:i/>
                <w:iCs/>
                <w:color w:val="FFFFFF"/>
                <w:sz w:val="22"/>
                <w:szCs w:val="22"/>
                <w:lang w:eastAsia="en-AU"/>
              </w:rPr>
              <w:noBreakHyphen/>
              <w:t>16</w:t>
            </w:r>
          </w:p>
        </w:tc>
      </w:tr>
      <w:tr w:rsidR="008D5D2B" w:rsidRPr="00645124" w:rsidTr="008D5D2B">
        <w:trPr>
          <w:trHeight w:val="537"/>
          <w:tblHeader/>
        </w:trPr>
        <w:tc>
          <w:tcPr>
            <w:tcW w:w="113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Actual </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to Dec</w:t>
            </w:r>
          </w:p>
        </w:tc>
        <w:tc>
          <w:tcPr>
            <w:tcW w:w="6236"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p w:rsidR="008D5D2B" w:rsidRPr="00645124" w:rsidRDefault="008D5D2B"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113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Actual </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to Dec</w:t>
            </w:r>
          </w:p>
        </w:tc>
        <w:tc>
          <w:tcPr>
            <w:tcW w:w="1134" w:type="dxa"/>
            <w:tcBorders>
              <w:top w:val="nil"/>
              <w:left w:val="nil"/>
              <w:right w:val="nil"/>
            </w:tcBorders>
            <w:shd w:val="solid" w:color="000000" w:fill="auto"/>
            <w:vAlign w:val="bottom"/>
          </w:tcPr>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Revised</w:t>
            </w:r>
          </w:p>
          <w:p w:rsidR="008D5D2B" w:rsidRPr="00645124" w:rsidRDefault="008D5D2B"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budget</w:t>
            </w:r>
          </w:p>
        </w:tc>
      </w:tr>
      <w:tr w:rsidR="00BB67AF" w:rsidRPr="00645124" w:rsidTr="003E6750">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Cash flows from operating activities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r>
      <w:tr w:rsidR="00BB67AF" w:rsidRPr="00645124" w:rsidTr="003E6750">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Receipts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r>
      <w:tr w:rsidR="00BB67AF" w:rsidRPr="00645124" w:rsidTr="003E6750">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239</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Taxation</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250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342</w:t>
            </w:r>
          </w:p>
        </w:tc>
      </w:tr>
      <w:tr w:rsidR="00BB67AF" w:rsidRPr="00645124" w:rsidTr="003E6750">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26</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Regulatory fees and fines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32</w:t>
            </w:r>
          </w:p>
        </w:tc>
      </w:tr>
      <w:tr w:rsidR="00BB67AF" w:rsidRPr="00645124" w:rsidTr="003E6750">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8 130</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Grants received</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8 005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15 502</w:t>
            </w:r>
          </w:p>
        </w:tc>
      </w:tr>
      <w:tr w:rsidR="00BB67AF" w:rsidRPr="00645124" w:rsidTr="003E6750">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173</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Sale of goods and services</w:t>
            </w:r>
            <w:r w:rsidR="00E96351">
              <w:rPr>
                <w:rFonts w:ascii="Calibri" w:eastAsiaTheme="minorEastAsia" w:hAnsi="Calibri" w:cs="Calibri"/>
                <w:color w:val="000000"/>
                <w:sz w:val="22"/>
                <w:szCs w:val="22"/>
                <w:lang w:eastAsia="en-AU"/>
              </w:rPr>
              <w:t xml:space="preserve"> </w:t>
            </w:r>
            <w:r w:rsidRPr="00645124">
              <w:rPr>
                <w:rFonts w:ascii="Calibri" w:eastAsiaTheme="minorEastAsia" w:hAnsi="Calibri" w:cs="Calibri"/>
                <w:color w:val="000000"/>
                <w:sz w:val="22"/>
                <w:szCs w:val="22"/>
                <w:vertAlign w:val="superscript"/>
                <w:lang w:eastAsia="en-AU"/>
              </w:rPr>
              <w:t>(a)</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40</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136</w:t>
            </w:r>
          </w:p>
        </w:tc>
      </w:tr>
      <w:tr w:rsidR="00BB67AF" w:rsidRPr="00645124" w:rsidTr="003E6750">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47</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Interest received</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49</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86</w:t>
            </w:r>
          </w:p>
        </w:tc>
      </w:tr>
      <w:tr w:rsidR="00BB67AF" w:rsidRPr="00645124" w:rsidTr="003E6750">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4 959</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Net transfers from consolidated fund</w:t>
            </w:r>
            <w:r w:rsidR="00E96351">
              <w:rPr>
                <w:rFonts w:ascii="Calibri" w:eastAsiaTheme="minorEastAsia" w:hAnsi="Calibri" w:cs="Calibri"/>
                <w:color w:val="000000"/>
                <w:sz w:val="22"/>
                <w:szCs w:val="22"/>
                <w:lang w:eastAsia="en-AU"/>
              </w:rPr>
              <w:t xml:space="preserve"> </w:t>
            </w:r>
            <w:r w:rsidRPr="00645124">
              <w:rPr>
                <w:rFonts w:ascii="Calibri" w:eastAsiaTheme="minorEastAsia" w:hAnsi="Calibri" w:cs="Calibri"/>
                <w:color w:val="000000"/>
                <w:sz w:val="22"/>
                <w:szCs w:val="22"/>
                <w:vertAlign w:val="superscript"/>
                <w:lang w:eastAsia="en-AU"/>
              </w:rPr>
              <w:t>(a)</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4 843</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7 607</w:t>
            </w:r>
          </w:p>
        </w:tc>
      </w:tr>
      <w:tr w:rsidR="00BB67AF" w:rsidRPr="00645124" w:rsidTr="003E6750">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66</w:t>
            </w:r>
          </w:p>
        </w:tc>
        <w:tc>
          <w:tcPr>
            <w:tcW w:w="6236"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Other receipts</w:t>
            </w:r>
            <w:r w:rsidR="00E96351">
              <w:rPr>
                <w:rFonts w:ascii="Calibri" w:eastAsiaTheme="minorEastAsia" w:hAnsi="Calibri" w:cs="Calibri"/>
                <w:color w:val="000000"/>
                <w:sz w:val="22"/>
                <w:szCs w:val="22"/>
                <w:lang w:eastAsia="en-AU"/>
              </w:rPr>
              <w:t xml:space="preserve"> </w:t>
            </w:r>
            <w:r w:rsidRPr="00645124">
              <w:rPr>
                <w:rFonts w:ascii="Calibri" w:eastAsiaTheme="minorEastAsia" w:hAnsi="Calibri" w:cs="Calibri"/>
                <w:color w:val="000000"/>
                <w:sz w:val="22"/>
                <w:szCs w:val="22"/>
                <w:vertAlign w:val="superscript"/>
                <w:lang w:eastAsia="en-AU"/>
              </w:rPr>
              <w:t>(a)</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20</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141</w:t>
            </w:r>
          </w:p>
        </w:tc>
      </w:tr>
      <w:tr w:rsidR="00BB67AF" w:rsidRPr="00645124" w:rsidTr="003E6750">
        <w:tc>
          <w:tcPr>
            <w:tcW w:w="113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13 640</w:t>
            </w:r>
          </w:p>
        </w:tc>
        <w:tc>
          <w:tcPr>
            <w:tcW w:w="6236"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b/>
                <w:bCs/>
                <w:color w:val="000000"/>
                <w:sz w:val="22"/>
                <w:szCs w:val="22"/>
                <w:vertAlign w:val="superscript"/>
                <w:lang w:eastAsia="en-AU"/>
              </w:rPr>
            </w:pPr>
            <w:r w:rsidRPr="00645124">
              <w:rPr>
                <w:rFonts w:ascii="Calibri" w:eastAsiaTheme="minorEastAsia" w:hAnsi="Calibri" w:cs="Calibri"/>
                <w:b/>
                <w:bCs/>
                <w:color w:val="000000"/>
                <w:sz w:val="22"/>
                <w:szCs w:val="22"/>
                <w:lang w:eastAsia="en-AU"/>
              </w:rPr>
              <w:t>Total receipts</w:t>
            </w:r>
            <w:r w:rsidR="00E96351">
              <w:rPr>
                <w:rFonts w:ascii="Calibri" w:eastAsiaTheme="minorEastAsia" w:hAnsi="Calibri" w:cs="Calibri"/>
                <w:b/>
                <w:bCs/>
                <w:color w:val="000000"/>
                <w:sz w:val="22"/>
                <w:szCs w:val="22"/>
                <w:lang w:eastAsia="en-AU"/>
              </w:rPr>
              <w:t xml:space="preserve"> </w:t>
            </w:r>
            <w:r w:rsidRPr="00645124">
              <w:rPr>
                <w:rFonts w:ascii="Calibri" w:eastAsiaTheme="minorEastAsia" w:hAnsi="Calibri" w:cs="Calibri"/>
                <w:b/>
                <w:bCs/>
                <w:color w:val="000000"/>
                <w:sz w:val="22"/>
                <w:szCs w:val="22"/>
                <w:vertAlign w:val="superscript"/>
                <w:lang w:eastAsia="en-AU"/>
              </w:rPr>
              <w:t>(a)</w:t>
            </w:r>
          </w:p>
        </w:tc>
        <w:tc>
          <w:tcPr>
            <w:tcW w:w="113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13 228</w:t>
            </w:r>
          </w:p>
        </w:tc>
        <w:tc>
          <w:tcPr>
            <w:tcW w:w="113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23 846</w:t>
            </w:r>
          </w:p>
        </w:tc>
      </w:tr>
      <w:tr w:rsidR="00BB67AF" w:rsidRPr="00645124" w:rsidTr="003E6750">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Payments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r>
      <w:tr w:rsidR="00BB67AF" w:rsidRPr="00645124" w:rsidTr="003E6750">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(77)</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Employee benefits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(74)</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(196)</w:t>
            </w:r>
          </w:p>
        </w:tc>
      </w:tr>
      <w:tr w:rsidR="00BB67AF" w:rsidRPr="00645124" w:rsidTr="003E6750">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Superannuation</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(14)</w:t>
            </w:r>
          </w:p>
        </w:tc>
      </w:tr>
      <w:tr w:rsidR="00BB67AF" w:rsidRPr="00645124" w:rsidTr="003E6750">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(12 249)</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Grants paid</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(11 813)</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(20 946)</w:t>
            </w:r>
          </w:p>
        </w:tc>
      </w:tr>
      <w:tr w:rsidR="00BB67AF" w:rsidRPr="00645124" w:rsidTr="003E6750">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(1 094)</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Supplies and consumables</w:t>
            </w:r>
            <w:r w:rsidR="00E96351">
              <w:rPr>
                <w:rFonts w:ascii="Calibri" w:eastAsiaTheme="minorEastAsia" w:hAnsi="Calibri" w:cs="Calibri"/>
                <w:color w:val="000000"/>
                <w:sz w:val="22"/>
                <w:szCs w:val="22"/>
                <w:lang w:eastAsia="en-AU"/>
              </w:rPr>
              <w:t xml:space="preserve"> </w:t>
            </w:r>
            <w:r w:rsidRPr="00645124">
              <w:rPr>
                <w:rFonts w:ascii="Calibri" w:eastAsiaTheme="minorEastAsia" w:hAnsi="Calibri" w:cs="Calibri"/>
                <w:color w:val="000000"/>
                <w:sz w:val="22"/>
                <w:szCs w:val="22"/>
                <w:vertAlign w:val="superscript"/>
                <w:lang w:eastAsia="en-AU"/>
              </w:rPr>
              <w:t xml:space="preserve">(a)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(1 052)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(2 300)</w:t>
            </w:r>
          </w:p>
        </w:tc>
      </w:tr>
      <w:tr w:rsidR="00BB67AF" w:rsidRPr="00645124" w:rsidTr="003E6750">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w:t>
            </w:r>
          </w:p>
        </w:tc>
        <w:tc>
          <w:tcPr>
            <w:tcW w:w="6236"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Interest paid</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w:t>
            </w:r>
          </w:p>
        </w:tc>
      </w:tr>
      <w:tr w:rsidR="00BB67AF" w:rsidRPr="00645124" w:rsidTr="003E6750">
        <w:tc>
          <w:tcPr>
            <w:tcW w:w="1134" w:type="dxa"/>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(13 429)</w:t>
            </w:r>
          </w:p>
        </w:tc>
        <w:tc>
          <w:tcPr>
            <w:tcW w:w="6236" w:type="dxa"/>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b/>
                <w:bCs/>
                <w:color w:val="000000"/>
                <w:sz w:val="22"/>
                <w:szCs w:val="22"/>
                <w:vertAlign w:val="superscript"/>
                <w:lang w:eastAsia="en-AU"/>
              </w:rPr>
            </w:pPr>
            <w:r w:rsidRPr="00645124">
              <w:rPr>
                <w:rFonts w:ascii="Calibri" w:eastAsiaTheme="minorEastAsia" w:hAnsi="Calibri" w:cs="Calibri"/>
                <w:b/>
                <w:bCs/>
                <w:color w:val="000000"/>
                <w:sz w:val="22"/>
                <w:szCs w:val="22"/>
                <w:lang w:eastAsia="en-AU"/>
              </w:rPr>
              <w:t>Total payments</w:t>
            </w:r>
            <w:r w:rsidR="00E96351">
              <w:rPr>
                <w:rFonts w:ascii="Calibri" w:eastAsiaTheme="minorEastAsia" w:hAnsi="Calibri" w:cs="Calibri"/>
                <w:b/>
                <w:bCs/>
                <w:color w:val="000000"/>
                <w:sz w:val="22"/>
                <w:szCs w:val="22"/>
                <w:lang w:eastAsia="en-AU"/>
              </w:rPr>
              <w:t xml:space="preserve"> </w:t>
            </w:r>
            <w:r w:rsidRPr="00645124">
              <w:rPr>
                <w:rFonts w:ascii="Calibri" w:eastAsiaTheme="minorEastAsia" w:hAnsi="Calibri" w:cs="Calibri"/>
                <w:b/>
                <w:bCs/>
                <w:color w:val="000000"/>
                <w:sz w:val="22"/>
                <w:szCs w:val="22"/>
                <w:vertAlign w:val="superscript"/>
                <w:lang w:eastAsia="en-AU"/>
              </w:rPr>
              <w:t xml:space="preserve">(a) </w:t>
            </w:r>
          </w:p>
        </w:tc>
        <w:tc>
          <w:tcPr>
            <w:tcW w:w="1134" w:type="dxa"/>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(12 948)</w:t>
            </w:r>
          </w:p>
        </w:tc>
        <w:tc>
          <w:tcPr>
            <w:tcW w:w="1134" w:type="dxa"/>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(23 465)</w:t>
            </w:r>
          </w:p>
        </w:tc>
      </w:tr>
      <w:tr w:rsidR="00BB67AF" w:rsidRPr="00645124" w:rsidTr="003E6750">
        <w:tc>
          <w:tcPr>
            <w:tcW w:w="113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211</w:t>
            </w:r>
          </w:p>
        </w:tc>
        <w:tc>
          <w:tcPr>
            <w:tcW w:w="6236"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b/>
                <w:bCs/>
                <w:color w:val="000000"/>
                <w:sz w:val="22"/>
                <w:szCs w:val="22"/>
                <w:vertAlign w:val="superscript"/>
                <w:lang w:eastAsia="en-AU"/>
              </w:rPr>
            </w:pPr>
            <w:r w:rsidRPr="00645124">
              <w:rPr>
                <w:rFonts w:ascii="Calibri" w:eastAsiaTheme="minorEastAsia" w:hAnsi="Calibri" w:cs="Calibri"/>
                <w:b/>
                <w:bCs/>
                <w:color w:val="000000"/>
                <w:sz w:val="22"/>
                <w:szCs w:val="22"/>
                <w:lang w:eastAsia="en-AU"/>
              </w:rPr>
              <w:t>Net cash flows from operating activities</w:t>
            </w:r>
            <w:r w:rsidR="00E96351">
              <w:rPr>
                <w:rFonts w:ascii="Calibri" w:eastAsiaTheme="minorEastAsia" w:hAnsi="Calibri" w:cs="Calibri"/>
                <w:b/>
                <w:bCs/>
                <w:color w:val="000000"/>
                <w:sz w:val="22"/>
                <w:szCs w:val="22"/>
                <w:lang w:eastAsia="en-AU"/>
              </w:rPr>
              <w:t xml:space="preserve"> </w:t>
            </w:r>
            <w:r w:rsidRPr="00645124">
              <w:rPr>
                <w:rFonts w:ascii="Calibri" w:eastAsiaTheme="minorEastAsia" w:hAnsi="Calibri" w:cs="Calibri"/>
                <w:b/>
                <w:bCs/>
                <w:color w:val="000000"/>
                <w:sz w:val="22"/>
                <w:szCs w:val="22"/>
                <w:vertAlign w:val="superscript"/>
                <w:lang w:eastAsia="en-AU"/>
              </w:rPr>
              <w:t xml:space="preserve">(a) </w:t>
            </w:r>
          </w:p>
        </w:tc>
        <w:tc>
          <w:tcPr>
            <w:tcW w:w="113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280</w:t>
            </w:r>
          </w:p>
        </w:tc>
        <w:tc>
          <w:tcPr>
            <w:tcW w:w="113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382</w:t>
            </w:r>
          </w:p>
        </w:tc>
      </w:tr>
      <w:tr w:rsidR="00BB67AF" w:rsidRPr="00645124" w:rsidTr="003E6750">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Cash flows from investing activities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r>
      <w:tr w:rsidR="00BB67AF" w:rsidRPr="00645124" w:rsidTr="003E6750">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30</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Proceeds from sale of property, plant and equipment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26</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36</w:t>
            </w:r>
          </w:p>
        </w:tc>
      </w:tr>
      <w:tr w:rsidR="00BB67AF" w:rsidRPr="00645124" w:rsidTr="003E6750">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(21)</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Purchases of property, plant and equipment</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(12)</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(36)</w:t>
            </w:r>
          </w:p>
        </w:tc>
      </w:tr>
      <w:tr w:rsidR="00BB67AF" w:rsidRPr="00645124" w:rsidTr="003E6750">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(86)</w:t>
            </w:r>
          </w:p>
        </w:tc>
        <w:tc>
          <w:tcPr>
            <w:tcW w:w="6236"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Other investing activities</w:t>
            </w:r>
            <w:r w:rsidR="00E96351">
              <w:rPr>
                <w:rFonts w:ascii="Calibri" w:eastAsiaTheme="minorEastAsia" w:hAnsi="Calibri" w:cs="Calibri"/>
                <w:color w:val="000000"/>
                <w:sz w:val="22"/>
                <w:szCs w:val="22"/>
                <w:lang w:eastAsia="en-AU"/>
              </w:rPr>
              <w:t xml:space="preserve"> </w:t>
            </w:r>
            <w:r w:rsidRPr="00645124">
              <w:rPr>
                <w:rFonts w:ascii="Calibri" w:eastAsiaTheme="minorEastAsia" w:hAnsi="Calibri" w:cs="Calibri"/>
                <w:color w:val="000000"/>
                <w:sz w:val="22"/>
                <w:szCs w:val="22"/>
                <w:vertAlign w:val="superscript"/>
                <w:lang w:eastAsia="en-AU"/>
              </w:rPr>
              <w:t xml:space="preserve">(a) </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(29)</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(177)</w:t>
            </w:r>
          </w:p>
        </w:tc>
      </w:tr>
      <w:tr w:rsidR="00BB67AF" w:rsidRPr="00645124" w:rsidTr="003E6750">
        <w:tc>
          <w:tcPr>
            <w:tcW w:w="113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(76)</w:t>
            </w:r>
          </w:p>
        </w:tc>
        <w:tc>
          <w:tcPr>
            <w:tcW w:w="6236"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b/>
                <w:bCs/>
                <w:color w:val="000000"/>
                <w:sz w:val="22"/>
                <w:szCs w:val="22"/>
                <w:vertAlign w:val="superscript"/>
                <w:lang w:eastAsia="en-AU"/>
              </w:rPr>
            </w:pPr>
            <w:r w:rsidRPr="00645124">
              <w:rPr>
                <w:rFonts w:ascii="Calibri" w:eastAsiaTheme="minorEastAsia" w:hAnsi="Calibri" w:cs="Calibri"/>
                <w:b/>
                <w:bCs/>
                <w:color w:val="000000"/>
                <w:sz w:val="22"/>
                <w:szCs w:val="22"/>
                <w:lang w:eastAsia="en-AU"/>
              </w:rPr>
              <w:t>Net cash flows from investing activities</w:t>
            </w:r>
            <w:r w:rsidR="00E96351">
              <w:rPr>
                <w:rFonts w:ascii="Calibri" w:eastAsiaTheme="minorEastAsia" w:hAnsi="Calibri" w:cs="Calibri"/>
                <w:b/>
                <w:bCs/>
                <w:color w:val="000000"/>
                <w:sz w:val="22"/>
                <w:szCs w:val="22"/>
                <w:lang w:eastAsia="en-AU"/>
              </w:rPr>
              <w:t xml:space="preserve"> </w:t>
            </w:r>
            <w:r w:rsidRPr="00645124">
              <w:rPr>
                <w:rFonts w:ascii="Calibri" w:eastAsiaTheme="minorEastAsia" w:hAnsi="Calibri" w:cs="Calibri"/>
                <w:b/>
                <w:bCs/>
                <w:color w:val="000000"/>
                <w:sz w:val="22"/>
                <w:szCs w:val="22"/>
                <w:vertAlign w:val="superscript"/>
                <w:lang w:eastAsia="en-AU"/>
              </w:rPr>
              <w:t xml:space="preserve">(a) </w:t>
            </w:r>
          </w:p>
        </w:tc>
        <w:tc>
          <w:tcPr>
            <w:tcW w:w="113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(14)</w:t>
            </w:r>
          </w:p>
        </w:tc>
        <w:tc>
          <w:tcPr>
            <w:tcW w:w="113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(177)</w:t>
            </w:r>
          </w:p>
        </w:tc>
      </w:tr>
      <w:tr w:rsidR="00BB67AF" w:rsidRPr="00645124" w:rsidTr="003E6750">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Cash flows from financing activities</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r>
      <w:tr w:rsidR="00BB67AF" w:rsidRPr="00645124" w:rsidTr="003E6750">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14</w:t>
            </w:r>
          </w:p>
        </w:tc>
        <w:tc>
          <w:tcPr>
            <w:tcW w:w="6236"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Net proceeds (repayments) from borrowings</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(470)</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(29)</w:t>
            </w:r>
          </w:p>
        </w:tc>
      </w:tr>
      <w:tr w:rsidR="00BB67AF" w:rsidRPr="00645124" w:rsidTr="003E6750">
        <w:tc>
          <w:tcPr>
            <w:tcW w:w="1134" w:type="dxa"/>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14</w:t>
            </w:r>
          </w:p>
        </w:tc>
        <w:tc>
          <w:tcPr>
            <w:tcW w:w="6236" w:type="dxa"/>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 xml:space="preserve">Net cash flows from financing activities </w:t>
            </w:r>
          </w:p>
        </w:tc>
        <w:tc>
          <w:tcPr>
            <w:tcW w:w="1134" w:type="dxa"/>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(470)</w:t>
            </w:r>
          </w:p>
        </w:tc>
        <w:tc>
          <w:tcPr>
            <w:tcW w:w="1134" w:type="dxa"/>
            <w:tcBorders>
              <w:top w:val="single" w:sz="6" w:space="0" w:color="auto"/>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(29)</w:t>
            </w:r>
          </w:p>
        </w:tc>
      </w:tr>
      <w:tr w:rsidR="00BB67AF" w:rsidRPr="00645124" w:rsidTr="003E6750">
        <w:tc>
          <w:tcPr>
            <w:tcW w:w="1134"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148</w:t>
            </w:r>
          </w:p>
        </w:tc>
        <w:tc>
          <w:tcPr>
            <w:tcW w:w="6236"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Net cash inflow/(outflow)</w:t>
            </w:r>
            <w:r w:rsidR="00E96351">
              <w:rPr>
                <w:rFonts w:ascii="Calibri" w:eastAsiaTheme="minorEastAsia" w:hAnsi="Calibri" w:cs="Calibri"/>
                <w:b/>
                <w:bCs/>
                <w:color w:val="000000"/>
                <w:sz w:val="22"/>
                <w:szCs w:val="22"/>
                <w:lang w:eastAsia="en-AU"/>
              </w:rPr>
              <w:t xml:space="preserve"> </w:t>
            </w:r>
            <w:r w:rsidRPr="00645124">
              <w:rPr>
                <w:rFonts w:ascii="Calibri" w:eastAsiaTheme="minorEastAsia" w:hAnsi="Calibri" w:cs="Calibri"/>
                <w:b/>
                <w:bCs/>
                <w:color w:val="000000"/>
                <w:sz w:val="22"/>
                <w:szCs w:val="22"/>
                <w:vertAlign w:val="superscript"/>
                <w:lang w:eastAsia="en-AU"/>
              </w:rPr>
              <w:t>(a)</w:t>
            </w:r>
            <w:r w:rsidRPr="00645124">
              <w:rPr>
                <w:rFonts w:ascii="Calibri" w:eastAsiaTheme="minorEastAsia" w:hAnsi="Calibri" w:cs="Calibri"/>
                <w:b/>
                <w:bCs/>
                <w:color w:val="000000"/>
                <w:sz w:val="22"/>
                <w:szCs w:val="22"/>
                <w:lang w:eastAsia="en-AU"/>
              </w:rPr>
              <w:t xml:space="preserve"> </w:t>
            </w:r>
          </w:p>
        </w:tc>
        <w:tc>
          <w:tcPr>
            <w:tcW w:w="1134"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(205)</w:t>
            </w:r>
          </w:p>
        </w:tc>
        <w:tc>
          <w:tcPr>
            <w:tcW w:w="1134"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176</w:t>
            </w:r>
          </w:p>
        </w:tc>
      </w:tr>
    </w:tbl>
    <w:p w:rsidR="00BB67AF" w:rsidRDefault="00BB67AF" w:rsidP="003E6750">
      <w:pPr>
        <w:pStyle w:val="Notes"/>
      </w:pPr>
      <w:r>
        <w:t>Note:</w:t>
      </w:r>
    </w:p>
    <w:p w:rsidR="00BB67AF" w:rsidRDefault="00BB67AF" w:rsidP="003E6750">
      <w:pPr>
        <w:pStyle w:val="Notes"/>
      </w:pPr>
      <w:r>
        <w:t>(a)</w:t>
      </w:r>
      <w:r>
        <w:tab/>
        <w:t>The December 2014 comparative figures have been restated to reflect more current information.</w:t>
      </w:r>
    </w:p>
    <w:p w:rsidR="00BB67AF" w:rsidRDefault="00BB67AF" w:rsidP="003E6750"/>
    <w:p w:rsidR="00BB67AF" w:rsidRDefault="00BB67AF">
      <w:pPr>
        <w:spacing w:after="0"/>
        <w:rPr>
          <w:rFonts w:ascii="Calibri" w:hAnsi="Calibri"/>
          <w:b/>
          <w:sz w:val="25"/>
        </w:rPr>
      </w:pPr>
      <w:r>
        <w:br w:type="page"/>
      </w:r>
    </w:p>
    <w:p w:rsidR="00BB67AF" w:rsidRDefault="00BB67AF" w:rsidP="003E6750">
      <w:pPr>
        <w:pStyle w:val="Heading2NotesContd"/>
      </w:pPr>
      <w:r>
        <w:lastRenderedPageBreak/>
        <w:t xml:space="preserve">Note 32: </w:t>
      </w:r>
      <w:r>
        <w:tab/>
        <w:t xml:space="preserve">Public account disclosure </w:t>
      </w:r>
      <w:r w:rsidRPr="00827BAF">
        <w:rPr>
          <w:i/>
        </w:rPr>
        <w:t>(continued)</w:t>
      </w:r>
    </w:p>
    <w:p w:rsidR="00BB67AF" w:rsidRDefault="00BB67AF" w:rsidP="003E6750">
      <w:pPr>
        <w:pStyle w:val="Tableheading"/>
      </w:pPr>
      <w:r w:rsidRPr="009A2FDC">
        <w:t xml:space="preserve">(c) </w:t>
      </w:r>
      <w:r w:rsidRPr="009A2FDC">
        <w:tab/>
        <w:t>Reconciliation of cash flows to balances held</w:t>
      </w:r>
    </w:p>
    <w:p w:rsidR="00BB67AF" w:rsidRPr="004D1572" w:rsidRDefault="00BB67AF" w:rsidP="003E6750">
      <w:pPr>
        <w:pStyle w:val="million"/>
        <w:rPr>
          <w:b/>
          <w:bCs/>
          <w:lang w:val="en-US"/>
        </w:rPr>
      </w:pPr>
      <w:r>
        <w:t>($ million)</w:t>
      </w:r>
    </w:p>
    <w:tbl>
      <w:tblPr>
        <w:tblW w:w="9632" w:type="dxa"/>
        <w:tblInd w:w="45" w:type="dxa"/>
        <w:tblLayout w:type="fixed"/>
        <w:tblCellMar>
          <w:left w:w="45" w:type="dxa"/>
          <w:right w:w="45" w:type="dxa"/>
        </w:tblCellMar>
        <w:tblLook w:val="0000" w:firstRow="0" w:lastRow="0" w:firstColumn="0" w:lastColumn="0" w:noHBand="0" w:noVBand="0"/>
      </w:tblPr>
      <w:tblGrid>
        <w:gridCol w:w="5669"/>
        <w:gridCol w:w="1321"/>
        <w:gridCol w:w="1321"/>
        <w:gridCol w:w="1321"/>
      </w:tblGrid>
      <w:tr w:rsidR="00A6247C" w:rsidRPr="00645124" w:rsidTr="00A120C4">
        <w:trPr>
          <w:trHeight w:val="806"/>
          <w:tblHeader/>
        </w:trPr>
        <w:tc>
          <w:tcPr>
            <w:tcW w:w="5669" w:type="dxa"/>
            <w:tcBorders>
              <w:top w:val="nil"/>
              <w:left w:val="nil"/>
              <w:right w:val="nil"/>
            </w:tcBorders>
            <w:shd w:val="solid" w:color="000000" w:fill="auto"/>
            <w:vAlign w:val="bottom"/>
          </w:tcPr>
          <w:p w:rsidR="00A6247C" w:rsidRPr="00645124" w:rsidRDefault="00A6247C"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1321" w:type="dxa"/>
            <w:tcBorders>
              <w:top w:val="nil"/>
              <w:left w:val="nil"/>
              <w:right w:val="nil"/>
            </w:tcBorders>
            <w:shd w:val="solid" w:color="000000" w:fill="auto"/>
            <w:vAlign w:val="bottom"/>
          </w:tcPr>
          <w:p w:rsidR="00A6247C" w:rsidRPr="00645124" w:rsidRDefault="00A6247C" w:rsidP="00A6247C">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Balances </w:t>
            </w:r>
            <w:r w:rsidRPr="00645124">
              <w:rPr>
                <w:rFonts w:ascii="Calibri" w:eastAsiaTheme="minorEastAsia" w:hAnsi="Calibri" w:cs="Calibri"/>
                <w:i/>
                <w:iCs/>
                <w:color w:val="FFFFFF"/>
                <w:sz w:val="22"/>
                <w:szCs w:val="22"/>
                <w:lang w:eastAsia="en-AU"/>
              </w:rPr>
              <w:br/>
              <w:t>held at</w:t>
            </w:r>
            <w:r w:rsidRPr="00645124">
              <w:rPr>
                <w:rFonts w:ascii="Calibri" w:eastAsiaTheme="minorEastAsia" w:hAnsi="Calibri" w:cs="Calibri"/>
                <w:i/>
                <w:iCs/>
                <w:color w:val="FFFFFF"/>
                <w:sz w:val="22"/>
                <w:szCs w:val="22"/>
                <w:lang w:eastAsia="en-AU"/>
              </w:rPr>
              <w:br/>
              <w:t>30 Jun 2015</w:t>
            </w:r>
          </w:p>
        </w:tc>
        <w:tc>
          <w:tcPr>
            <w:tcW w:w="1321" w:type="dxa"/>
            <w:tcBorders>
              <w:top w:val="nil"/>
              <w:left w:val="nil"/>
              <w:right w:val="nil"/>
            </w:tcBorders>
            <w:shd w:val="solid" w:color="000000" w:fill="auto"/>
            <w:vAlign w:val="bottom"/>
          </w:tcPr>
          <w:p w:rsidR="00A6247C" w:rsidRPr="00645124" w:rsidRDefault="00A6247C" w:rsidP="00A6247C">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Dec</w:t>
            </w:r>
            <w:r w:rsidRPr="00645124">
              <w:rPr>
                <w:rFonts w:ascii="Calibri" w:eastAsiaTheme="minorEastAsia" w:hAnsi="Calibri" w:cs="Calibri"/>
                <w:i/>
                <w:iCs/>
                <w:color w:val="FFFFFF"/>
                <w:sz w:val="22"/>
                <w:szCs w:val="22"/>
                <w:lang w:eastAsia="en-AU"/>
              </w:rPr>
              <w:br/>
              <w:t>movement</w:t>
            </w:r>
            <w:r w:rsidRPr="00645124">
              <w:rPr>
                <w:rFonts w:ascii="Calibri" w:eastAsiaTheme="minorEastAsia" w:hAnsi="Calibri" w:cs="Calibri"/>
                <w:i/>
                <w:iCs/>
                <w:color w:val="FFFFFF"/>
                <w:sz w:val="22"/>
                <w:szCs w:val="22"/>
                <w:lang w:eastAsia="en-AU"/>
              </w:rPr>
              <w:br/>
              <w:t>YTD</w:t>
            </w:r>
          </w:p>
        </w:tc>
        <w:tc>
          <w:tcPr>
            <w:tcW w:w="1321" w:type="dxa"/>
            <w:tcBorders>
              <w:top w:val="nil"/>
              <w:left w:val="nil"/>
              <w:right w:val="nil"/>
            </w:tcBorders>
            <w:shd w:val="solid" w:color="000000" w:fill="auto"/>
            <w:vAlign w:val="bottom"/>
          </w:tcPr>
          <w:p w:rsidR="00A6247C" w:rsidRPr="00645124" w:rsidRDefault="00A6247C" w:rsidP="00A6247C">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Balances  held at </w:t>
            </w:r>
            <w:r w:rsidRPr="00645124">
              <w:rPr>
                <w:rFonts w:ascii="Calibri" w:eastAsiaTheme="minorEastAsia" w:hAnsi="Calibri" w:cs="Calibri"/>
                <w:i/>
                <w:iCs/>
                <w:color w:val="FFFFFF"/>
                <w:sz w:val="22"/>
                <w:szCs w:val="22"/>
                <w:lang w:eastAsia="en-AU"/>
              </w:rPr>
              <w:br/>
              <w:t>31 Dec 2015</w:t>
            </w:r>
          </w:p>
        </w:tc>
      </w:tr>
      <w:tr w:rsidR="00BB67AF" w:rsidRPr="00645124" w:rsidTr="003E6750">
        <w:tc>
          <w:tcPr>
            <w:tcW w:w="566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Cash and deposits</w:t>
            </w:r>
          </w:p>
        </w:tc>
        <w:tc>
          <w:tcPr>
            <w:tcW w:w="132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32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32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r>
      <w:tr w:rsidR="00BB67AF" w:rsidRPr="00645124" w:rsidTr="003E6750">
        <w:tc>
          <w:tcPr>
            <w:tcW w:w="566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Cash balances outside the Public Account</w:t>
            </w:r>
          </w:p>
        </w:tc>
        <w:tc>
          <w:tcPr>
            <w:tcW w:w="132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w:t>
            </w:r>
          </w:p>
        </w:tc>
        <w:tc>
          <w:tcPr>
            <w:tcW w:w="132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w:t>
            </w:r>
          </w:p>
        </w:tc>
        <w:tc>
          <w:tcPr>
            <w:tcW w:w="132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3E6750">
        <w:tc>
          <w:tcPr>
            <w:tcW w:w="566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Deposits held with the Public Account – specific trusts</w:t>
            </w:r>
          </w:p>
        </w:tc>
        <w:tc>
          <w:tcPr>
            <w:tcW w:w="132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806</w:t>
            </w:r>
          </w:p>
        </w:tc>
        <w:tc>
          <w:tcPr>
            <w:tcW w:w="132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37</w:t>
            </w:r>
          </w:p>
        </w:tc>
        <w:tc>
          <w:tcPr>
            <w:tcW w:w="132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843</w:t>
            </w:r>
          </w:p>
        </w:tc>
      </w:tr>
      <w:tr w:rsidR="00BB67AF" w:rsidRPr="00645124" w:rsidTr="003E6750">
        <w:tc>
          <w:tcPr>
            <w:tcW w:w="5669"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Other balances held in the Public Account</w:t>
            </w:r>
          </w:p>
        </w:tc>
        <w:tc>
          <w:tcPr>
            <w:tcW w:w="1321"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3 397</w:t>
            </w:r>
          </w:p>
        </w:tc>
        <w:tc>
          <w:tcPr>
            <w:tcW w:w="1321"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(1 061)</w:t>
            </w:r>
          </w:p>
        </w:tc>
        <w:tc>
          <w:tcPr>
            <w:tcW w:w="1321"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2 335</w:t>
            </w:r>
          </w:p>
        </w:tc>
      </w:tr>
      <w:tr w:rsidR="00BB67AF" w:rsidRPr="00645124" w:rsidTr="003E6750">
        <w:tc>
          <w:tcPr>
            <w:tcW w:w="5669"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cash and deposits</w:t>
            </w:r>
          </w:p>
        </w:tc>
        <w:tc>
          <w:tcPr>
            <w:tcW w:w="1321"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4 203</w:t>
            </w:r>
          </w:p>
        </w:tc>
        <w:tc>
          <w:tcPr>
            <w:tcW w:w="1321"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(1 026)</w:t>
            </w:r>
          </w:p>
        </w:tc>
        <w:tc>
          <w:tcPr>
            <w:tcW w:w="1321"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3 178</w:t>
            </w:r>
          </w:p>
        </w:tc>
      </w:tr>
      <w:tr w:rsidR="00BB67AF" w:rsidRPr="00645124" w:rsidTr="003E6750">
        <w:tc>
          <w:tcPr>
            <w:tcW w:w="566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Investments</w:t>
            </w:r>
          </w:p>
        </w:tc>
        <w:tc>
          <w:tcPr>
            <w:tcW w:w="132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32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32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r>
      <w:tr w:rsidR="00BB67AF" w:rsidRPr="00645124" w:rsidTr="003E6750">
        <w:tc>
          <w:tcPr>
            <w:tcW w:w="566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 xml:space="preserve">Investments held with the Public Account – specific trusts </w:t>
            </w:r>
            <w:r w:rsidRPr="00645124">
              <w:rPr>
                <w:rFonts w:ascii="Calibri" w:eastAsiaTheme="minorEastAsia" w:hAnsi="Calibri" w:cs="Calibri"/>
                <w:color w:val="000000"/>
                <w:sz w:val="22"/>
                <w:szCs w:val="22"/>
                <w:vertAlign w:val="superscript"/>
                <w:lang w:eastAsia="en-AU"/>
              </w:rPr>
              <w:t xml:space="preserve">(a) </w:t>
            </w:r>
          </w:p>
        </w:tc>
        <w:tc>
          <w:tcPr>
            <w:tcW w:w="132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720</w:t>
            </w:r>
          </w:p>
        </w:tc>
        <w:tc>
          <w:tcPr>
            <w:tcW w:w="132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19</w:t>
            </w:r>
          </w:p>
        </w:tc>
        <w:tc>
          <w:tcPr>
            <w:tcW w:w="132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739</w:t>
            </w:r>
          </w:p>
        </w:tc>
      </w:tr>
      <w:tr w:rsidR="00BB67AF" w:rsidRPr="00645124" w:rsidTr="003E6750">
        <w:tc>
          <w:tcPr>
            <w:tcW w:w="5669"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vertAlign w:val="superscript"/>
                <w:lang w:eastAsia="en-AU"/>
              </w:rPr>
            </w:pPr>
            <w:r w:rsidRPr="00645124">
              <w:rPr>
                <w:rFonts w:ascii="Calibri" w:eastAsiaTheme="minorEastAsia" w:hAnsi="Calibri" w:cs="Calibri"/>
                <w:b/>
                <w:bCs/>
                <w:color w:val="000000"/>
                <w:sz w:val="22"/>
                <w:szCs w:val="22"/>
                <w:lang w:eastAsia="en-AU"/>
              </w:rPr>
              <w:t xml:space="preserve">Total investments </w:t>
            </w:r>
            <w:r w:rsidRPr="00645124">
              <w:rPr>
                <w:rFonts w:ascii="Calibri" w:eastAsiaTheme="minorEastAsia" w:hAnsi="Calibri" w:cs="Calibri"/>
                <w:b/>
                <w:bCs/>
                <w:color w:val="000000"/>
                <w:sz w:val="22"/>
                <w:szCs w:val="22"/>
                <w:vertAlign w:val="superscript"/>
                <w:lang w:eastAsia="en-AU"/>
              </w:rPr>
              <w:t>(a)</w:t>
            </w:r>
          </w:p>
        </w:tc>
        <w:tc>
          <w:tcPr>
            <w:tcW w:w="1321"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720</w:t>
            </w:r>
          </w:p>
        </w:tc>
        <w:tc>
          <w:tcPr>
            <w:tcW w:w="1321"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19</w:t>
            </w:r>
          </w:p>
        </w:tc>
        <w:tc>
          <w:tcPr>
            <w:tcW w:w="1321"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739</w:t>
            </w:r>
          </w:p>
        </w:tc>
      </w:tr>
      <w:tr w:rsidR="00BB67AF" w:rsidRPr="00645124" w:rsidTr="003E6750">
        <w:tc>
          <w:tcPr>
            <w:tcW w:w="5669"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vertAlign w:val="superscript"/>
                <w:lang w:eastAsia="en-AU"/>
              </w:rPr>
            </w:pPr>
            <w:r w:rsidRPr="00645124">
              <w:rPr>
                <w:rFonts w:ascii="Calibri" w:eastAsiaTheme="minorEastAsia" w:hAnsi="Calibri" w:cs="Calibri"/>
                <w:b/>
                <w:bCs/>
                <w:color w:val="000000"/>
                <w:sz w:val="22"/>
                <w:szCs w:val="22"/>
                <w:lang w:eastAsia="en-AU"/>
              </w:rPr>
              <w:t xml:space="preserve">Total fund balances </w:t>
            </w:r>
            <w:r w:rsidRPr="00645124">
              <w:rPr>
                <w:rFonts w:ascii="Calibri" w:eastAsiaTheme="minorEastAsia" w:hAnsi="Calibri" w:cs="Calibri"/>
                <w:b/>
                <w:bCs/>
                <w:color w:val="000000"/>
                <w:sz w:val="22"/>
                <w:szCs w:val="22"/>
                <w:vertAlign w:val="superscript"/>
                <w:lang w:eastAsia="en-AU"/>
              </w:rPr>
              <w:t>(a)</w:t>
            </w:r>
          </w:p>
        </w:tc>
        <w:tc>
          <w:tcPr>
            <w:tcW w:w="1321"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4 924</w:t>
            </w:r>
          </w:p>
        </w:tc>
        <w:tc>
          <w:tcPr>
            <w:tcW w:w="1321"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(1 008)</w:t>
            </w:r>
          </w:p>
        </w:tc>
        <w:tc>
          <w:tcPr>
            <w:tcW w:w="1321"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3 917</w:t>
            </w:r>
          </w:p>
        </w:tc>
      </w:tr>
      <w:tr w:rsidR="00BB67AF" w:rsidRPr="00645124" w:rsidTr="003E6750">
        <w:tc>
          <w:tcPr>
            <w:tcW w:w="566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Less funds held outside the Public Account</w:t>
            </w:r>
          </w:p>
        </w:tc>
        <w:tc>
          <w:tcPr>
            <w:tcW w:w="132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32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32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r>
      <w:tr w:rsidR="00BB67AF" w:rsidRPr="00645124" w:rsidTr="003E6750">
        <w:tc>
          <w:tcPr>
            <w:tcW w:w="5669"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Cash </w:t>
            </w:r>
          </w:p>
        </w:tc>
        <w:tc>
          <w:tcPr>
            <w:tcW w:w="132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w:t>
            </w:r>
          </w:p>
        </w:tc>
        <w:tc>
          <w:tcPr>
            <w:tcW w:w="132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w:t>
            </w:r>
          </w:p>
        </w:tc>
        <w:tc>
          <w:tcPr>
            <w:tcW w:w="1321"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w:t>
            </w:r>
          </w:p>
        </w:tc>
      </w:tr>
      <w:tr w:rsidR="00BB67AF" w:rsidRPr="00645124" w:rsidTr="003E6750">
        <w:tc>
          <w:tcPr>
            <w:tcW w:w="5669"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Total fund balances held outside the Public Account</w:t>
            </w:r>
          </w:p>
        </w:tc>
        <w:tc>
          <w:tcPr>
            <w:tcW w:w="1321"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w:t>
            </w:r>
          </w:p>
        </w:tc>
        <w:tc>
          <w:tcPr>
            <w:tcW w:w="1321"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w:t>
            </w:r>
          </w:p>
        </w:tc>
        <w:tc>
          <w:tcPr>
            <w:tcW w:w="1321"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w:t>
            </w:r>
          </w:p>
        </w:tc>
      </w:tr>
      <w:tr w:rsidR="00BB67AF" w:rsidRPr="00645124" w:rsidTr="003E6750">
        <w:tc>
          <w:tcPr>
            <w:tcW w:w="5669"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2"/>
                <w:szCs w:val="22"/>
                <w:vertAlign w:val="superscript"/>
                <w:lang w:eastAsia="en-AU"/>
              </w:rPr>
            </w:pPr>
            <w:r w:rsidRPr="00645124">
              <w:rPr>
                <w:rFonts w:ascii="Calibri" w:eastAsiaTheme="minorEastAsia" w:hAnsi="Calibri" w:cs="Calibri"/>
                <w:b/>
                <w:bCs/>
                <w:color w:val="000000"/>
                <w:sz w:val="22"/>
                <w:szCs w:val="22"/>
                <w:lang w:eastAsia="en-AU"/>
              </w:rPr>
              <w:t xml:space="preserve">Total funds held in the Public Account </w:t>
            </w:r>
            <w:r w:rsidRPr="00645124">
              <w:rPr>
                <w:rFonts w:ascii="Calibri" w:eastAsiaTheme="minorEastAsia" w:hAnsi="Calibri" w:cs="Calibri"/>
                <w:b/>
                <w:bCs/>
                <w:color w:val="000000"/>
                <w:sz w:val="22"/>
                <w:szCs w:val="22"/>
                <w:vertAlign w:val="superscript"/>
                <w:lang w:eastAsia="en-AU"/>
              </w:rPr>
              <w:t>(a)(b)</w:t>
            </w:r>
          </w:p>
        </w:tc>
        <w:tc>
          <w:tcPr>
            <w:tcW w:w="1321"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4 923</w:t>
            </w:r>
          </w:p>
        </w:tc>
        <w:tc>
          <w:tcPr>
            <w:tcW w:w="1321"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(1 007)</w:t>
            </w:r>
          </w:p>
        </w:tc>
        <w:tc>
          <w:tcPr>
            <w:tcW w:w="1321"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3 917</w:t>
            </w:r>
          </w:p>
        </w:tc>
      </w:tr>
    </w:tbl>
    <w:p w:rsidR="00BB67AF" w:rsidRDefault="00BB67AF" w:rsidP="003E6750">
      <w:pPr>
        <w:pStyle w:val="Notes"/>
      </w:pPr>
      <w:r>
        <w:t>Note:</w:t>
      </w:r>
    </w:p>
    <w:p w:rsidR="00BB67AF" w:rsidRDefault="00BB67AF" w:rsidP="003E6750">
      <w:pPr>
        <w:pStyle w:val="Notes"/>
      </w:pPr>
      <w:r w:rsidRPr="00786414">
        <w:t>(a)</w:t>
      </w:r>
      <w:r w:rsidRPr="00786414">
        <w:tab/>
      </w:r>
      <w:r>
        <w:t>June 2015 balances have been restated to reflect more current information.</w:t>
      </w:r>
    </w:p>
    <w:p w:rsidR="00BB67AF" w:rsidRPr="00786414" w:rsidRDefault="00BB67AF" w:rsidP="003E6750">
      <w:pPr>
        <w:pStyle w:val="Notes"/>
      </w:pPr>
      <w:r w:rsidRPr="00786414">
        <w:t>(b)</w:t>
      </w:r>
      <w:r w:rsidRPr="00786414">
        <w:tab/>
        <w:t>See note 3</w:t>
      </w:r>
      <w:r>
        <w:t>2</w:t>
      </w:r>
      <w:r w:rsidRPr="00786414">
        <w:t xml:space="preserve"> (d) for details of securities and investments including amounts held in the Public Account on behalf of trust accounts.</w:t>
      </w:r>
    </w:p>
    <w:p w:rsidR="00BB67AF" w:rsidRPr="00786414" w:rsidRDefault="00BB67AF" w:rsidP="003E6750">
      <w:pPr>
        <w:pStyle w:val="Notes"/>
        <w:ind w:left="0" w:firstLine="0"/>
      </w:pPr>
    </w:p>
    <w:p w:rsidR="00BB67AF" w:rsidRDefault="00BB67AF" w:rsidP="003E6750"/>
    <w:p w:rsidR="00BB67AF" w:rsidRDefault="00BB67AF" w:rsidP="003E6750">
      <w:pPr>
        <w:pStyle w:val="Tableheading"/>
      </w:pPr>
      <w:r w:rsidRPr="009A2FDC">
        <w:t xml:space="preserve">(d) </w:t>
      </w:r>
      <w:r w:rsidRPr="009A2FDC">
        <w:tab/>
        <w:t>Details of</w:t>
      </w:r>
      <w:r>
        <w:t xml:space="preserve"> securities held in the Public a</w:t>
      </w:r>
      <w:r w:rsidRPr="009A2FDC">
        <w:t>ccount</w:t>
      </w:r>
    </w:p>
    <w:p w:rsidR="00BB67AF" w:rsidRPr="004D1572" w:rsidRDefault="00BB67AF" w:rsidP="003E6750">
      <w:pPr>
        <w:pStyle w:val="million"/>
        <w:rPr>
          <w:b/>
          <w:bCs/>
          <w:lang w:val="en-US"/>
        </w:rPr>
      </w:pPr>
      <w:r>
        <w:t>($ million)</w:t>
      </w:r>
    </w:p>
    <w:tbl>
      <w:tblPr>
        <w:tblW w:w="9638" w:type="dxa"/>
        <w:tblInd w:w="45" w:type="dxa"/>
        <w:tblLayout w:type="fixed"/>
        <w:tblCellMar>
          <w:left w:w="45" w:type="dxa"/>
          <w:right w:w="45" w:type="dxa"/>
        </w:tblCellMar>
        <w:tblLook w:val="0000" w:firstRow="0" w:lastRow="0" w:firstColumn="0" w:lastColumn="0" w:noHBand="0" w:noVBand="0"/>
      </w:tblPr>
      <w:tblGrid>
        <w:gridCol w:w="1134"/>
        <w:gridCol w:w="6236"/>
        <w:gridCol w:w="1134"/>
        <w:gridCol w:w="1134"/>
      </w:tblGrid>
      <w:tr w:rsidR="00A6247C" w:rsidRPr="00645124" w:rsidTr="00A120C4">
        <w:trPr>
          <w:tblHeader/>
        </w:trPr>
        <w:tc>
          <w:tcPr>
            <w:tcW w:w="1134" w:type="dxa"/>
            <w:tcBorders>
              <w:top w:val="nil"/>
              <w:left w:val="nil"/>
              <w:bottom w:val="nil"/>
              <w:right w:val="nil"/>
            </w:tcBorders>
            <w:shd w:val="solid" w:color="000000" w:fill="auto"/>
            <w:vAlign w:val="bottom"/>
          </w:tcPr>
          <w:p w:rsidR="00A6247C" w:rsidRPr="00645124" w:rsidRDefault="00A6247C"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2014</w:t>
            </w:r>
            <w:r w:rsidRPr="00645124">
              <w:rPr>
                <w:rFonts w:ascii="Calibri" w:eastAsiaTheme="minorEastAsia" w:hAnsi="Calibri" w:cs="Calibri"/>
                <w:i/>
                <w:iCs/>
                <w:color w:val="FFFFFF"/>
                <w:sz w:val="22"/>
                <w:szCs w:val="22"/>
                <w:lang w:eastAsia="en-AU"/>
              </w:rPr>
              <w:noBreakHyphen/>
              <w:t>15</w:t>
            </w:r>
          </w:p>
        </w:tc>
        <w:tc>
          <w:tcPr>
            <w:tcW w:w="6236" w:type="dxa"/>
            <w:tcBorders>
              <w:top w:val="nil"/>
              <w:left w:val="nil"/>
              <w:bottom w:val="nil"/>
              <w:right w:val="nil"/>
            </w:tcBorders>
            <w:shd w:val="solid" w:color="000000" w:fill="auto"/>
            <w:vAlign w:val="bottom"/>
          </w:tcPr>
          <w:p w:rsidR="00A6247C" w:rsidRPr="00645124" w:rsidRDefault="00A6247C"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2268" w:type="dxa"/>
            <w:gridSpan w:val="2"/>
            <w:tcBorders>
              <w:top w:val="nil"/>
              <w:left w:val="nil"/>
              <w:bottom w:val="nil"/>
              <w:right w:val="nil"/>
            </w:tcBorders>
            <w:shd w:val="solid" w:color="000000" w:fill="auto"/>
            <w:vAlign w:val="bottom"/>
          </w:tcPr>
          <w:p w:rsidR="00A6247C" w:rsidRPr="00645124" w:rsidRDefault="00A6247C" w:rsidP="00A6247C">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w:t>
            </w:r>
            <w:r w:rsidRPr="00645124">
              <w:rPr>
                <w:rFonts w:ascii="Calibri" w:eastAsiaTheme="minorEastAsia" w:hAnsi="Calibri" w:cs="Calibri"/>
                <w:i/>
                <w:iCs/>
                <w:color w:val="FFFFFF"/>
                <w:sz w:val="22"/>
                <w:szCs w:val="22"/>
                <w:lang w:eastAsia="en-AU"/>
              </w:rPr>
              <w:noBreakHyphen/>
              <w:t>16</w:t>
            </w:r>
          </w:p>
        </w:tc>
      </w:tr>
      <w:tr w:rsidR="00A6247C" w:rsidRPr="00645124" w:rsidTr="00A120C4">
        <w:trPr>
          <w:trHeight w:val="537"/>
          <w:tblHeader/>
        </w:trPr>
        <w:tc>
          <w:tcPr>
            <w:tcW w:w="1134" w:type="dxa"/>
            <w:tcBorders>
              <w:top w:val="nil"/>
              <w:left w:val="nil"/>
              <w:right w:val="nil"/>
            </w:tcBorders>
            <w:shd w:val="solid" w:color="000000" w:fill="auto"/>
            <w:vAlign w:val="bottom"/>
          </w:tcPr>
          <w:p w:rsidR="00A6247C" w:rsidRPr="00645124" w:rsidRDefault="00A6247C"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Actual </w:t>
            </w:r>
          </w:p>
          <w:p w:rsidR="00A6247C" w:rsidRPr="00645124" w:rsidRDefault="00A6247C"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to Dec</w:t>
            </w:r>
          </w:p>
        </w:tc>
        <w:tc>
          <w:tcPr>
            <w:tcW w:w="6236" w:type="dxa"/>
            <w:tcBorders>
              <w:top w:val="nil"/>
              <w:left w:val="nil"/>
              <w:right w:val="nil"/>
            </w:tcBorders>
            <w:shd w:val="solid" w:color="000000" w:fill="auto"/>
            <w:vAlign w:val="bottom"/>
          </w:tcPr>
          <w:p w:rsidR="00A6247C" w:rsidRPr="00645124" w:rsidRDefault="00A6247C" w:rsidP="003E6750">
            <w:pPr>
              <w:autoSpaceDE w:val="0"/>
              <w:autoSpaceDN w:val="0"/>
              <w:adjustRightInd w:val="0"/>
              <w:spacing w:after="0"/>
              <w:rPr>
                <w:rFonts w:ascii="Calibri" w:eastAsiaTheme="minorEastAsia" w:hAnsi="Calibri" w:cs="Calibri"/>
                <w:i/>
                <w:iCs/>
                <w:color w:val="FFFFFF"/>
                <w:sz w:val="22"/>
                <w:szCs w:val="22"/>
                <w:lang w:eastAsia="en-AU"/>
              </w:rPr>
            </w:pPr>
          </w:p>
        </w:tc>
        <w:tc>
          <w:tcPr>
            <w:tcW w:w="1134" w:type="dxa"/>
            <w:tcBorders>
              <w:top w:val="nil"/>
              <w:left w:val="nil"/>
              <w:right w:val="nil"/>
            </w:tcBorders>
            <w:shd w:val="solid" w:color="000000" w:fill="auto"/>
            <w:vAlign w:val="bottom"/>
          </w:tcPr>
          <w:p w:rsidR="00A6247C" w:rsidRPr="00645124" w:rsidRDefault="00A6247C"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Opening</w:t>
            </w:r>
          </w:p>
          <w:p w:rsidR="00A6247C" w:rsidRPr="00645124" w:rsidRDefault="00A6247C"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1 Jul</w:t>
            </w:r>
          </w:p>
        </w:tc>
        <w:tc>
          <w:tcPr>
            <w:tcW w:w="1134" w:type="dxa"/>
            <w:tcBorders>
              <w:top w:val="nil"/>
              <w:left w:val="nil"/>
              <w:right w:val="nil"/>
            </w:tcBorders>
            <w:shd w:val="solid" w:color="000000" w:fill="auto"/>
            <w:vAlign w:val="bottom"/>
          </w:tcPr>
          <w:p w:rsidR="00A6247C" w:rsidRPr="00645124" w:rsidRDefault="00A6247C"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Actual </w:t>
            </w:r>
          </w:p>
          <w:p w:rsidR="00A6247C" w:rsidRPr="00645124" w:rsidRDefault="00A6247C"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31 Dec</w:t>
            </w:r>
          </w:p>
        </w:tc>
      </w:tr>
      <w:tr w:rsidR="00BB67AF" w:rsidRPr="00645124" w:rsidTr="003E6750">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1 528</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Amounts invested on behalf of specific trust accounts </w:t>
            </w:r>
            <w:r w:rsidRPr="00645124">
              <w:rPr>
                <w:rFonts w:ascii="Calibri" w:eastAsiaTheme="minorEastAsia" w:hAnsi="Calibri" w:cs="Calibri"/>
                <w:color w:val="000000"/>
                <w:sz w:val="22"/>
                <w:szCs w:val="22"/>
                <w:vertAlign w:val="superscript"/>
                <w:lang w:eastAsia="en-AU"/>
              </w:rPr>
              <w:t>(a)</w:t>
            </w:r>
            <w:r w:rsidRPr="00645124">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1 525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1 581</w:t>
            </w:r>
          </w:p>
        </w:tc>
      </w:tr>
      <w:tr w:rsidR="00BB67AF" w:rsidRPr="00645124" w:rsidTr="003E6750">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1 197</w:t>
            </w:r>
          </w:p>
        </w:tc>
        <w:tc>
          <w:tcPr>
            <w:tcW w:w="6236"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General account balances</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3 397</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2 335</w:t>
            </w:r>
          </w:p>
        </w:tc>
      </w:tr>
      <w:tr w:rsidR="00BB67AF" w:rsidRPr="00645124" w:rsidTr="003E6750">
        <w:tc>
          <w:tcPr>
            <w:tcW w:w="1134" w:type="dxa"/>
            <w:tcBorders>
              <w:top w:val="single" w:sz="6" w:space="0" w:color="auto"/>
              <w:left w:val="nil"/>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2 725</w:t>
            </w:r>
          </w:p>
        </w:tc>
        <w:tc>
          <w:tcPr>
            <w:tcW w:w="6236" w:type="dxa"/>
            <w:tcBorders>
              <w:top w:val="single" w:sz="6" w:space="0" w:color="auto"/>
              <w:left w:val="nil"/>
              <w:right w:val="nil"/>
            </w:tcBorders>
            <w:shd w:val="clear" w:color="000000"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b/>
                <w:bCs/>
                <w:color w:val="000000"/>
                <w:sz w:val="22"/>
                <w:szCs w:val="22"/>
                <w:vertAlign w:val="superscript"/>
                <w:lang w:eastAsia="en-AU"/>
              </w:rPr>
            </w:pPr>
            <w:r w:rsidRPr="00645124">
              <w:rPr>
                <w:rFonts w:ascii="Calibri" w:eastAsiaTheme="minorEastAsia" w:hAnsi="Calibri" w:cs="Calibri"/>
                <w:b/>
                <w:bCs/>
                <w:color w:val="000000"/>
                <w:sz w:val="22"/>
                <w:szCs w:val="22"/>
                <w:lang w:eastAsia="en-AU"/>
              </w:rPr>
              <w:t xml:space="preserve">Total Public Account </w:t>
            </w:r>
            <w:r w:rsidRPr="00645124">
              <w:rPr>
                <w:rFonts w:ascii="Calibri" w:eastAsiaTheme="minorEastAsia" w:hAnsi="Calibri" w:cs="Calibri"/>
                <w:b/>
                <w:bCs/>
                <w:color w:val="000000"/>
                <w:sz w:val="22"/>
                <w:szCs w:val="22"/>
                <w:vertAlign w:val="superscript"/>
                <w:lang w:eastAsia="en-AU"/>
              </w:rPr>
              <w:t>(a)</w:t>
            </w:r>
          </w:p>
        </w:tc>
        <w:tc>
          <w:tcPr>
            <w:tcW w:w="1134" w:type="dxa"/>
            <w:tcBorders>
              <w:top w:val="single" w:sz="6" w:space="0" w:color="auto"/>
              <w:left w:val="nil"/>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4 923</w:t>
            </w:r>
          </w:p>
        </w:tc>
        <w:tc>
          <w:tcPr>
            <w:tcW w:w="1134" w:type="dxa"/>
            <w:tcBorders>
              <w:top w:val="single" w:sz="6" w:space="0" w:color="auto"/>
              <w:left w:val="nil"/>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3 917</w:t>
            </w:r>
          </w:p>
        </w:tc>
      </w:tr>
      <w:tr w:rsidR="00BB67AF" w:rsidRPr="00645124" w:rsidTr="003E6750">
        <w:tc>
          <w:tcPr>
            <w:tcW w:w="1134" w:type="dxa"/>
            <w:tcBorders>
              <w:top w:val="nil"/>
              <w:left w:val="nil"/>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6236" w:type="dxa"/>
            <w:tcBorders>
              <w:top w:val="nil"/>
              <w:left w:val="nil"/>
              <w:right w:val="nil"/>
            </w:tcBorders>
            <w:shd w:val="clear" w:color="000000"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Represented by:</w:t>
            </w:r>
          </w:p>
        </w:tc>
        <w:tc>
          <w:tcPr>
            <w:tcW w:w="1134" w:type="dxa"/>
            <w:tcBorders>
              <w:top w:val="nil"/>
              <w:left w:val="nil"/>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000000"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r>
      <w:tr w:rsidR="00BB67AF" w:rsidRPr="00645124" w:rsidTr="003E6750">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1 528</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vertAlign w:val="superscript"/>
                <w:lang w:eastAsia="en-AU"/>
              </w:rPr>
            </w:pPr>
            <w:r w:rsidRPr="00645124">
              <w:rPr>
                <w:rFonts w:ascii="Calibri" w:eastAsiaTheme="minorEastAsia" w:hAnsi="Calibri" w:cs="Calibri"/>
                <w:color w:val="000000"/>
                <w:sz w:val="22"/>
                <w:szCs w:val="22"/>
                <w:lang w:eastAsia="en-AU"/>
              </w:rPr>
              <w:t xml:space="preserve">Stocks and securities </w:t>
            </w:r>
            <w:r w:rsidRPr="00645124">
              <w:rPr>
                <w:rFonts w:ascii="Calibri" w:eastAsiaTheme="minorEastAsia" w:hAnsi="Calibri" w:cs="Calibri"/>
                <w:color w:val="000000"/>
                <w:sz w:val="22"/>
                <w:szCs w:val="22"/>
                <w:vertAlign w:val="superscript"/>
                <w:lang w:eastAsia="en-AU"/>
              </w:rPr>
              <w:t>(a)</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1 525</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1 581</w:t>
            </w:r>
          </w:p>
        </w:tc>
      </w:tr>
      <w:tr w:rsidR="00BB67AF" w:rsidRPr="00645124" w:rsidTr="003E6750">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860</w:t>
            </w:r>
          </w:p>
        </w:tc>
        <w:tc>
          <w:tcPr>
            <w:tcW w:w="6236"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Cash and investments</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2 087</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1 055</w:t>
            </w:r>
          </w:p>
        </w:tc>
      </w:tr>
      <w:tr w:rsidR="00BB67AF" w:rsidRPr="00645124" w:rsidTr="003E6750">
        <w:tc>
          <w:tcPr>
            <w:tcW w:w="113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2 388</w:t>
            </w:r>
          </w:p>
        </w:tc>
        <w:tc>
          <w:tcPr>
            <w:tcW w:w="6236"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b/>
                <w:bCs/>
                <w:color w:val="000000"/>
                <w:sz w:val="22"/>
                <w:szCs w:val="22"/>
                <w:vertAlign w:val="superscript"/>
                <w:lang w:eastAsia="en-AU"/>
              </w:rPr>
            </w:pPr>
            <w:r w:rsidRPr="00645124">
              <w:rPr>
                <w:rFonts w:ascii="Calibri" w:eastAsiaTheme="minorEastAsia" w:hAnsi="Calibri" w:cs="Calibri"/>
                <w:b/>
                <w:bCs/>
                <w:color w:val="000000"/>
                <w:sz w:val="22"/>
                <w:szCs w:val="22"/>
                <w:lang w:eastAsia="en-AU"/>
              </w:rPr>
              <w:t xml:space="preserve">Total stock, securities, cash and investments </w:t>
            </w:r>
            <w:r w:rsidRPr="00645124">
              <w:rPr>
                <w:rFonts w:ascii="Calibri" w:eastAsiaTheme="minorEastAsia" w:hAnsi="Calibri" w:cs="Calibri"/>
                <w:b/>
                <w:bCs/>
                <w:color w:val="000000"/>
                <w:sz w:val="22"/>
                <w:szCs w:val="22"/>
                <w:vertAlign w:val="superscript"/>
                <w:lang w:eastAsia="en-AU"/>
              </w:rPr>
              <w:t>(a)</w:t>
            </w:r>
          </w:p>
        </w:tc>
        <w:tc>
          <w:tcPr>
            <w:tcW w:w="113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3 613</w:t>
            </w:r>
          </w:p>
        </w:tc>
        <w:tc>
          <w:tcPr>
            <w:tcW w:w="1134" w:type="dxa"/>
            <w:tcBorders>
              <w:top w:val="single" w:sz="6" w:space="0" w:color="auto"/>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2 637</w:t>
            </w:r>
          </w:p>
        </w:tc>
      </w:tr>
      <w:tr w:rsidR="00BB67AF" w:rsidRPr="00645124" w:rsidTr="003E6750">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6236"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Add cash advanced for: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r>
      <w:tr w:rsidR="00BB67AF" w:rsidRPr="00645124" w:rsidTr="003E6750">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337</w:t>
            </w:r>
          </w:p>
        </w:tc>
        <w:tc>
          <w:tcPr>
            <w:tcW w:w="6236"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i/>
                <w:iCs/>
                <w:color w:val="000000"/>
                <w:sz w:val="22"/>
                <w:szCs w:val="22"/>
                <w:lang w:eastAsia="en-AU"/>
              </w:rPr>
            </w:pPr>
            <w:r w:rsidRPr="00645124">
              <w:rPr>
                <w:rFonts w:ascii="Calibri" w:eastAsiaTheme="minorEastAsia" w:hAnsi="Calibri" w:cs="Calibri"/>
                <w:color w:val="000000"/>
                <w:sz w:val="22"/>
                <w:szCs w:val="22"/>
                <w:lang w:eastAsia="en-AU"/>
              </w:rPr>
              <w:t xml:space="preserve">Advances pursuant to sections 36 and 37 of the </w:t>
            </w:r>
            <w:r w:rsidR="00A6247C" w:rsidRPr="00645124">
              <w:rPr>
                <w:rFonts w:ascii="Calibri" w:eastAsiaTheme="minorEastAsia" w:hAnsi="Calibri" w:cs="Calibri"/>
                <w:color w:val="000000"/>
                <w:sz w:val="22"/>
                <w:szCs w:val="22"/>
                <w:lang w:eastAsia="en-AU"/>
              </w:rPr>
              <w:br/>
            </w:r>
            <w:r w:rsidRPr="00645124">
              <w:rPr>
                <w:rFonts w:ascii="Calibri" w:eastAsiaTheme="minorEastAsia" w:hAnsi="Calibri" w:cs="Calibri"/>
                <w:i/>
                <w:iCs/>
                <w:color w:val="000000"/>
                <w:sz w:val="22"/>
                <w:szCs w:val="22"/>
                <w:lang w:eastAsia="en-AU"/>
              </w:rPr>
              <w:t>Financial Management Act 1994</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1 310</w:t>
            </w:r>
          </w:p>
        </w:tc>
        <w:tc>
          <w:tcPr>
            <w:tcW w:w="1134" w:type="dxa"/>
            <w:tcBorders>
              <w:top w:val="nil"/>
              <w:left w:val="nil"/>
              <w:bottom w:val="single" w:sz="6"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1 280</w:t>
            </w:r>
          </w:p>
        </w:tc>
      </w:tr>
      <w:tr w:rsidR="00BB67AF" w:rsidRPr="00645124" w:rsidTr="003E6750">
        <w:tc>
          <w:tcPr>
            <w:tcW w:w="1134"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2 725</w:t>
            </w:r>
          </w:p>
        </w:tc>
        <w:tc>
          <w:tcPr>
            <w:tcW w:w="6236"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340" w:hanging="227"/>
              <w:rPr>
                <w:rFonts w:ascii="Calibri" w:eastAsiaTheme="minorEastAsia" w:hAnsi="Calibri" w:cs="Calibri"/>
                <w:b/>
                <w:bCs/>
                <w:color w:val="000000"/>
                <w:sz w:val="22"/>
                <w:szCs w:val="22"/>
                <w:vertAlign w:val="superscript"/>
                <w:lang w:eastAsia="en-AU"/>
              </w:rPr>
            </w:pPr>
            <w:r w:rsidRPr="00645124">
              <w:rPr>
                <w:rFonts w:ascii="Calibri" w:eastAsiaTheme="minorEastAsia" w:hAnsi="Calibri" w:cs="Calibri"/>
                <w:b/>
                <w:bCs/>
                <w:color w:val="000000"/>
                <w:sz w:val="22"/>
                <w:szCs w:val="22"/>
                <w:lang w:eastAsia="en-AU"/>
              </w:rPr>
              <w:t xml:space="preserve">Total Public Account </w:t>
            </w:r>
            <w:r w:rsidRPr="00645124">
              <w:rPr>
                <w:rFonts w:ascii="Calibri" w:eastAsiaTheme="minorEastAsia" w:hAnsi="Calibri" w:cs="Calibri"/>
                <w:b/>
                <w:bCs/>
                <w:color w:val="000000"/>
                <w:sz w:val="22"/>
                <w:szCs w:val="22"/>
                <w:vertAlign w:val="superscript"/>
                <w:lang w:eastAsia="en-AU"/>
              </w:rPr>
              <w:t>(a)</w:t>
            </w:r>
          </w:p>
        </w:tc>
        <w:tc>
          <w:tcPr>
            <w:tcW w:w="1134"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4 923</w:t>
            </w:r>
          </w:p>
        </w:tc>
        <w:tc>
          <w:tcPr>
            <w:tcW w:w="1134" w:type="dxa"/>
            <w:tcBorders>
              <w:top w:val="single" w:sz="6" w:space="0" w:color="auto"/>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2"/>
                <w:szCs w:val="22"/>
                <w:lang w:eastAsia="en-AU"/>
              </w:rPr>
            </w:pPr>
            <w:r w:rsidRPr="00645124">
              <w:rPr>
                <w:rFonts w:ascii="Calibri" w:eastAsiaTheme="minorEastAsia" w:hAnsi="Calibri" w:cs="Calibri"/>
                <w:b/>
                <w:bCs/>
                <w:color w:val="000000"/>
                <w:sz w:val="22"/>
                <w:szCs w:val="22"/>
                <w:lang w:eastAsia="en-AU"/>
              </w:rPr>
              <w:t>3 917</w:t>
            </w:r>
          </w:p>
        </w:tc>
      </w:tr>
    </w:tbl>
    <w:p w:rsidR="00BB67AF" w:rsidRDefault="00BB67AF" w:rsidP="003E6750">
      <w:pPr>
        <w:pStyle w:val="Notes"/>
      </w:pPr>
      <w:r>
        <w:t>Note:</w:t>
      </w:r>
    </w:p>
    <w:p w:rsidR="00BB67AF" w:rsidRDefault="00BB67AF" w:rsidP="003E6750">
      <w:pPr>
        <w:pStyle w:val="Notes"/>
      </w:pPr>
      <w:r w:rsidRPr="00786414">
        <w:t>(a)</w:t>
      </w:r>
      <w:r w:rsidRPr="00786414">
        <w:tab/>
        <w:t xml:space="preserve">The </w:t>
      </w:r>
      <w:r>
        <w:t xml:space="preserve">1 July opening balances </w:t>
      </w:r>
      <w:r w:rsidRPr="00786414">
        <w:t>have been restated to reflect more current information.</w:t>
      </w:r>
    </w:p>
    <w:p w:rsidR="00BB67AF" w:rsidRDefault="00BB67AF" w:rsidP="003E6750"/>
    <w:p w:rsidR="00BB67AF" w:rsidRDefault="00BB67AF">
      <w:pPr>
        <w:spacing w:after="0"/>
        <w:rPr>
          <w:rFonts w:ascii="Calibri" w:hAnsi="Calibri"/>
          <w:b/>
          <w:kern w:val="28"/>
          <w:sz w:val="28"/>
          <w:szCs w:val="22"/>
        </w:rPr>
      </w:pPr>
      <w:r>
        <w:br w:type="page"/>
      </w:r>
    </w:p>
    <w:p w:rsidR="00BB67AF" w:rsidRDefault="00BB67AF" w:rsidP="003E6750">
      <w:pPr>
        <w:pStyle w:val="Heading2Notes"/>
      </w:pPr>
      <w:bookmarkStart w:id="42" w:name="_Toc445283191"/>
      <w:r>
        <w:lastRenderedPageBreak/>
        <w:t xml:space="preserve">Note 33: </w:t>
      </w:r>
      <w:r>
        <w:tab/>
        <w:t>Controlled entities</w:t>
      </w:r>
      <w:bookmarkEnd w:id="42"/>
    </w:p>
    <w:p w:rsidR="00BB67AF" w:rsidRDefault="00BB67AF" w:rsidP="003E6750">
      <w:r>
        <w:t xml:space="preserve">Note 42 Controlled Entities in the </w:t>
      </w:r>
      <w:r w:rsidRPr="00CB153C">
        <w:rPr>
          <w:i/>
        </w:rPr>
        <w:t>2014</w:t>
      </w:r>
      <w:r>
        <w:rPr>
          <w:i/>
        </w:rPr>
        <w:noBreakHyphen/>
      </w:r>
      <w:r w:rsidRPr="00CB153C">
        <w:rPr>
          <w:i/>
        </w:rPr>
        <w:t xml:space="preserve">15 Financial Report </w:t>
      </w:r>
      <w:r w:rsidRPr="000014D7">
        <w:t>for the State of Victoria con</w:t>
      </w:r>
      <w:r>
        <w:t>tains a list of significant controlled entities which have been consolidated for the purposes of the financial report.</w:t>
      </w:r>
    </w:p>
    <w:p w:rsidR="00BB67AF" w:rsidRDefault="00BB67AF" w:rsidP="003E6750">
      <w:r>
        <w:t>The following are changes from 1 July 2015, relevant to the preparation of the Mid</w:t>
      </w:r>
      <w:r>
        <w:noBreakHyphen/>
        <w:t>Year Financial Report:</w:t>
      </w:r>
    </w:p>
    <w:p w:rsidR="00BB67AF" w:rsidRDefault="00BB67AF" w:rsidP="003E6750">
      <w:pPr>
        <w:pStyle w:val="BulletText"/>
        <w:numPr>
          <w:ilvl w:val="0"/>
          <w:numId w:val="25"/>
        </w:numPr>
      </w:pPr>
      <w:r>
        <w:t>effective from 1 July 2015, the Domestic (HIH) Indemnity Fund and Housing Guarantee Claims ceased to exist;</w:t>
      </w:r>
    </w:p>
    <w:p w:rsidR="00BB67AF" w:rsidRDefault="00BB67AF" w:rsidP="003E6750">
      <w:pPr>
        <w:pStyle w:val="BulletText"/>
        <w:numPr>
          <w:ilvl w:val="0"/>
          <w:numId w:val="25"/>
        </w:numPr>
      </w:pPr>
      <w:r>
        <w:t>effective from 22 September 2015, the Victorian Competition and Efficiency Commission ceased to exist;</w:t>
      </w:r>
    </w:p>
    <w:p w:rsidR="00BB67AF" w:rsidRDefault="00BB67AF" w:rsidP="003E6750">
      <w:pPr>
        <w:pStyle w:val="BulletText"/>
        <w:numPr>
          <w:ilvl w:val="0"/>
          <w:numId w:val="25"/>
        </w:numPr>
      </w:pPr>
      <w:r>
        <w:t xml:space="preserve">effective from 1 October 2015, Infrastructure Victoria was established by the </w:t>
      </w:r>
      <w:r>
        <w:rPr>
          <w:i/>
        </w:rPr>
        <w:t>Infrastructure Victoria Act </w:t>
      </w:r>
      <w:r w:rsidRPr="002D7CD9">
        <w:rPr>
          <w:i/>
        </w:rPr>
        <w:t>2015</w:t>
      </w:r>
      <w:r>
        <w:t>; and</w:t>
      </w:r>
    </w:p>
    <w:p w:rsidR="00BB67AF" w:rsidRDefault="00BB67AF" w:rsidP="003E6750">
      <w:pPr>
        <w:pStyle w:val="BulletText"/>
        <w:numPr>
          <w:ilvl w:val="0"/>
          <w:numId w:val="25"/>
        </w:numPr>
      </w:pPr>
      <w:r>
        <w:t>Alexandra District Hospital was renamed to Alexandra District Health.</w:t>
      </w:r>
    </w:p>
    <w:p w:rsidR="00BB67AF" w:rsidRDefault="00BB67AF">
      <w:pPr>
        <w:spacing w:after="0"/>
      </w:pPr>
    </w:p>
    <w:p w:rsidR="00BB67AF" w:rsidRPr="000573FA" w:rsidRDefault="00BB67AF" w:rsidP="003E6750"/>
    <w:p w:rsidR="00BB67AF" w:rsidRDefault="00BB67AF" w:rsidP="00443963">
      <w:pPr>
        <w:sectPr w:rsidR="00BB67AF" w:rsidSect="00443963">
          <w:headerReference w:type="even" r:id="rId48"/>
          <w:headerReference w:type="default" r:id="rId49"/>
          <w:footerReference w:type="even" r:id="rId50"/>
          <w:footerReference w:type="default" r:id="rId51"/>
          <w:pgSz w:w="11906" w:h="16838" w:code="9"/>
          <w:pgMar w:top="1151" w:right="1151" w:bottom="1151" w:left="1151" w:header="720" w:footer="720" w:gutter="0"/>
          <w:cols w:space="708"/>
          <w:docGrid w:linePitch="360"/>
        </w:sectPr>
      </w:pPr>
    </w:p>
    <w:p w:rsidR="00BB67AF" w:rsidRPr="00C36C4E" w:rsidRDefault="00BB67AF" w:rsidP="00C36C4E">
      <w:pPr>
        <w:pStyle w:val="ChapterHeading"/>
      </w:pPr>
      <w:bookmarkStart w:id="43" w:name="_Toc445283150"/>
      <w:r w:rsidRPr="00C36C4E">
        <w:lastRenderedPageBreak/>
        <w:t>Appendix A – General government sector quarterly financial report</w:t>
      </w:r>
      <w:bookmarkEnd w:id="43"/>
    </w:p>
    <w:p w:rsidR="00BB67AF" w:rsidRDefault="00BB67AF" w:rsidP="003E6750">
      <w:pPr>
        <w:pStyle w:val="Tableheading"/>
      </w:pPr>
      <w:r>
        <w:t xml:space="preserve">Table A.1: </w:t>
      </w:r>
      <w:r>
        <w:tab/>
        <w:t>Consolidated comprehensive operating statement for the past five quarters</w:t>
      </w:r>
    </w:p>
    <w:p w:rsidR="00BB67AF" w:rsidRPr="00BC1814" w:rsidRDefault="00BB67AF" w:rsidP="003E6750">
      <w:pPr>
        <w:pStyle w:val="million"/>
        <w:rPr>
          <w:b/>
          <w:bCs/>
          <w:lang w:val="en-US"/>
        </w:rPr>
      </w:pPr>
      <w:r w:rsidRPr="009B2632">
        <w:t>($ million</w:t>
      </w:r>
      <w:r>
        <w:t>)</w:t>
      </w:r>
    </w:p>
    <w:tbl>
      <w:tblPr>
        <w:tblW w:w="9639" w:type="dxa"/>
        <w:tblInd w:w="45" w:type="dxa"/>
        <w:tblLayout w:type="fixed"/>
        <w:tblCellMar>
          <w:left w:w="45" w:type="dxa"/>
          <w:right w:w="45" w:type="dxa"/>
        </w:tblCellMar>
        <w:tblLook w:val="0000" w:firstRow="0" w:lastRow="0" w:firstColumn="0" w:lastColumn="0" w:noHBand="0" w:noVBand="0"/>
      </w:tblPr>
      <w:tblGrid>
        <w:gridCol w:w="5527"/>
        <w:gridCol w:w="822"/>
        <w:gridCol w:w="822"/>
        <w:gridCol w:w="822"/>
        <w:gridCol w:w="822"/>
        <w:gridCol w:w="824"/>
      </w:tblGrid>
      <w:tr w:rsidR="00A6247C" w:rsidRPr="00645124" w:rsidTr="00A6247C">
        <w:trPr>
          <w:tblHeader/>
        </w:trPr>
        <w:tc>
          <w:tcPr>
            <w:tcW w:w="5527" w:type="dxa"/>
            <w:tcBorders>
              <w:top w:val="nil"/>
              <w:left w:val="nil"/>
              <w:bottom w:val="nil"/>
              <w:right w:val="nil"/>
            </w:tcBorders>
            <w:shd w:val="solid" w:color="000000" w:fill="auto"/>
            <w:vAlign w:val="bottom"/>
          </w:tcPr>
          <w:p w:rsidR="00A6247C" w:rsidRPr="00645124" w:rsidRDefault="00A6247C" w:rsidP="003E6750">
            <w:pPr>
              <w:pStyle w:val="million"/>
              <w:jc w:val="left"/>
              <w:rPr>
                <w:rFonts w:eastAsiaTheme="minorEastAsia" w:cs="Calibri"/>
                <w:iCs/>
                <w:color w:val="FFFFFF"/>
                <w:szCs w:val="20"/>
                <w:lang w:eastAsia="en-AU"/>
              </w:rPr>
            </w:pPr>
          </w:p>
        </w:tc>
        <w:tc>
          <w:tcPr>
            <w:tcW w:w="2466" w:type="dxa"/>
            <w:gridSpan w:val="3"/>
            <w:tcBorders>
              <w:top w:val="nil"/>
              <w:left w:val="nil"/>
              <w:bottom w:val="nil"/>
              <w:right w:val="nil"/>
            </w:tcBorders>
            <w:shd w:val="solid" w:color="000000" w:fill="auto"/>
            <w:vAlign w:val="bottom"/>
          </w:tcPr>
          <w:p w:rsidR="00A6247C" w:rsidRPr="00645124" w:rsidRDefault="00A6247C" w:rsidP="00A6247C">
            <w:pPr>
              <w:pStyle w:val="Tabletextheading"/>
              <w:jc w:val="center"/>
              <w:rPr>
                <w:rFonts w:eastAsiaTheme="minorEastAsia" w:cs="Calibri"/>
                <w:i w:val="0"/>
                <w:iCs/>
                <w:color w:val="FFFFFF"/>
                <w:sz w:val="20"/>
                <w:szCs w:val="20"/>
                <w:lang w:eastAsia="en-AU"/>
              </w:rPr>
            </w:pPr>
            <w:r w:rsidRPr="00645124">
              <w:rPr>
                <w:rFonts w:eastAsiaTheme="minorEastAsia"/>
                <w:color w:val="FFFFFF"/>
                <w:sz w:val="20"/>
                <w:szCs w:val="20"/>
                <w:lang w:eastAsia="en-AU"/>
              </w:rPr>
              <w:t>2014-15</w:t>
            </w:r>
          </w:p>
        </w:tc>
        <w:tc>
          <w:tcPr>
            <w:tcW w:w="1646" w:type="dxa"/>
            <w:gridSpan w:val="2"/>
            <w:tcBorders>
              <w:top w:val="nil"/>
              <w:left w:val="nil"/>
              <w:bottom w:val="nil"/>
              <w:right w:val="nil"/>
            </w:tcBorders>
            <w:shd w:val="solid" w:color="000000" w:fill="auto"/>
            <w:vAlign w:val="bottom"/>
          </w:tcPr>
          <w:p w:rsidR="00A6247C" w:rsidRPr="00645124" w:rsidRDefault="00A6247C" w:rsidP="00A6247C">
            <w:pPr>
              <w:autoSpaceDE w:val="0"/>
              <w:autoSpaceDN w:val="0"/>
              <w:adjustRightInd w:val="0"/>
              <w:spacing w:after="0"/>
              <w:jc w:val="center"/>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2015-16</w:t>
            </w:r>
          </w:p>
        </w:tc>
      </w:tr>
      <w:tr w:rsidR="00BB67AF" w:rsidRPr="00645124" w:rsidTr="00A6247C">
        <w:trPr>
          <w:tblHeader/>
        </w:trPr>
        <w:tc>
          <w:tcPr>
            <w:tcW w:w="5527"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rPr>
                <w:rFonts w:ascii="Calibri" w:eastAsiaTheme="minorEastAsia" w:hAnsi="Calibri" w:cs="Calibri"/>
                <w:i/>
                <w:iCs/>
                <w:color w:val="FFFFFF"/>
                <w:sz w:val="20"/>
                <w:lang w:eastAsia="en-AU"/>
              </w:rPr>
            </w:pPr>
          </w:p>
        </w:tc>
        <w:tc>
          <w:tcPr>
            <w:tcW w:w="822"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Dec</w:t>
            </w:r>
          </w:p>
        </w:tc>
        <w:tc>
          <w:tcPr>
            <w:tcW w:w="822"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Mar</w:t>
            </w:r>
          </w:p>
        </w:tc>
        <w:tc>
          <w:tcPr>
            <w:tcW w:w="822"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0"/>
                <w:vertAlign w:val="superscript"/>
                <w:lang w:eastAsia="en-AU"/>
              </w:rPr>
            </w:pPr>
            <w:r w:rsidRPr="00645124">
              <w:rPr>
                <w:rFonts w:ascii="Calibri" w:eastAsiaTheme="minorEastAsia" w:hAnsi="Calibri" w:cs="Calibri"/>
                <w:i/>
                <w:iCs/>
                <w:color w:val="FFFFFF"/>
                <w:sz w:val="20"/>
                <w:lang w:eastAsia="en-AU"/>
              </w:rPr>
              <w:t xml:space="preserve">Jun </w:t>
            </w:r>
            <w:r w:rsidRPr="00645124">
              <w:rPr>
                <w:rFonts w:ascii="Calibri" w:eastAsiaTheme="minorEastAsia" w:hAnsi="Calibri" w:cs="Calibri"/>
                <w:i/>
                <w:iCs/>
                <w:color w:val="FFFFFF"/>
                <w:sz w:val="20"/>
                <w:vertAlign w:val="superscript"/>
                <w:lang w:eastAsia="en-AU"/>
              </w:rPr>
              <w:t>(a)</w:t>
            </w:r>
          </w:p>
        </w:tc>
        <w:tc>
          <w:tcPr>
            <w:tcW w:w="822"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 xml:space="preserve">Sep </w:t>
            </w:r>
            <w:r w:rsidRPr="00645124">
              <w:rPr>
                <w:rFonts w:ascii="Calibri" w:eastAsiaTheme="minorEastAsia" w:hAnsi="Calibri" w:cs="Calibri"/>
                <w:i/>
                <w:iCs/>
                <w:color w:val="FFFFFF"/>
                <w:sz w:val="20"/>
                <w:vertAlign w:val="superscript"/>
                <w:lang w:eastAsia="en-AU"/>
              </w:rPr>
              <w:t>(a)</w:t>
            </w:r>
          </w:p>
        </w:tc>
        <w:tc>
          <w:tcPr>
            <w:tcW w:w="824"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Dec</w:t>
            </w:r>
          </w:p>
        </w:tc>
      </w:tr>
      <w:tr w:rsidR="00BB67AF" w:rsidRPr="00645124" w:rsidTr="00A6247C">
        <w:tc>
          <w:tcPr>
            <w:tcW w:w="552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Revenue from transactions</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82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r>
      <w:tr w:rsidR="00BB67AF" w:rsidRPr="00645124" w:rsidTr="00A6247C">
        <w:tc>
          <w:tcPr>
            <w:tcW w:w="552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Taxation revenue</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4 054</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5 476</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4 098</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5 061</w:t>
            </w:r>
          </w:p>
        </w:tc>
        <w:tc>
          <w:tcPr>
            <w:tcW w:w="82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4 615</w:t>
            </w:r>
          </w:p>
        </w:tc>
      </w:tr>
      <w:tr w:rsidR="00BB67AF" w:rsidRPr="00645124" w:rsidTr="00A6247C">
        <w:tc>
          <w:tcPr>
            <w:tcW w:w="552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Interest revenue</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200</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203</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219</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203</w:t>
            </w:r>
          </w:p>
        </w:tc>
        <w:tc>
          <w:tcPr>
            <w:tcW w:w="82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190</w:t>
            </w:r>
          </w:p>
        </w:tc>
      </w:tr>
      <w:tr w:rsidR="00BB67AF" w:rsidRPr="00645124" w:rsidTr="00A6247C">
        <w:tc>
          <w:tcPr>
            <w:tcW w:w="552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Dividends and income tax equivalent and rate equivalent revenue</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616</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63</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383</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59</w:t>
            </w:r>
          </w:p>
        </w:tc>
        <w:tc>
          <w:tcPr>
            <w:tcW w:w="82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392</w:t>
            </w:r>
          </w:p>
        </w:tc>
      </w:tr>
      <w:tr w:rsidR="00BB67AF" w:rsidRPr="00645124" w:rsidTr="00A6247C">
        <w:tc>
          <w:tcPr>
            <w:tcW w:w="552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Sales of goods and services</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1 676</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1 711</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1 439</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1 661</w:t>
            </w:r>
          </w:p>
        </w:tc>
        <w:tc>
          <w:tcPr>
            <w:tcW w:w="82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1 671</w:t>
            </w:r>
          </w:p>
        </w:tc>
      </w:tr>
      <w:tr w:rsidR="00BB67AF" w:rsidRPr="00645124" w:rsidTr="00A6247C">
        <w:tc>
          <w:tcPr>
            <w:tcW w:w="552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Grant revenue</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6 057</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6 742</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6 039</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6 010</w:t>
            </w:r>
          </w:p>
        </w:tc>
        <w:tc>
          <w:tcPr>
            <w:tcW w:w="82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6 291</w:t>
            </w:r>
          </w:p>
        </w:tc>
      </w:tr>
      <w:tr w:rsidR="00BB67AF" w:rsidRPr="00645124" w:rsidTr="00A6247C">
        <w:tc>
          <w:tcPr>
            <w:tcW w:w="552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Other revenue</w:t>
            </w:r>
          </w:p>
        </w:tc>
        <w:tc>
          <w:tcPr>
            <w:tcW w:w="82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588</w:t>
            </w:r>
          </w:p>
        </w:tc>
        <w:tc>
          <w:tcPr>
            <w:tcW w:w="82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496</w:t>
            </w:r>
          </w:p>
        </w:tc>
        <w:tc>
          <w:tcPr>
            <w:tcW w:w="82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857</w:t>
            </w:r>
          </w:p>
        </w:tc>
        <w:tc>
          <w:tcPr>
            <w:tcW w:w="82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564</w:t>
            </w:r>
          </w:p>
        </w:tc>
        <w:tc>
          <w:tcPr>
            <w:tcW w:w="82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1 162</w:t>
            </w:r>
          </w:p>
        </w:tc>
      </w:tr>
      <w:tr w:rsidR="00BB67AF" w:rsidRPr="00645124" w:rsidTr="00A6247C">
        <w:tc>
          <w:tcPr>
            <w:tcW w:w="5527"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Total revenue from transactions</w:t>
            </w:r>
          </w:p>
        </w:tc>
        <w:tc>
          <w:tcPr>
            <w:tcW w:w="822"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13 190</w:t>
            </w:r>
          </w:p>
        </w:tc>
        <w:tc>
          <w:tcPr>
            <w:tcW w:w="822"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14 692</w:t>
            </w:r>
          </w:p>
        </w:tc>
        <w:tc>
          <w:tcPr>
            <w:tcW w:w="822"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13 035</w:t>
            </w:r>
          </w:p>
        </w:tc>
        <w:tc>
          <w:tcPr>
            <w:tcW w:w="822"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13 559</w:t>
            </w:r>
          </w:p>
        </w:tc>
        <w:tc>
          <w:tcPr>
            <w:tcW w:w="82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14 321</w:t>
            </w:r>
          </w:p>
        </w:tc>
      </w:tr>
      <w:tr w:rsidR="00BB67AF" w:rsidRPr="00645124" w:rsidTr="00A6247C">
        <w:tc>
          <w:tcPr>
            <w:tcW w:w="552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Expenses from transactions</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82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r>
      <w:tr w:rsidR="00BB67AF" w:rsidRPr="00645124" w:rsidTr="00A6247C">
        <w:tc>
          <w:tcPr>
            <w:tcW w:w="552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Employee expenses</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4 809</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4 628</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4 887</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4 768</w:t>
            </w:r>
          </w:p>
        </w:tc>
        <w:tc>
          <w:tcPr>
            <w:tcW w:w="82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4 997</w:t>
            </w:r>
          </w:p>
        </w:tc>
      </w:tr>
      <w:tr w:rsidR="00BB67AF" w:rsidRPr="00645124" w:rsidTr="00A6247C">
        <w:tc>
          <w:tcPr>
            <w:tcW w:w="552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Net superannuation interest expense</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254</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250</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276</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223</w:t>
            </w:r>
          </w:p>
        </w:tc>
        <w:tc>
          <w:tcPr>
            <w:tcW w:w="82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218</w:t>
            </w:r>
          </w:p>
        </w:tc>
      </w:tr>
      <w:tr w:rsidR="00BB67AF" w:rsidRPr="00645124" w:rsidTr="00A6247C">
        <w:tc>
          <w:tcPr>
            <w:tcW w:w="552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Other superannuation</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551</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483</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461</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554</w:t>
            </w:r>
          </w:p>
        </w:tc>
        <w:tc>
          <w:tcPr>
            <w:tcW w:w="82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606</w:t>
            </w:r>
          </w:p>
        </w:tc>
      </w:tr>
      <w:tr w:rsidR="00BB67AF" w:rsidRPr="00645124" w:rsidTr="00A6247C">
        <w:tc>
          <w:tcPr>
            <w:tcW w:w="552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Depreciation</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601</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612</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616</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605</w:t>
            </w:r>
          </w:p>
        </w:tc>
        <w:tc>
          <w:tcPr>
            <w:tcW w:w="82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595</w:t>
            </w:r>
          </w:p>
        </w:tc>
      </w:tr>
      <w:tr w:rsidR="00BB67AF" w:rsidRPr="00645124" w:rsidTr="00A6247C">
        <w:tc>
          <w:tcPr>
            <w:tcW w:w="552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Interest expense</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525</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511</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543</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513</w:t>
            </w:r>
          </w:p>
        </w:tc>
        <w:tc>
          <w:tcPr>
            <w:tcW w:w="82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521</w:t>
            </w:r>
          </w:p>
        </w:tc>
      </w:tr>
      <w:tr w:rsidR="00BB67AF" w:rsidRPr="00645124" w:rsidTr="00A6247C">
        <w:tc>
          <w:tcPr>
            <w:tcW w:w="552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Grant expense</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2 128</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2 646</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1 753</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2 172</w:t>
            </w:r>
          </w:p>
        </w:tc>
        <w:tc>
          <w:tcPr>
            <w:tcW w:w="82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2 143</w:t>
            </w:r>
          </w:p>
        </w:tc>
      </w:tr>
      <w:tr w:rsidR="00BB67AF" w:rsidRPr="00645124" w:rsidTr="00A6247C">
        <w:tc>
          <w:tcPr>
            <w:tcW w:w="552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Other operating expenses</w:t>
            </w:r>
          </w:p>
        </w:tc>
        <w:tc>
          <w:tcPr>
            <w:tcW w:w="82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4 277</w:t>
            </w:r>
          </w:p>
        </w:tc>
        <w:tc>
          <w:tcPr>
            <w:tcW w:w="82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4 154</w:t>
            </w:r>
          </w:p>
        </w:tc>
        <w:tc>
          <w:tcPr>
            <w:tcW w:w="82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5 157</w:t>
            </w:r>
          </w:p>
        </w:tc>
        <w:tc>
          <w:tcPr>
            <w:tcW w:w="82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4 204</w:t>
            </w:r>
          </w:p>
        </w:tc>
        <w:tc>
          <w:tcPr>
            <w:tcW w:w="82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4 253</w:t>
            </w:r>
          </w:p>
        </w:tc>
      </w:tr>
      <w:tr w:rsidR="00BB67AF" w:rsidRPr="00645124" w:rsidTr="00A6247C">
        <w:tc>
          <w:tcPr>
            <w:tcW w:w="5527"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Total expenses from transactions</w:t>
            </w:r>
          </w:p>
        </w:tc>
        <w:tc>
          <w:tcPr>
            <w:tcW w:w="82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13 144</w:t>
            </w:r>
          </w:p>
        </w:tc>
        <w:tc>
          <w:tcPr>
            <w:tcW w:w="82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13 283</w:t>
            </w:r>
          </w:p>
        </w:tc>
        <w:tc>
          <w:tcPr>
            <w:tcW w:w="82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13 693</w:t>
            </w:r>
          </w:p>
        </w:tc>
        <w:tc>
          <w:tcPr>
            <w:tcW w:w="82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13 040</w:t>
            </w:r>
          </w:p>
        </w:tc>
        <w:tc>
          <w:tcPr>
            <w:tcW w:w="82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13 333</w:t>
            </w:r>
          </w:p>
        </w:tc>
      </w:tr>
      <w:tr w:rsidR="00BB67AF" w:rsidRPr="00645124" w:rsidTr="00A6247C">
        <w:tc>
          <w:tcPr>
            <w:tcW w:w="5527"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Net result from transactions – net operating balance</w:t>
            </w:r>
          </w:p>
        </w:tc>
        <w:tc>
          <w:tcPr>
            <w:tcW w:w="822"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47</w:t>
            </w:r>
          </w:p>
        </w:tc>
        <w:tc>
          <w:tcPr>
            <w:tcW w:w="822"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1 409</w:t>
            </w:r>
          </w:p>
        </w:tc>
        <w:tc>
          <w:tcPr>
            <w:tcW w:w="822"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(658)</w:t>
            </w:r>
          </w:p>
        </w:tc>
        <w:tc>
          <w:tcPr>
            <w:tcW w:w="822"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519</w:t>
            </w:r>
          </w:p>
        </w:tc>
        <w:tc>
          <w:tcPr>
            <w:tcW w:w="82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988</w:t>
            </w:r>
          </w:p>
        </w:tc>
      </w:tr>
      <w:tr w:rsidR="00BB67AF" w:rsidRPr="00645124" w:rsidTr="00A6247C">
        <w:tc>
          <w:tcPr>
            <w:tcW w:w="5527"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Other economic flows included in net result</w:t>
            </w:r>
          </w:p>
        </w:tc>
        <w:tc>
          <w:tcPr>
            <w:tcW w:w="822"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822"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822"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822"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824"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r>
      <w:tr w:rsidR="00BB67AF" w:rsidRPr="00645124" w:rsidTr="00A6247C">
        <w:tc>
          <w:tcPr>
            <w:tcW w:w="552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Net gain/(loss) on disposal of non-financial assets</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21</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21</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(15)</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(13)</w:t>
            </w:r>
          </w:p>
        </w:tc>
        <w:tc>
          <w:tcPr>
            <w:tcW w:w="82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24</w:t>
            </w:r>
          </w:p>
        </w:tc>
      </w:tr>
      <w:tr w:rsidR="00BB67AF" w:rsidRPr="00645124" w:rsidTr="00A6247C">
        <w:tc>
          <w:tcPr>
            <w:tcW w:w="552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Net gain/(loss) on financial assets or liabilities at fair value</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15</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46</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(28)</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(29)</w:t>
            </w:r>
          </w:p>
        </w:tc>
        <w:tc>
          <w:tcPr>
            <w:tcW w:w="82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9</w:t>
            </w:r>
          </w:p>
        </w:tc>
      </w:tr>
      <w:tr w:rsidR="00BB67AF" w:rsidRPr="00645124" w:rsidTr="00A6247C">
        <w:tc>
          <w:tcPr>
            <w:tcW w:w="552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Share of net profit/(loss) from associates/joint venture entities</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(3)</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82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w:t>
            </w:r>
          </w:p>
        </w:tc>
      </w:tr>
      <w:tr w:rsidR="00BB67AF" w:rsidRPr="00645124" w:rsidTr="00A6247C">
        <w:tc>
          <w:tcPr>
            <w:tcW w:w="552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Other gains/(losses) from other economic flows</w:t>
            </w:r>
          </w:p>
        </w:tc>
        <w:tc>
          <w:tcPr>
            <w:tcW w:w="82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(243)</w:t>
            </w:r>
          </w:p>
        </w:tc>
        <w:tc>
          <w:tcPr>
            <w:tcW w:w="82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(162)</w:t>
            </w:r>
          </w:p>
        </w:tc>
        <w:tc>
          <w:tcPr>
            <w:tcW w:w="82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(53)</w:t>
            </w:r>
          </w:p>
        </w:tc>
        <w:tc>
          <w:tcPr>
            <w:tcW w:w="82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(124)</w:t>
            </w:r>
          </w:p>
        </w:tc>
        <w:tc>
          <w:tcPr>
            <w:tcW w:w="82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(136)</w:t>
            </w:r>
          </w:p>
        </w:tc>
      </w:tr>
      <w:tr w:rsidR="00BB67AF" w:rsidRPr="00645124" w:rsidTr="00A6247C">
        <w:tc>
          <w:tcPr>
            <w:tcW w:w="5527"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Total other economic flows included in net result </w:t>
            </w:r>
          </w:p>
        </w:tc>
        <w:tc>
          <w:tcPr>
            <w:tcW w:w="82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(207)</w:t>
            </w:r>
          </w:p>
        </w:tc>
        <w:tc>
          <w:tcPr>
            <w:tcW w:w="82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(94)</w:t>
            </w:r>
          </w:p>
        </w:tc>
        <w:tc>
          <w:tcPr>
            <w:tcW w:w="82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(99)</w:t>
            </w:r>
          </w:p>
        </w:tc>
        <w:tc>
          <w:tcPr>
            <w:tcW w:w="82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(166)</w:t>
            </w:r>
          </w:p>
        </w:tc>
        <w:tc>
          <w:tcPr>
            <w:tcW w:w="82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(101)</w:t>
            </w:r>
          </w:p>
        </w:tc>
      </w:tr>
      <w:tr w:rsidR="00BB67AF" w:rsidRPr="00645124" w:rsidTr="00A6247C">
        <w:tc>
          <w:tcPr>
            <w:tcW w:w="5527"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Net result</w:t>
            </w:r>
          </w:p>
        </w:tc>
        <w:tc>
          <w:tcPr>
            <w:tcW w:w="82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(160)</w:t>
            </w:r>
          </w:p>
        </w:tc>
        <w:tc>
          <w:tcPr>
            <w:tcW w:w="82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1 315</w:t>
            </w:r>
          </w:p>
        </w:tc>
        <w:tc>
          <w:tcPr>
            <w:tcW w:w="82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(757)</w:t>
            </w:r>
          </w:p>
        </w:tc>
        <w:tc>
          <w:tcPr>
            <w:tcW w:w="82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353</w:t>
            </w:r>
          </w:p>
        </w:tc>
        <w:tc>
          <w:tcPr>
            <w:tcW w:w="82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887</w:t>
            </w:r>
          </w:p>
        </w:tc>
      </w:tr>
      <w:tr w:rsidR="00BB67AF" w:rsidRPr="00645124" w:rsidTr="00A6247C">
        <w:tc>
          <w:tcPr>
            <w:tcW w:w="5527"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Other economic flows – other comprehensive income</w:t>
            </w:r>
          </w:p>
        </w:tc>
        <w:tc>
          <w:tcPr>
            <w:tcW w:w="822"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822"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822"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822"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824"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r>
      <w:tr w:rsidR="00BB67AF" w:rsidRPr="00645124" w:rsidTr="00A6247C">
        <w:tc>
          <w:tcPr>
            <w:tcW w:w="552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Items that will not be reclassified to net result</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82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r>
      <w:tr w:rsidR="00BB67AF" w:rsidRPr="00645124" w:rsidTr="00A6247C">
        <w:tc>
          <w:tcPr>
            <w:tcW w:w="552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Changes in non-financial assets revaluation surplus</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37</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(135)</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2 601</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32</w:t>
            </w:r>
          </w:p>
        </w:tc>
        <w:tc>
          <w:tcPr>
            <w:tcW w:w="82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(24)</w:t>
            </w:r>
          </w:p>
        </w:tc>
      </w:tr>
      <w:tr w:rsidR="00BB67AF" w:rsidRPr="00645124" w:rsidTr="00A6247C">
        <w:tc>
          <w:tcPr>
            <w:tcW w:w="552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proofErr w:type="spellStart"/>
            <w:r w:rsidRPr="00645124">
              <w:rPr>
                <w:rFonts w:ascii="Calibri" w:eastAsiaTheme="minorEastAsia" w:hAnsi="Calibri" w:cs="Calibri"/>
                <w:color w:val="000000"/>
                <w:sz w:val="20"/>
                <w:lang w:eastAsia="en-AU"/>
              </w:rPr>
              <w:t>Remeasurement</w:t>
            </w:r>
            <w:proofErr w:type="spellEnd"/>
            <w:r w:rsidRPr="00645124">
              <w:rPr>
                <w:rFonts w:ascii="Calibri" w:eastAsiaTheme="minorEastAsia" w:hAnsi="Calibri" w:cs="Calibri"/>
                <w:color w:val="000000"/>
                <w:sz w:val="20"/>
                <w:lang w:eastAsia="en-AU"/>
              </w:rPr>
              <w:t xml:space="preserve"> of superannuation defined benefits plans</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(2 586)</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(1 971)</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4 987</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(1 934)</w:t>
            </w:r>
          </w:p>
        </w:tc>
        <w:tc>
          <w:tcPr>
            <w:tcW w:w="82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1 230</w:t>
            </w:r>
          </w:p>
        </w:tc>
      </w:tr>
      <w:tr w:rsidR="00BB67AF" w:rsidRPr="00645124" w:rsidTr="00A6247C">
        <w:tc>
          <w:tcPr>
            <w:tcW w:w="552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Net gain/(loss) on equity investments in other sector entities at proportional share of the carrying amount of net assets</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3</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4 223</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82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(246)</w:t>
            </w:r>
          </w:p>
        </w:tc>
      </w:tr>
      <w:tr w:rsidR="00BB67AF" w:rsidRPr="00645124" w:rsidTr="00A6247C">
        <w:tc>
          <w:tcPr>
            <w:tcW w:w="552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Other movements in equity</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(21)</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(622)</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456</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13</w:t>
            </w:r>
          </w:p>
        </w:tc>
        <w:tc>
          <w:tcPr>
            <w:tcW w:w="82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(38)</w:t>
            </w:r>
          </w:p>
        </w:tc>
      </w:tr>
      <w:tr w:rsidR="00BB67AF" w:rsidRPr="00645124" w:rsidTr="00A6247C">
        <w:tc>
          <w:tcPr>
            <w:tcW w:w="552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Items that may be reclassified subsequently to net result</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82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r>
      <w:tr w:rsidR="00BB67AF" w:rsidRPr="00645124" w:rsidTr="00A6247C">
        <w:tc>
          <w:tcPr>
            <w:tcW w:w="552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Net gain/(loss) on financial assets at fair value</w:t>
            </w:r>
          </w:p>
        </w:tc>
        <w:tc>
          <w:tcPr>
            <w:tcW w:w="82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(32)</w:t>
            </w:r>
          </w:p>
        </w:tc>
        <w:tc>
          <w:tcPr>
            <w:tcW w:w="82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(12)</w:t>
            </w:r>
          </w:p>
        </w:tc>
        <w:tc>
          <w:tcPr>
            <w:tcW w:w="82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w:t>
            </w:r>
          </w:p>
        </w:tc>
        <w:tc>
          <w:tcPr>
            <w:tcW w:w="82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(3)</w:t>
            </w:r>
          </w:p>
        </w:tc>
        <w:tc>
          <w:tcPr>
            <w:tcW w:w="82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(23)</w:t>
            </w:r>
          </w:p>
        </w:tc>
      </w:tr>
      <w:tr w:rsidR="00BB67AF" w:rsidRPr="00645124" w:rsidTr="00A6247C">
        <w:tc>
          <w:tcPr>
            <w:tcW w:w="5527"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Total other economic flows – other comprehensive income</w:t>
            </w:r>
          </w:p>
        </w:tc>
        <w:tc>
          <w:tcPr>
            <w:tcW w:w="82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(2 599)</w:t>
            </w:r>
          </w:p>
        </w:tc>
        <w:tc>
          <w:tcPr>
            <w:tcW w:w="82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(2 740)</w:t>
            </w:r>
          </w:p>
        </w:tc>
        <w:tc>
          <w:tcPr>
            <w:tcW w:w="82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12 269</w:t>
            </w:r>
          </w:p>
        </w:tc>
        <w:tc>
          <w:tcPr>
            <w:tcW w:w="822"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(1 892)</w:t>
            </w:r>
          </w:p>
        </w:tc>
        <w:tc>
          <w:tcPr>
            <w:tcW w:w="824"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898</w:t>
            </w:r>
          </w:p>
        </w:tc>
      </w:tr>
      <w:tr w:rsidR="00BB67AF" w:rsidRPr="00645124" w:rsidTr="00A6247C">
        <w:tc>
          <w:tcPr>
            <w:tcW w:w="5527"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Comprehensive result – total change in net worth</w:t>
            </w:r>
          </w:p>
        </w:tc>
        <w:tc>
          <w:tcPr>
            <w:tcW w:w="822"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(2 759)</w:t>
            </w:r>
          </w:p>
        </w:tc>
        <w:tc>
          <w:tcPr>
            <w:tcW w:w="822"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(1 426)</w:t>
            </w:r>
          </w:p>
        </w:tc>
        <w:tc>
          <w:tcPr>
            <w:tcW w:w="822"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11 512</w:t>
            </w:r>
          </w:p>
        </w:tc>
        <w:tc>
          <w:tcPr>
            <w:tcW w:w="822"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(1 539)</w:t>
            </w:r>
          </w:p>
        </w:tc>
        <w:tc>
          <w:tcPr>
            <w:tcW w:w="824"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1 785</w:t>
            </w:r>
          </w:p>
        </w:tc>
      </w:tr>
      <w:tr w:rsidR="00BB67AF" w:rsidRPr="00645124" w:rsidTr="00A6247C">
        <w:trPr>
          <w:trHeight w:hRule="exact" w:val="120"/>
        </w:trPr>
        <w:tc>
          <w:tcPr>
            <w:tcW w:w="5527"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 xml:space="preserve"> </w:t>
            </w:r>
          </w:p>
        </w:tc>
        <w:tc>
          <w:tcPr>
            <w:tcW w:w="822"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 xml:space="preserve"> </w:t>
            </w:r>
          </w:p>
        </w:tc>
        <w:tc>
          <w:tcPr>
            <w:tcW w:w="822"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 xml:space="preserve"> </w:t>
            </w:r>
          </w:p>
        </w:tc>
        <w:tc>
          <w:tcPr>
            <w:tcW w:w="822"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 xml:space="preserve"> </w:t>
            </w:r>
          </w:p>
        </w:tc>
        <w:tc>
          <w:tcPr>
            <w:tcW w:w="822"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 xml:space="preserve"> </w:t>
            </w:r>
          </w:p>
        </w:tc>
        <w:tc>
          <w:tcPr>
            <w:tcW w:w="824"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 xml:space="preserve"> </w:t>
            </w:r>
          </w:p>
        </w:tc>
      </w:tr>
      <w:tr w:rsidR="00BB67AF" w:rsidRPr="00645124" w:rsidTr="00A6247C">
        <w:tc>
          <w:tcPr>
            <w:tcW w:w="552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KEY FISCAL AGGREGATES</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82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r>
      <w:tr w:rsidR="00BB67AF" w:rsidRPr="00645124" w:rsidTr="00A6247C">
        <w:tc>
          <w:tcPr>
            <w:tcW w:w="552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Net operating balance</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47</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1 409</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(658)</w:t>
            </w:r>
          </w:p>
        </w:tc>
        <w:tc>
          <w:tcPr>
            <w:tcW w:w="822"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519</w:t>
            </w:r>
          </w:p>
        </w:tc>
        <w:tc>
          <w:tcPr>
            <w:tcW w:w="824"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988</w:t>
            </w:r>
          </w:p>
        </w:tc>
      </w:tr>
      <w:tr w:rsidR="00BB67AF" w:rsidRPr="00645124" w:rsidTr="00A6247C">
        <w:tc>
          <w:tcPr>
            <w:tcW w:w="552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645124">
              <w:rPr>
                <w:rFonts w:ascii="Calibri" w:eastAsiaTheme="minorEastAsia" w:hAnsi="Calibri" w:cs="Calibri"/>
                <w:color w:val="000000"/>
                <w:sz w:val="20"/>
                <w:lang w:eastAsia="en-AU"/>
              </w:rPr>
              <w:t xml:space="preserve">Less: Net acquisition of non-financial assets from transactions </w:t>
            </w:r>
            <w:r w:rsidRPr="00645124">
              <w:rPr>
                <w:rFonts w:ascii="Calibri" w:eastAsiaTheme="minorEastAsia" w:hAnsi="Calibri" w:cs="Calibri"/>
                <w:color w:val="000000"/>
                <w:sz w:val="20"/>
                <w:vertAlign w:val="superscript"/>
                <w:lang w:eastAsia="en-AU"/>
              </w:rPr>
              <w:t>(a)</w:t>
            </w:r>
          </w:p>
        </w:tc>
        <w:tc>
          <w:tcPr>
            <w:tcW w:w="82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373</w:t>
            </w:r>
          </w:p>
        </w:tc>
        <w:tc>
          <w:tcPr>
            <w:tcW w:w="82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87</w:t>
            </w:r>
          </w:p>
        </w:tc>
        <w:tc>
          <w:tcPr>
            <w:tcW w:w="82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(264)</w:t>
            </w:r>
          </w:p>
        </w:tc>
        <w:tc>
          <w:tcPr>
            <w:tcW w:w="822"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84</w:t>
            </w:r>
          </w:p>
        </w:tc>
        <w:tc>
          <w:tcPr>
            <w:tcW w:w="824"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275</w:t>
            </w:r>
          </w:p>
        </w:tc>
      </w:tr>
      <w:tr w:rsidR="00BB67AF" w:rsidRPr="00645124" w:rsidTr="00A6247C">
        <w:tc>
          <w:tcPr>
            <w:tcW w:w="5527"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vertAlign w:val="superscript"/>
                <w:lang w:eastAsia="en-AU"/>
              </w:rPr>
            </w:pPr>
            <w:r w:rsidRPr="00645124">
              <w:rPr>
                <w:rFonts w:ascii="Calibri" w:eastAsiaTheme="minorEastAsia" w:hAnsi="Calibri" w:cs="Calibri"/>
                <w:b/>
                <w:bCs/>
                <w:color w:val="000000"/>
                <w:sz w:val="20"/>
                <w:lang w:eastAsia="en-AU"/>
              </w:rPr>
              <w:t xml:space="preserve">Net lending/(borrowing) </w:t>
            </w:r>
            <w:r w:rsidRPr="00645124">
              <w:rPr>
                <w:rFonts w:ascii="Calibri" w:eastAsiaTheme="minorEastAsia" w:hAnsi="Calibri" w:cs="Calibri"/>
                <w:b/>
                <w:bCs/>
                <w:color w:val="000000"/>
                <w:sz w:val="20"/>
                <w:vertAlign w:val="superscript"/>
                <w:lang w:eastAsia="en-AU"/>
              </w:rPr>
              <w:t>(a)</w:t>
            </w:r>
          </w:p>
        </w:tc>
        <w:tc>
          <w:tcPr>
            <w:tcW w:w="822"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(327)</w:t>
            </w:r>
          </w:p>
        </w:tc>
        <w:tc>
          <w:tcPr>
            <w:tcW w:w="822"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1 322</w:t>
            </w:r>
          </w:p>
        </w:tc>
        <w:tc>
          <w:tcPr>
            <w:tcW w:w="822"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(394)</w:t>
            </w:r>
          </w:p>
        </w:tc>
        <w:tc>
          <w:tcPr>
            <w:tcW w:w="822"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435</w:t>
            </w:r>
          </w:p>
        </w:tc>
        <w:tc>
          <w:tcPr>
            <w:tcW w:w="824"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713</w:t>
            </w:r>
          </w:p>
        </w:tc>
      </w:tr>
    </w:tbl>
    <w:p w:rsidR="00BB67AF" w:rsidRDefault="00BB67AF" w:rsidP="003E6750">
      <w:pPr>
        <w:pStyle w:val="Notes"/>
      </w:pPr>
      <w:r>
        <w:t>Note:</w:t>
      </w:r>
    </w:p>
    <w:p w:rsidR="00BB67AF" w:rsidRDefault="00BB67AF" w:rsidP="003E6750">
      <w:pPr>
        <w:pStyle w:val="Notes"/>
      </w:pPr>
      <w:r>
        <w:t>(</w:t>
      </w:r>
      <w:r w:rsidRPr="009B2632">
        <w:t>a)</w:t>
      </w:r>
      <w:r w:rsidRPr="009B2632">
        <w:tab/>
        <w:t xml:space="preserve">The June </w:t>
      </w:r>
      <w:r>
        <w:t xml:space="preserve">and September </w:t>
      </w:r>
      <w:r w:rsidRPr="009B2632">
        <w:t>2015 comparative figures have been restated to reflect more current information.</w:t>
      </w:r>
    </w:p>
    <w:p w:rsidR="00BB67AF" w:rsidRDefault="00BB67AF" w:rsidP="003E6750">
      <w:pPr>
        <w:pStyle w:val="Tableheading"/>
      </w:pPr>
      <w:r w:rsidRPr="00887129">
        <w:lastRenderedPageBreak/>
        <w:t xml:space="preserve">Table A.2: </w:t>
      </w:r>
      <w:r w:rsidRPr="00887129">
        <w:tab/>
        <w:t>Consolidated balance sheet as at the end of the past five quarters</w:t>
      </w:r>
    </w:p>
    <w:p w:rsidR="00BB67AF" w:rsidRPr="00BC1814" w:rsidRDefault="00BB67AF" w:rsidP="003E6750">
      <w:pPr>
        <w:pStyle w:val="million"/>
        <w:rPr>
          <w:b/>
          <w:bCs/>
          <w:lang w:val="en-US"/>
        </w:rPr>
      </w:pPr>
      <w:r w:rsidRPr="00887129">
        <w:t>($ million)</w:t>
      </w:r>
    </w:p>
    <w:tbl>
      <w:tblPr>
        <w:tblW w:w="9638" w:type="dxa"/>
        <w:tblInd w:w="45" w:type="dxa"/>
        <w:tblLayout w:type="fixed"/>
        <w:tblCellMar>
          <w:left w:w="45" w:type="dxa"/>
          <w:right w:w="45" w:type="dxa"/>
        </w:tblCellMar>
        <w:tblLook w:val="0000" w:firstRow="0" w:lastRow="0" w:firstColumn="0" w:lastColumn="0" w:noHBand="0" w:noVBand="0"/>
      </w:tblPr>
      <w:tblGrid>
        <w:gridCol w:w="4958"/>
        <w:gridCol w:w="935"/>
        <w:gridCol w:w="935"/>
        <w:gridCol w:w="939"/>
        <w:gridCol w:w="935"/>
        <w:gridCol w:w="936"/>
      </w:tblGrid>
      <w:tr w:rsidR="00A6247C" w:rsidRPr="00645124" w:rsidTr="00A6247C">
        <w:trPr>
          <w:tblHeader/>
        </w:trPr>
        <w:tc>
          <w:tcPr>
            <w:tcW w:w="4958" w:type="dxa"/>
            <w:tcBorders>
              <w:top w:val="nil"/>
              <w:left w:val="nil"/>
              <w:bottom w:val="nil"/>
              <w:right w:val="nil"/>
            </w:tcBorders>
            <w:shd w:val="solid" w:color="000000" w:fill="auto"/>
            <w:vAlign w:val="bottom"/>
          </w:tcPr>
          <w:p w:rsidR="00A6247C" w:rsidRPr="00645124" w:rsidRDefault="00A6247C" w:rsidP="003E6750">
            <w:pPr>
              <w:pStyle w:val="million"/>
              <w:jc w:val="left"/>
              <w:rPr>
                <w:rFonts w:eastAsiaTheme="minorEastAsia" w:cs="Calibri"/>
                <w:iCs/>
                <w:color w:val="FFFFFF"/>
                <w:sz w:val="22"/>
                <w:szCs w:val="22"/>
                <w:lang w:eastAsia="en-AU"/>
              </w:rPr>
            </w:pPr>
            <w:r w:rsidRPr="00645124">
              <w:rPr>
                <w:rFonts w:eastAsiaTheme="minorEastAsia" w:cs="Calibri"/>
                <w:iCs/>
                <w:color w:val="FFFFFF"/>
                <w:sz w:val="22"/>
                <w:szCs w:val="22"/>
                <w:lang w:eastAsia="en-AU"/>
              </w:rPr>
              <w:t xml:space="preserve"> </w:t>
            </w:r>
          </w:p>
        </w:tc>
        <w:tc>
          <w:tcPr>
            <w:tcW w:w="2809" w:type="dxa"/>
            <w:gridSpan w:val="3"/>
            <w:tcBorders>
              <w:top w:val="nil"/>
              <w:left w:val="nil"/>
              <w:bottom w:val="nil"/>
              <w:right w:val="nil"/>
            </w:tcBorders>
            <w:shd w:val="solid" w:color="000000" w:fill="auto"/>
            <w:vAlign w:val="bottom"/>
          </w:tcPr>
          <w:p w:rsidR="00A6247C" w:rsidRPr="00645124" w:rsidRDefault="00A6247C" w:rsidP="00A6247C">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2014-15</w:t>
            </w:r>
          </w:p>
        </w:tc>
        <w:tc>
          <w:tcPr>
            <w:tcW w:w="1871" w:type="dxa"/>
            <w:gridSpan w:val="2"/>
            <w:tcBorders>
              <w:top w:val="nil"/>
              <w:left w:val="nil"/>
              <w:bottom w:val="nil"/>
              <w:right w:val="nil"/>
            </w:tcBorders>
            <w:shd w:val="solid" w:color="000000" w:fill="auto"/>
            <w:vAlign w:val="bottom"/>
          </w:tcPr>
          <w:p w:rsidR="00A6247C" w:rsidRPr="00645124" w:rsidRDefault="00A6247C" w:rsidP="00A6247C">
            <w:pPr>
              <w:autoSpaceDE w:val="0"/>
              <w:autoSpaceDN w:val="0"/>
              <w:adjustRightInd w:val="0"/>
              <w:spacing w:after="0"/>
              <w:jc w:val="center"/>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2015-16</w:t>
            </w:r>
          </w:p>
        </w:tc>
      </w:tr>
      <w:tr w:rsidR="00BB67AF" w:rsidRPr="00645124" w:rsidTr="00A6247C">
        <w:trPr>
          <w:tblHeader/>
        </w:trPr>
        <w:tc>
          <w:tcPr>
            <w:tcW w:w="4958"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 </w:t>
            </w:r>
          </w:p>
        </w:tc>
        <w:tc>
          <w:tcPr>
            <w:tcW w:w="935"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 xml:space="preserve">Dec </w:t>
            </w:r>
            <w:r w:rsidRPr="00645124">
              <w:rPr>
                <w:rFonts w:ascii="Calibri" w:eastAsiaTheme="minorEastAsia" w:hAnsi="Calibri" w:cs="Calibri"/>
                <w:i/>
                <w:iCs/>
                <w:color w:val="FFFFFF"/>
                <w:sz w:val="22"/>
                <w:szCs w:val="22"/>
                <w:vertAlign w:val="superscript"/>
                <w:lang w:eastAsia="en-AU"/>
              </w:rPr>
              <w:t>(a)</w:t>
            </w:r>
          </w:p>
        </w:tc>
        <w:tc>
          <w:tcPr>
            <w:tcW w:w="935"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Mar</w:t>
            </w:r>
          </w:p>
        </w:tc>
        <w:tc>
          <w:tcPr>
            <w:tcW w:w="939"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vertAlign w:val="superscript"/>
                <w:lang w:eastAsia="en-AU"/>
              </w:rPr>
            </w:pPr>
            <w:r w:rsidRPr="00645124">
              <w:rPr>
                <w:rFonts w:ascii="Calibri" w:eastAsiaTheme="minorEastAsia" w:hAnsi="Calibri" w:cs="Calibri"/>
                <w:i/>
                <w:iCs/>
                <w:color w:val="FFFFFF"/>
                <w:sz w:val="22"/>
                <w:szCs w:val="22"/>
                <w:lang w:eastAsia="en-AU"/>
              </w:rPr>
              <w:t xml:space="preserve">Jun </w:t>
            </w:r>
            <w:r w:rsidRPr="00645124">
              <w:rPr>
                <w:rFonts w:ascii="Calibri" w:eastAsiaTheme="minorEastAsia" w:hAnsi="Calibri" w:cs="Calibri"/>
                <w:i/>
                <w:iCs/>
                <w:color w:val="FFFFFF"/>
                <w:sz w:val="22"/>
                <w:szCs w:val="22"/>
                <w:vertAlign w:val="superscript"/>
                <w:lang w:eastAsia="en-AU"/>
              </w:rPr>
              <w:t>(a)</w:t>
            </w:r>
          </w:p>
        </w:tc>
        <w:tc>
          <w:tcPr>
            <w:tcW w:w="935"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vertAlign w:val="superscript"/>
                <w:lang w:eastAsia="en-AU"/>
              </w:rPr>
            </w:pPr>
            <w:r w:rsidRPr="00645124">
              <w:rPr>
                <w:rFonts w:ascii="Calibri" w:eastAsiaTheme="minorEastAsia" w:hAnsi="Calibri" w:cs="Calibri"/>
                <w:i/>
                <w:iCs/>
                <w:color w:val="FFFFFF"/>
                <w:sz w:val="22"/>
                <w:szCs w:val="22"/>
                <w:lang w:eastAsia="en-AU"/>
              </w:rPr>
              <w:t xml:space="preserve">Sep </w:t>
            </w:r>
            <w:r w:rsidRPr="00645124">
              <w:rPr>
                <w:rFonts w:ascii="Calibri" w:eastAsiaTheme="minorEastAsia" w:hAnsi="Calibri" w:cs="Calibri"/>
                <w:i/>
                <w:iCs/>
                <w:color w:val="FFFFFF"/>
                <w:sz w:val="22"/>
                <w:szCs w:val="22"/>
                <w:vertAlign w:val="superscript"/>
                <w:lang w:eastAsia="en-AU"/>
              </w:rPr>
              <w:t>(a)</w:t>
            </w:r>
          </w:p>
        </w:tc>
        <w:tc>
          <w:tcPr>
            <w:tcW w:w="936"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2"/>
                <w:szCs w:val="22"/>
                <w:lang w:eastAsia="en-AU"/>
              </w:rPr>
            </w:pPr>
            <w:r w:rsidRPr="00645124">
              <w:rPr>
                <w:rFonts w:ascii="Calibri" w:eastAsiaTheme="minorEastAsia" w:hAnsi="Calibri" w:cs="Calibri"/>
                <w:i/>
                <w:iCs/>
                <w:color w:val="FFFFFF"/>
                <w:sz w:val="22"/>
                <w:szCs w:val="22"/>
                <w:lang w:eastAsia="en-AU"/>
              </w:rPr>
              <w:t>Dec</w:t>
            </w:r>
          </w:p>
        </w:tc>
      </w:tr>
      <w:tr w:rsidR="00BB67AF" w:rsidRPr="00645124" w:rsidTr="00A6247C">
        <w:tc>
          <w:tcPr>
            <w:tcW w:w="4958"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Assets</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c>
          <w:tcPr>
            <w:tcW w:w="9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c>
          <w:tcPr>
            <w:tcW w:w="9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r>
      <w:tr w:rsidR="00BB67AF" w:rsidRPr="00645124" w:rsidTr="00A6247C">
        <w:tc>
          <w:tcPr>
            <w:tcW w:w="4958"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Financial assets</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c>
          <w:tcPr>
            <w:tcW w:w="9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c>
          <w:tcPr>
            <w:tcW w:w="9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r>
      <w:tr w:rsidR="00BB67AF" w:rsidRPr="00645124" w:rsidTr="00A6247C">
        <w:tc>
          <w:tcPr>
            <w:tcW w:w="4958"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Cash and deposits</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3 707</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4 609</w:t>
            </w:r>
          </w:p>
        </w:tc>
        <w:tc>
          <w:tcPr>
            <w:tcW w:w="9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4 282</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4 061</w:t>
            </w:r>
          </w:p>
        </w:tc>
        <w:tc>
          <w:tcPr>
            <w:tcW w:w="9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4 112</w:t>
            </w:r>
          </w:p>
        </w:tc>
      </w:tr>
      <w:tr w:rsidR="00BB67AF" w:rsidRPr="00645124" w:rsidTr="00A6247C">
        <w:tc>
          <w:tcPr>
            <w:tcW w:w="4958"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Advances paid</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4 578</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4 573</w:t>
            </w:r>
          </w:p>
        </w:tc>
        <w:tc>
          <w:tcPr>
            <w:tcW w:w="9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4 572</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4 567</w:t>
            </w:r>
          </w:p>
        </w:tc>
        <w:tc>
          <w:tcPr>
            <w:tcW w:w="9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4 550</w:t>
            </w:r>
          </w:p>
        </w:tc>
      </w:tr>
      <w:tr w:rsidR="00BB67AF" w:rsidRPr="00645124" w:rsidTr="00A6247C">
        <w:tc>
          <w:tcPr>
            <w:tcW w:w="4958"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Receivables</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5 001</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6 727</w:t>
            </w:r>
          </w:p>
        </w:tc>
        <w:tc>
          <w:tcPr>
            <w:tcW w:w="9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5 555</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5 897</w:t>
            </w:r>
          </w:p>
        </w:tc>
        <w:tc>
          <w:tcPr>
            <w:tcW w:w="9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5 907</w:t>
            </w:r>
          </w:p>
        </w:tc>
      </w:tr>
      <w:tr w:rsidR="00BB67AF" w:rsidRPr="00645124" w:rsidTr="00A6247C">
        <w:tc>
          <w:tcPr>
            <w:tcW w:w="4958"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Investments, loans and placements</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3 351</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3 397</w:t>
            </w:r>
          </w:p>
        </w:tc>
        <w:tc>
          <w:tcPr>
            <w:tcW w:w="9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3 406</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3 440</w:t>
            </w:r>
          </w:p>
        </w:tc>
        <w:tc>
          <w:tcPr>
            <w:tcW w:w="9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3 389</w:t>
            </w:r>
          </w:p>
        </w:tc>
      </w:tr>
      <w:tr w:rsidR="00BB67AF" w:rsidRPr="00645124" w:rsidTr="00A6247C">
        <w:tc>
          <w:tcPr>
            <w:tcW w:w="4958"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Investments accounted for using the equity method</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Arial"/>
                <w:color w:val="000000"/>
                <w:sz w:val="22"/>
                <w:szCs w:val="22"/>
                <w:lang w:eastAsia="en-AU"/>
              </w:rPr>
              <w:t>47</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Arial"/>
                <w:color w:val="000000"/>
                <w:sz w:val="22"/>
                <w:szCs w:val="22"/>
                <w:lang w:eastAsia="en-AU"/>
              </w:rPr>
              <w:t>47</w:t>
            </w:r>
          </w:p>
        </w:tc>
        <w:tc>
          <w:tcPr>
            <w:tcW w:w="9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Arial"/>
                <w:color w:val="000000"/>
                <w:sz w:val="22"/>
                <w:szCs w:val="22"/>
                <w:lang w:eastAsia="en-AU"/>
              </w:rPr>
              <w:t>45</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Arial"/>
                <w:color w:val="000000"/>
                <w:sz w:val="22"/>
                <w:szCs w:val="22"/>
                <w:lang w:eastAsia="en-AU"/>
              </w:rPr>
              <w:t>44</w:t>
            </w:r>
          </w:p>
        </w:tc>
        <w:tc>
          <w:tcPr>
            <w:tcW w:w="9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Arial"/>
                <w:color w:val="000000"/>
                <w:sz w:val="22"/>
                <w:szCs w:val="22"/>
                <w:lang w:eastAsia="en-AU"/>
              </w:rPr>
              <w:t>44</w:t>
            </w:r>
          </w:p>
        </w:tc>
      </w:tr>
      <w:tr w:rsidR="00BB67AF" w:rsidRPr="00645124" w:rsidTr="00A6247C">
        <w:tc>
          <w:tcPr>
            <w:tcW w:w="4958"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Investments in other sector entities</w:t>
            </w:r>
          </w:p>
        </w:tc>
        <w:tc>
          <w:tcPr>
            <w:tcW w:w="9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76 170</w:t>
            </w:r>
          </w:p>
        </w:tc>
        <w:tc>
          <w:tcPr>
            <w:tcW w:w="9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76 358</w:t>
            </w:r>
          </w:p>
        </w:tc>
        <w:tc>
          <w:tcPr>
            <w:tcW w:w="939"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82 181</w:t>
            </w:r>
          </w:p>
        </w:tc>
        <w:tc>
          <w:tcPr>
            <w:tcW w:w="9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82 467</w:t>
            </w:r>
          </w:p>
        </w:tc>
        <w:tc>
          <w:tcPr>
            <w:tcW w:w="93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82 563</w:t>
            </w:r>
          </w:p>
        </w:tc>
      </w:tr>
      <w:tr w:rsidR="00BB67AF" w:rsidRPr="00645124" w:rsidTr="00A6247C">
        <w:tc>
          <w:tcPr>
            <w:tcW w:w="4958"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Total financial assets</w:t>
            </w:r>
          </w:p>
        </w:tc>
        <w:tc>
          <w:tcPr>
            <w:tcW w:w="935"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92 853</w:t>
            </w:r>
          </w:p>
        </w:tc>
        <w:tc>
          <w:tcPr>
            <w:tcW w:w="935"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95 711</w:t>
            </w:r>
          </w:p>
        </w:tc>
        <w:tc>
          <w:tcPr>
            <w:tcW w:w="939"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100 040</w:t>
            </w:r>
          </w:p>
        </w:tc>
        <w:tc>
          <w:tcPr>
            <w:tcW w:w="935"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100 477</w:t>
            </w:r>
          </w:p>
        </w:tc>
        <w:tc>
          <w:tcPr>
            <w:tcW w:w="936"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100 566</w:t>
            </w:r>
          </w:p>
        </w:tc>
      </w:tr>
      <w:tr w:rsidR="00BB67AF" w:rsidRPr="00645124" w:rsidTr="00A6247C">
        <w:tc>
          <w:tcPr>
            <w:tcW w:w="4958"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Non-financial assets</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c>
          <w:tcPr>
            <w:tcW w:w="9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c>
          <w:tcPr>
            <w:tcW w:w="9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r>
      <w:tr w:rsidR="00BB67AF" w:rsidRPr="00645124" w:rsidTr="00A6247C">
        <w:tc>
          <w:tcPr>
            <w:tcW w:w="4958"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Inventories</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Arial"/>
                <w:color w:val="000000"/>
                <w:sz w:val="22"/>
                <w:szCs w:val="22"/>
                <w:lang w:eastAsia="en-AU"/>
              </w:rPr>
              <w:t>148</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Arial"/>
                <w:color w:val="000000"/>
                <w:sz w:val="22"/>
                <w:szCs w:val="22"/>
                <w:lang w:eastAsia="en-AU"/>
              </w:rPr>
              <w:t>147</w:t>
            </w:r>
          </w:p>
        </w:tc>
        <w:tc>
          <w:tcPr>
            <w:tcW w:w="9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Arial"/>
                <w:color w:val="000000"/>
                <w:sz w:val="22"/>
                <w:szCs w:val="22"/>
                <w:lang w:eastAsia="en-AU"/>
              </w:rPr>
              <w:t>144</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Arial"/>
                <w:color w:val="000000"/>
                <w:sz w:val="22"/>
                <w:szCs w:val="22"/>
                <w:lang w:eastAsia="en-AU"/>
              </w:rPr>
              <w:t>146</w:t>
            </w:r>
          </w:p>
        </w:tc>
        <w:tc>
          <w:tcPr>
            <w:tcW w:w="9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Arial"/>
                <w:color w:val="000000"/>
                <w:sz w:val="22"/>
                <w:szCs w:val="22"/>
                <w:lang w:eastAsia="en-AU"/>
              </w:rPr>
              <w:t>154</w:t>
            </w:r>
          </w:p>
        </w:tc>
      </w:tr>
      <w:tr w:rsidR="00BB67AF" w:rsidRPr="00645124" w:rsidTr="00A6247C">
        <w:tc>
          <w:tcPr>
            <w:tcW w:w="4958"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Non-financial assets held for sale</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Arial"/>
                <w:color w:val="000000"/>
                <w:sz w:val="22"/>
                <w:szCs w:val="22"/>
                <w:lang w:eastAsia="en-AU"/>
              </w:rPr>
              <w:t>145</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Arial"/>
                <w:color w:val="000000"/>
                <w:sz w:val="22"/>
                <w:szCs w:val="22"/>
                <w:lang w:eastAsia="en-AU"/>
              </w:rPr>
              <w:t>130</w:t>
            </w:r>
          </w:p>
        </w:tc>
        <w:tc>
          <w:tcPr>
            <w:tcW w:w="9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Arial"/>
                <w:color w:val="000000"/>
                <w:sz w:val="22"/>
                <w:szCs w:val="22"/>
                <w:lang w:eastAsia="en-AU"/>
              </w:rPr>
              <w:t>175</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Arial"/>
                <w:color w:val="000000"/>
                <w:sz w:val="22"/>
                <w:szCs w:val="22"/>
                <w:lang w:eastAsia="en-AU"/>
              </w:rPr>
              <w:t>169</w:t>
            </w:r>
          </w:p>
        </w:tc>
        <w:tc>
          <w:tcPr>
            <w:tcW w:w="9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Arial"/>
                <w:color w:val="000000"/>
                <w:sz w:val="22"/>
                <w:szCs w:val="22"/>
                <w:lang w:eastAsia="en-AU"/>
              </w:rPr>
              <w:t>165</w:t>
            </w:r>
          </w:p>
        </w:tc>
      </w:tr>
      <w:tr w:rsidR="00BB67AF" w:rsidRPr="00645124" w:rsidTr="00A6247C">
        <w:tc>
          <w:tcPr>
            <w:tcW w:w="4958"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Land, buildings, infrastructure, plant and equipment</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105 317</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104 682</w:t>
            </w:r>
          </w:p>
        </w:tc>
        <w:tc>
          <w:tcPr>
            <w:tcW w:w="9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107 562</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107 503</w:t>
            </w:r>
          </w:p>
        </w:tc>
        <w:tc>
          <w:tcPr>
            <w:tcW w:w="9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107 750</w:t>
            </w:r>
          </w:p>
        </w:tc>
      </w:tr>
      <w:tr w:rsidR="00BB67AF" w:rsidRPr="00645124" w:rsidTr="00A6247C">
        <w:tc>
          <w:tcPr>
            <w:tcW w:w="4958"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Other non-financial assets</w:t>
            </w:r>
          </w:p>
        </w:tc>
        <w:tc>
          <w:tcPr>
            <w:tcW w:w="9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1 480</w:t>
            </w:r>
          </w:p>
        </w:tc>
        <w:tc>
          <w:tcPr>
            <w:tcW w:w="9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1 325</w:t>
            </w:r>
          </w:p>
        </w:tc>
        <w:tc>
          <w:tcPr>
            <w:tcW w:w="939"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1 038</w:t>
            </w:r>
          </w:p>
        </w:tc>
        <w:tc>
          <w:tcPr>
            <w:tcW w:w="9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1 215</w:t>
            </w:r>
          </w:p>
        </w:tc>
        <w:tc>
          <w:tcPr>
            <w:tcW w:w="93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1 195</w:t>
            </w:r>
          </w:p>
        </w:tc>
      </w:tr>
      <w:tr w:rsidR="00BB67AF" w:rsidRPr="00645124" w:rsidTr="00A6247C">
        <w:tc>
          <w:tcPr>
            <w:tcW w:w="4958"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Total non-financial assets</w:t>
            </w:r>
          </w:p>
        </w:tc>
        <w:tc>
          <w:tcPr>
            <w:tcW w:w="935"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107 091</w:t>
            </w:r>
          </w:p>
        </w:tc>
        <w:tc>
          <w:tcPr>
            <w:tcW w:w="935"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106 284</w:t>
            </w:r>
          </w:p>
        </w:tc>
        <w:tc>
          <w:tcPr>
            <w:tcW w:w="939"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108 920</w:t>
            </w:r>
          </w:p>
        </w:tc>
        <w:tc>
          <w:tcPr>
            <w:tcW w:w="935"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109 033</w:t>
            </w:r>
          </w:p>
        </w:tc>
        <w:tc>
          <w:tcPr>
            <w:tcW w:w="936"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109 265</w:t>
            </w:r>
          </w:p>
        </w:tc>
      </w:tr>
      <w:tr w:rsidR="00BB67AF" w:rsidRPr="00645124" w:rsidTr="00A6247C">
        <w:tc>
          <w:tcPr>
            <w:tcW w:w="4958"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Total assets</w:t>
            </w:r>
          </w:p>
        </w:tc>
        <w:tc>
          <w:tcPr>
            <w:tcW w:w="935"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199 944</w:t>
            </w:r>
          </w:p>
        </w:tc>
        <w:tc>
          <w:tcPr>
            <w:tcW w:w="935"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201 994</w:t>
            </w:r>
          </w:p>
        </w:tc>
        <w:tc>
          <w:tcPr>
            <w:tcW w:w="939"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208 960</w:t>
            </w:r>
          </w:p>
        </w:tc>
        <w:tc>
          <w:tcPr>
            <w:tcW w:w="935"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209 509</w:t>
            </w:r>
          </w:p>
        </w:tc>
        <w:tc>
          <w:tcPr>
            <w:tcW w:w="936"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209 830</w:t>
            </w:r>
          </w:p>
        </w:tc>
      </w:tr>
      <w:tr w:rsidR="00BB67AF" w:rsidRPr="00645124" w:rsidTr="00A6247C">
        <w:tc>
          <w:tcPr>
            <w:tcW w:w="4958"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Liabilities</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c>
          <w:tcPr>
            <w:tcW w:w="9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c>
          <w:tcPr>
            <w:tcW w:w="9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r>
      <w:tr w:rsidR="00BB67AF" w:rsidRPr="00645124" w:rsidTr="00A6247C">
        <w:tc>
          <w:tcPr>
            <w:tcW w:w="4958"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 xml:space="preserve">Deposits held and advances received </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Arial"/>
                <w:color w:val="000000"/>
                <w:sz w:val="22"/>
                <w:szCs w:val="22"/>
                <w:lang w:eastAsia="en-AU"/>
              </w:rPr>
              <w:t>424</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Arial"/>
                <w:color w:val="000000"/>
                <w:sz w:val="22"/>
                <w:szCs w:val="22"/>
                <w:lang w:eastAsia="en-AU"/>
              </w:rPr>
              <w:t>529</w:t>
            </w:r>
          </w:p>
        </w:tc>
        <w:tc>
          <w:tcPr>
            <w:tcW w:w="9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Arial"/>
                <w:color w:val="000000"/>
                <w:sz w:val="22"/>
                <w:szCs w:val="22"/>
                <w:lang w:eastAsia="en-AU"/>
              </w:rPr>
              <w:t>518</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Arial"/>
                <w:color w:val="000000"/>
                <w:sz w:val="22"/>
                <w:szCs w:val="22"/>
                <w:lang w:eastAsia="en-AU"/>
              </w:rPr>
              <w:t>471</w:t>
            </w:r>
          </w:p>
        </w:tc>
        <w:tc>
          <w:tcPr>
            <w:tcW w:w="9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Arial"/>
                <w:color w:val="000000"/>
                <w:sz w:val="22"/>
                <w:szCs w:val="22"/>
                <w:lang w:eastAsia="en-AU"/>
              </w:rPr>
              <w:t>485</w:t>
            </w:r>
          </w:p>
        </w:tc>
      </w:tr>
      <w:tr w:rsidR="00BB67AF" w:rsidRPr="00645124" w:rsidTr="00A6247C">
        <w:tc>
          <w:tcPr>
            <w:tcW w:w="4958"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Payables</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5 348</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6 182</w:t>
            </w:r>
          </w:p>
        </w:tc>
        <w:tc>
          <w:tcPr>
            <w:tcW w:w="9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5 704</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5 355</w:t>
            </w:r>
          </w:p>
        </w:tc>
        <w:tc>
          <w:tcPr>
            <w:tcW w:w="9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5 188</w:t>
            </w:r>
          </w:p>
        </w:tc>
      </w:tr>
      <w:tr w:rsidR="00BB67AF" w:rsidRPr="00645124" w:rsidTr="00A6247C">
        <w:tc>
          <w:tcPr>
            <w:tcW w:w="4958"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 xml:space="preserve">Borrowings </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33 018</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33 286</w:t>
            </w:r>
          </w:p>
        </w:tc>
        <w:tc>
          <w:tcPr>
            <w:tcW w:w="9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34 069</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34 597</w:t>
            </w:r>
          </w:p>
        </w:tc>
        <w:tc>
          <w:tcPr>
            <w:tcW w:w="9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34 301</w:t>
            </w:r>
          </w:p>
        </w:tc>
      </w:tr>
      <w:tr w:rsidR="00BB67AF" w:rsidRPr="00645124" w:rsidTr="00A6247C">
        <w:tc>
          <w:tcPr>
            <w:tcW w:w="4958"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Employee benefits</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5 399</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5 601</w:t>
            </w:r>
          </w:p>
        </w:tc>
        <w:tc>
          <w:tcPr>
            <w:tcW w:w="9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5 605</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5 675</w:t>
            </w:r>
          </w:p>
        </w:tc>
        <w:tc>
          <w:tcPr>
            <w:tcW w:w="9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5 769</w:t>
            </w:r>
          </w:p>
        </w:tc>
      </w:tr>
      <w:tr w:rsidR="00BB67AF" w:rsidRPr="00645124" w:rsidTr="00A6247C">
        <w:tc>
          <w:tcPr>
            <w:tcW w:w="4958"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Superannuation</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28 844</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30 881</w:t>
            </w:r>
          </w:p>
        </w:tc>
        <w:tc>
          <w:tcPr>
            <w:tcW w:w="9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25 947</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27 885</w:t>
            </w:r>
          </w:p>
        </w:tc>
        <w:tc>
          <w:tcPr>
            <w:tcW w:w="9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26 722</w:t>
            </w:r>
          </w:p>
        </w:tc>
      </w:tr>
      <w:tr w:rsidR="00BB67AF" w:rsidRPr="00645124" w:rsidTr="00A6247C">
        <w:tc>
          <w:tcPr>
            <w:tcW w:w="4958"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Other provisions</w:t>
            </w:r>
          </w:p>
        </w:tc>
        <w:tc>
          <w:tcPr>
            <w:tcW w:w="9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Arial"/>
                <w:color w:val="000000"/>
                <w:sz w:val="22"/>
                <w:szCs w:val="22"/>
                <w:lang w:eastAsia="en-AU"/>
              </w:rPr>
              <w:t>687</w:t>
            </w:r>
          </w:p>
        </w:tc>
        <w:tc>
          <w:tcPr>
            <w:tcW w:w="9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Arial"/>
                <w:color w:val="000000"/>
                <w:sz w:val="22"/>
                <w:szCs w:val="22"/>
                <w:lang w:eastAsia="en-AU"/>
              </w:rPr>
              <w:t>717</w:t>
            </w:r>
          </w:p>
        </w:tc>
        <w:tc>
          <w:tcPr>
            <w:tcW w:w="939"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Arial"/>
                <w:color w:val="000000"/>
                <w:sz w:val="22"/>
                <w:szCs w:val="22"/>
                <w:lang w:eastAsia="en-AU"/>
              </w:rPr>
              <w:t>807</w:t>
            </w:r>
          </w:p>
        </w:tc>
        <w:tc>
          <w:tcPr>
            <w:tcW w:w="9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Arial"/>
                <w:color w:val="000000"/>
                <w:sz w:val="22"/>
                <w:szCs w:val="22"/>
                <w:lang w:eastAsia="en-AU"/>
              </w:rPr>
              <w:t>754</w:t>
            </w:r>
          </w:p>
        </w:tc>
        <w:tc>
          <w:tcPr>
            <w:tcW w:w="93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Arial"/>
                <w:color w:val="000000"/>
                <w:sz w:val="22"/>
                <w:szCs w:val="22"/>
                <w:lang w:eastAsia="en-AU"/>
              </w:rPr>
              <w:t>809</w:t>
            </w:r>
          </w:p>
        </w:tc>
      </w:tr>
      <w:tr w:rsidR="00BB67AF" w:rsidRPr="00645124" w:rsidTr="00A6247C">
        <w:tc>
          <w:tcPr>
            <w:tcW w:w="4958"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Total liabilities</w:t>
            </w:r>
          </w:p>
        </w:tc>
        <w:tc>
          <w:tcPr>
            <w:tcW w:w="935"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73 720</w:t>
            </w:r>
          </w:p>
        </w:tc>
        <w:tc>
          <w:tcPr>
            <w:tcW w:w="935"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77 196</w:t>
            </w:r>
          </w:p>
        </w:tc>
        <w:tc>
          <w:tcPr>
            <w:tcW w:w="939"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72 650</w:t>
            </w:r>
          </w:p>
        </w:tc>
        <w:tc>
          <w:tcPr>
            <w:tcW w:w="935"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74 738</w:t>
            </w:r>
          </w:p>
        </w:tc>
        <w:tc>
          <w:tcPr>
            <w:tcW w:w="936"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73 274</w:t>
            </w:r>
          </w:p>
        </w:tc>
      </w:tr>
      <w:tr w:rsidR="00BB67AF" w:rsidRPr="00645124" w:rsidTr="00A6247C">
        <w:tc>
          <w:tcPr>
            <w:tcW w:w="4958"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Net assets</w:t>
            </w:r>
          </w:p>
        </w:tc>
        <w:tc>
          <w:tcPr>
            <w:tcW w:w="935"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126 224</w:t>
            </w:r>
          </w:p>
        </w:tc>
        <w:tc>
          <w:tcPr>
            <w:tcW w:w="935"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124 798</w:t>
            </w:r>
          </w:p>
        </w:tc>
        <w:tc>
          <w:tcPr>
            <w:tcW w:w="939"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136 310</w:t>
            </w:r>
          </w:p>
        </w:tc>
        <w:tc>
          <w:tcPr>
            <w:tcW w:w="935"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134 772</w:t>
            </w:r>
          </w:p>
        </w:tc>
        <w:tc>
          <w:tcPr>
            <w:tcW w:w="936"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136 556</w:t>
            </w:r>
          </w:p>
        </w:tc>
      </w:tr>
      <w:tr w:rsidR="00BB67AF" w:rsidRPr="00645124" w:rsidTr="00A6247C">
        <w:tc>
          <w:tcPr>
            <w:tcW w:w="4958"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Accumulated surplus/(deficit)</w:t>
            </w:r>
          </w:p>
        </w:tc>
        <w:tc>
          <w:tcPr>
            <w:tcW w:w="935"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41 722</w:t>
            </w:r>
          </w:p>
        </w:tc>
        <w:tc>
          <w:tcPr>
            <w:tcW w:w="935"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41 078</w:t>
            </w:r>
          </w:p>
        </w:tc>
        <w:tc>
          <w:tcPr>
            <w:tcW w:w="939"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45 764</w:t>
            </w:r>
          </w:p>
        </w:tc>
        <w:tc>
          <w:tcPr>
            <w:tcW w:w="935"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44 213</w:t>
            </w:r>
          </w:p>
        </w:tc>
        <w:tc>
          <w:tcPr>
            <w:tcW w:w="936"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46 304</w:t>
            </w:r>
          </w:p>
        </w:tc>
      </w:tr>
      <w:tr w:rsidR="00BB67AF" w:rsidRPr="00645124" w:rsidTr="00A6247C">
        <w:tc>
          <w:tcPr>
            <w:tcW w:w="4958"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Reserves</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84 452</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83 670</w:t>
            </w:r>
          </w:p>
        </w:tc>
        <w:tc>
          <w:tcPr>
            <w:tcW w:w="9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90 496</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90 509</w:t>
            </w:r>
          </w:p>
        </w:tc>
        <w:tc>
          <w:tcPr>
            <w:tcW w:w="9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90 203</w:t>
            </w:r>
          </w:p>
        </w:tc>
      </w:tr>
      <w:tr w:rsidR="00BB67AF" w:rsidRPr="00645124" w:rsidTr="00A6247C">
        <w:tc>
          <w:tcPr>
            <w:tcW w:w="4958"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Non-controlling interest</w:t>
            </w:r>
          </w:p>
        </w:tc>
        <w:tc>
          <w:tcPr>
            <w:tcW w:w="9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Arial"/>
                <w:color w:val="000000"/>
                <w:sz w:val="22"/>
                <w:szCs w:val="22"/>
                <w:lang w:eastAsia="en-AU"/>
              </w:rPr>
              <w:t>50</w:t>
            </w:r>
          </w:p>
        </w:tc>
        <w:tc>
          <w:tcPr>
            <w:tcW w:w="9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Arial"/>
                <w:color w:val="000000"/>
                <w:sz w:val="22"/>
                <w:szCs w:val="22"/>
                <w:lang w:eastAsia="en-AU"/>
              </w:rPr>
              <w:t>50</w:t>
            </w:r>
          </w:p>
        </w:tc>
        <w:tc>
          <w:tcPr>
            <w:tcW w:w="939"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Arial"/>
                <w:color w:val="000000"/>
                <w:sz w:val="22"/>
                <w:szCs w:val="22"/>
                <w:lang w:eastAsia="en-AU"/>
              </w:rPr>
              <w:t>50</w:t>
            </w:r>
          </w:p>
        </w:tc>
        <w:tc>
          <w:tcPr>
            <w:tcW w:w="9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Arial"/>
                <w:color w:val="000000"/>
                <w:sz w:val="22"/>
                <w:szCs w:val="22"/>
                <w:lang w:eastAsia="en-AU"/>
              </w:rPr>
              <w:t>50</w:t>
            </w:r>
          </w:p>
        </w:tc>
        <w:tc>
          <w:tcPr>
            <w:tcW w:w="936"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Arial"/>
                <w:color w:val="000000"/>
                <w:sz w:val="22"/>
                <w:szCs w:val="22"/>
                <w:lang w:eastAsia="en-AU"/>
              </w:rPr>
              <w:t>50</w:t>
            </w:r>
          </w:p>
        </w:tc>
      </w:tr>
      <w:tr w:rsidR="00BB67AF" w:rsidRPr="00645124" w:rsidTr="00A6247C">
        <w:tc>
          <w:tcPr>
            <w:tcW w:w="4958"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Net worth</w:t>
            </w:r>
          </w:p>
        </w:tc>
        <w:tc>
          <w:tcPr>
            <w:tcW w:w="935"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126 224</w:t>
            </w:r>
          </w:p>
        </w:tc>
        <w:tc>
          <w:tcPr>
            <w:tcW w:w="935"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124 798</w:t>
            </w:r>
          </w:p>
        </w:tc>
        <w:tc>
          <w:tcPr>
            <w:tcW w:w="939"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136 310</w:t>
            </w:r>
          </w:p>
        </w:tc>
        <w:tc>
          <w:tcPr>
            <w:tcW w:w="935"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134 772</w:t>
            </w:r>
          </w:p>
        </w:tc>
        <w:tc>
          <w:tcPr>
            <w:tcW w:w="936"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136 556</w:t>
            </w:r>
          </w:p>
        </w:tc>
      </w:tr>
      <w:tr w:rsidR="00BB67AF" w:rsidRPr="00645124" w:rsidTr="00A6247C">
        <w:trPr>
          <w:trHeight w:hRule="exact" w:val="120"/>
        </w:trPr>
        <w:tc>
          <w:tcPr>
            <w:tcW w:w="4958"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935"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935"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939"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935"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c>
          <w:tcPr>
            <w:tcW w:w="936"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2"/>
                <w:szCs w:val="22"/>
                <w:lang w:eastAsia="en-AU"/>
              </w:rPr>
            </w:pPr>
            <w:r w:rsidRPr="00645124">
              <w:rPr>
                <w:rFonts w:ascii="Calibri" w:eastAsiaTheme="minorEastAsia" w:hAnsi="Calibri" w:cs="Calibri"/>
                <w:color w:val="000000"/>
                <w:sz w:val="22"/>
                <w:szCs w:val="22"/>
                <w:lang w:eastAsia="en-AU"/>
              </w:rPr>
              <w:t xml:space="preserve"> </w:t>
            </w:r>
          </w:p>
        </w:tc>
      </w:tr>
      <w:tr w:rsidR="00BB67AF" w:rsidRPr="00645124" w:rsidTr="00A6247C">
        <w:tc>
          <w:tcPr>
            <w:tcW w:w="4958"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FISCAL AGGREGATES</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c>
          <w:tcPr>
            <w:tcW w:w="9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c>
          <w:tcPr>
            <w:tcW w:w="9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b/>
                <w:bCs/>
                <w:color w:val="000000"/>
                <w:sz w:val="22"/>
                <w:szCs w:val="22"/>
                <w:lang w:eastAsia="en-AU"/>
              </w:rPr>
            </w:pPr>
            <w:r w:rsidRPr="00645124">
              <w:rPr>
                <w:rFonts w:ascii="Calibri" w:eastAsiaTheme="minorEastAsia" w:hAnsi="Calibri" w:cs="Arial"/>
                <w:b/>
                <w:bCs/>
                <w:color w:val="000000"/>
                <w:sz w:val="22"/>
                <w:szCs w:val="22"/>
                <w:lang w:eastAsia="en-AU"/>
              </w:rPr>
              <w:t xml:space="preserve"> </w:t>
            </w:r>
          </w:p>
        </w:tc>
      </w:tr>
      <w:tr w:rsidR="00BB67AF" w:rsidRPr="00645124" w:rsidTr="00A6247C">
        <w:tc>
          <w:tcPr>
            <w:tcW w:w="4958"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Net financial worth</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19 133</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18 514</w:t>
            </w:r>
          </w:p>
        </w:tc>
        <w:tc>
          <w:tcPr>
            <w:tcW w:w="9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27 390</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25 739</w:t>
            </w:r>
          </w:p>
        </w:tc>
        <w:tc>
          <w:tcPr>
            <w:tcW w:w="9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27 292</w:t>
            </w:r>
          </w:p>
        </w:tc>
      </w:tr>
      <w:tr w:rsidR="00BB67AF" w:rsidRPr="00645124" w:rsidTr="00A6247C">
        <w:tc>
          <w:tcPr>
            <w:tcW w:w="4958"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Net financial liabilities</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57 037</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57 843</w:t>
            </w:r>
          </w:p>
        </w:tc>
        <w:tc>
          <w:tcPr>
            <w:tcW w:w="939"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54 791</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56 728</w:t>
            </w:r>
          </w:p>
        </w:tc>
        <w:tc>
          <w:tcPr>
            <w:tcW w:w="936"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55 271</w:t>
            </w:r>
          </w:p>
        </w:tc>
      </w:tr>
      <w:tr w:rsidR="00BB67AF" w:rsidRPr="00645124" w:rsidTr="00A6247C">
        <w:tc>
          <w:tcPr>
            <w:tcW w:w="4958"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Net debt</w:t>
            </w:r>
          </w:p>
        </w:tc>
        <w:tc>
          <w:tcPr>
            <w:tcW w:w="935"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21 807</w:t>
            </w:r>
          </w:p>
        </w:tc>
        <w:tc>
          <w:tcPr>
            <w:tcW w:w="935"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21 236</w:t>
            </w:r>
          </w:p>
        </w:tc>
        <w:tc>
          <w:tcPr>
            <w:tcW w:w="939"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22 327</w:t>
            </w:r>
          </w:p>
        </w:tc>
        <w:tc>
          <w:tcPr>
            <w:tcW w:w="935"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23 000</w:t>
            </w:r>
          </w:p>
        </w:tc>
        <w:tc>
          <w:tcPr>
            <w:tcW w:w="936" w:type="dxa"/>
            <w:tcBorders>
              <w:top w:val="nil"/>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Arial"/>
                <w:color w:val="000000"/>
                <w:sz w:val="22"/>
                <w:szCs w:val="22"/>
                <w:lang w:eastAsia="en-AU"/>
              </w:rPr>
            </w:pPr>
            <w:r w:rsidRPr="00645124">
              <w:rPr>
                <w:rFonts w:ascii="Calibri" w:eastAsiaTheme="minorEastAsia" w:hAnsi="Calibri" w:cs="Arial"/>
                <w:color w:val="000000"/>
                <w:sz w:val="22"/>
                <w:szCs w:val="22"/>
                <w:lang w:eastAsia="en-AU"/>
              </w:rPr>
              <w:t>22 735</w:t>
            </w:r>
          </w:p>
        </w:tc>
      </w:tr>
    </w:tbl>
    <w:p w:rsidR="00BB67AF" w:rsidRDefault="00BB67AF" w:rsidP="003E6750">
      <w:pPr>
        <w:pStyle w:val="Notes"/>
      </w:pPr>
      <w:r>
        <w:t>Note:</w:t>
      </w:r>
    </w:p>
    <w:p w:rsidR="00BB67AF" w:rsidRDefault="00BB67AF" w:rsidP="003E6750">
      <w:pPr>
        <w:pStyle w:val="Notes"/>
      </w:pPr>
      <w:r>
        <w:t>(a)</w:t>
      </w:r>
      <w:r>
        <w:tab/>
        <w:t>The comparative figures have been restated to reflect more current information.</w:t>
      </w:r>
    </w:p>
    <w:p w:rsidR="00BB67AF" w:rsidRDefault="00BB67AF">
      <w:pPr>
        <w:spacing w:after="0"/>
      </w:pPr>
      <w:r>
        <w:br w:type="page"/>
      </w:r>
    </w:p>
    <w:p w:rsidR="00BB67AF" w:rsidRDefault="00BB67AF" w:rsidP="003E6750">
      <w:pPr>
        <w:pStyle w:val="Tableheading"/>
      </w:pPr>
      <w:r w:rsidRPr="00887129">
        <w:lastRenderedPageBreak/>
        <w:t xml:space="preserve">Table A.3: </w:t>
      </w:r>
      <w:r w:rsidRPr="00887129">
        <w:tab/>
        <w:t>Consolidated cash flow statement for the past five quarters</w:t>
      </w:r>
      <w:r w:rsidRPr="00974491">
        <w:rPr>
          <w:vertAlign w:val="superscript"/>
        </w:rPr>
        <w:t>(a)</w:t>
      </w:r>
    </w:p>
    <w:p w:rsidR="00BB67AF" w:rsidRPr="00BC1814" w:rsidRDefault="00BB67AF" w:rsidP="003E6750">
      <w:pPr>
        <w:pStyle w:val="million"/>
        <w:rPr>
          <w:rFonts w:eastAsiaTheme="minorEastAsia"/>
          <w:lang w:val="en-US" w:eastAsia="en-AU"/>
        </w:rPr>
      </w:pPr>
      <w:r>
        <w:t>($ million)</w:t>
      </w:r>
    </w:p>
    <w:tbl>
      <w:tblPr>
        <w:tblW w:w="9638" w:type="dxa"/>
        <w:tblInd w:w="45" w:type="dxa"/>
        <w:tblLayout w:type="fixed"/>
        <w:tblCellMar>
          <w:left w:w="45" w:type="dxa"/>
          <w:right w:w="45" w:type="dxa"/>
        </w:tblCellMar>
        <w:tblLook w:val="0000" w:firstRow="0" w:lastRow="0" w:firstColumn="0" w:lastColumn="0" w:noHBand="0" w:noVBand="0"/>
      </w:tblPr>
      <w:tblGrid>
        <w:gridCol w:w="4952"/>
        <w:gridCol w:w="934"/>
        <w:gridCol w:w="454"/>
        <w:gridCol w:w="481"/>
        <w:gridCol w:w="10"/>
        <w:gridCol w:w="332"/>
        <w:gridCol w:w="600"/>
        <w:gridCol w:w="222"/>
        <w:gridCol w:w="717"/>
        <w:gridCol w:w="104"/>
        <w:gridCol w:w="832"/>
      </w:tblGrid>
      <w:tr w:rsidR="00A6247C" w:rsidRPr="00645124" w:rsidTr="00A6247C">
        <w:trPr>
          <w:tblHeader/>
        </w:trPr>
        <w:tc>
          <w:tcPr>
            <w:tcW w:w="4957" w:type="dxa"/>
            <w:tcBorders>
              <w:top w:val="nil"/>
              <w:left w:val="nil"/>
              <w:bottom w:val="nil"/>
              <w:right w:val="nil"/>
            </w:tcBorders>
            <w:shd w:val="solid" w:color="000000" w:fill="auto"/>
            <w:vAlign w:val="bottom"/>
          </w:tcPr>
          <w:p w:rsidR="00A6247C" w:rsidRPr="00645124" w:rsidRDefault="00A6247C" w:rsidP="003E6750">
            <w:pPr>
              <w:pStyle w:val="Notes"/>
              <w:rPr>
                <w:rFonts w:eastAsiaTheme="minorEastAsia" w:cs="Calibri"/>
                <w:iCs/>
                <w:color w:val="FFFFFF"/>
                <w:sz w:val="20"/>
                <w:lang w:eastAsia="en-AU"/>
              </w:rPr>
            </w:pPr>
            <w:r w:rsidRPr="00645124">
              <w:rPr>
                <w:rFonts w:eastAsiaTheme="minorEastAsia" w:cs="Calibri"/>
                <w:iCs/>
                <w:color w:val="FFFFFF"/>
                <w:sz w:val="20"/>
                <w:lang w:eastAsia="en-AU"/>
              </w:rPr>
              <w:t xml:space="preserve"> </w:t>
            </w:r>
          </w:p>
        </w:tc>
        <w:tc>
          <w:tcPr>
            <w:tcW w:w="2809" w:type="dxa"/>
            <w:gridSpan w:val="6"/>
            <w:tcBorders>
              <w:top w:val="nil"/>
              <w:left w:val="nil"/>
              <w:bottom w:val="nil"/>
              <w:right w:val="nil"/>
            </w:tcBorders>
            <w:shd w:val="solid" w:color="000000" w:fill="auto"/>
            <w:vAlign w:val="bottom"/>
          </w:tcPr>
          <w:p w:rsidR="00A6247C" w:rsidRPr="00645124" w:rsidRDefault="00A6247C" w:rsidP="00A6247C">
            <w:pPr>
              <w:pStyle w:val="Tabletextheading"/>
              <w:jc w:val="center"/>
              <w:rPr>
                <w:rFonts w:eastAsiaTheme="minorEastAsia" w:cs="Calibri"/>
                <w:i w:val="0"/>
                <w:iCs/>
                <w:color w:val="FFFFFF"/>
                <w:sz w:val="20"/>
                <w:szCs w:val="20"/>
                <w:lang w:eastAsia="en-AU"/>
              </w:rPr>
            </w:pPr>
            <w:r w:rsidRPr="00645124">
              <w:rPr>
                <w:rFonts w:eastAsiaTheme="minorEastAsia"/>
                <w:color w:val="FFFFFF"/>
                <w:sz w:val="20"/>
                <w:szCs w:val="20"/>
                <w:lang w:eastAsia="en-AU"/>
              </w:rPr>
              <w:t>2014-15</w:t>
            </w:r>
          </w:p>
        </w:tc>
        <w:tc>
          <w:tcPr>
            <w:tcW w:w="1872" w:type="dxa"/>
            <w:gridSpan w:val="4"/>
            <w:tcBorders>
              <w:top w:val="nil"/>
              <w:left w:val="nil"/>
              <w:bottom w:val="nil"/>
              <w:right w:val="nil"/>
            </w:tcBorders>
            <w:shd w:val="solid" w:color="000000" w:fill="auto"/>
            <w:vAlign w:val="bottom"/>
          </w:tcPr>
          <w:p w:rsidR="00A6247C" w:rsidRPr="00645124" w:rsidRDefault="00A6247C" w:rsidP="00A6247C">
            <w:pPr>
              <w:autoSpaceDE w:val="0"/>
              <w:autoSpaceDN w:val="0"/>
              <w:adjustRightInd w:val="0"/>
              <w:spacing w:after="0"/>
              <w:jc w:val="center"/>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2015-16</w:t>
            </w:r>
          </w:p>
        </w:tc>
      </w:tr>
      <w:tr w:rsidR="00BB67AF" w:rsidRPr="00645124" w:rsidTr="00A6247C">
        <w:trPr>
          <w:tblHeader/>
        </w:trPr>
        <w:tc>
          <w:tcPr>
            <w:tcW w:w="4957"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 xml:space="preserve"> </w:t>
            </w:r>
          </w:p>
        </w:tc>
        <w:tc>
          <w:tcPr>
            <w:tcW w:w="935" w:type="dxa"/>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Dec</w:t>
            </w:r>
          </w:p>
        </w:tc>
        <w:tc>
          <w:tcPr>
            <w:tcW w:w="945" w:type="dxa"/>
            <w:gridSpan w:val="3"/>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Mar</w:t>
            </w:r>
          </w:p>
        </w:tc>
        <w:tc>
          <w:tcPr>
            <w:tcW w:w="932" w:type="dxa"/>
            <w:gridSpan w:val="2"/>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Jun</w:t>
            </w:r>
          </w:p>
        </w:tc>
        <w:tc>
          <w:tcPr>
            <w:tcW w:w="940" w:type="dxa"/>
            <w:gridSpan w:val="2"/>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Sep</w:t>
            </w:r>
          </w:p>
        </w:tc>
        <w:tc>
          <w:tcPr>
            <w:tcW w:w="929" w:type="dxa"/>
            <w:gridSpan w:val="2"/>
            <w:tcBorders>
              <w:top w:val="nil"/>
              <w:left w:val="nil"/>
              <w:right w:val="nil"/>
            </w:tcBorders>
            <w:shd w:val="solid" w:color="000000" w:fill="auto"/>
            <w:vAlign w:val="bottom"/>
          </w:tcPr>
          <w:p w:rsidR="00BB67AF" w:rsidRPr="00645124" w:rsidRDefault="00BB67AF" w:rsidP="003E6750">
            <w:pPr>
              <w:autoSpaceDE w:val="0"/>
              <w:autoSpaceDN w:val="0"/>
              <w:adjustRightInd w:val="0"/>
              <w:spacing w:after="0"/>
              <w:jc w:val="right"/>
              <w:rPr>
                <w:rFonts w:ascii="Calibri" w:eastAsiaTheme="minorEastAsia" w:hAnsi="Calibri" w:cs="Calibri"/>
                <w:i/>
                <w:iCs/>
                <w:color w:val="FFFFFF"/>
                <w:sz w:val="20"/>
                <w:lang w:eastAsia="en-AU"/>
              </w:rPr>
            </w:pPr>
            <w:r w:rsidRPr="00645124">
              <w:rPr>
                <w:rFonts w:ascii="Calibri" w:eastAsiaTheme="minorEastAsia" w:hAnsi="Calibri" w:cs="Calibri"/>
                <w:i/>
                <w:iCs/>
                <w:color w:val="FFFFFF"/>
                <w:sz w:val="20"/>
                <w:lang w:eastAsia="en-AU"/>
              </w:rPr>
              <w:t>Dec</w:t>
            </w:r>
          </w:p>
        </w:tc>
      </w:tr>
      <w:tr w:rsidR="00BB67AF" w:rsidRPr="00645124" w:rsidTr="00A6247C">
        <w:tc>
          <w:tcPr>
            <w:tcW w:w="495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Cash flows from operating activities</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939" w:type="dxa"/>
            <w:gridSpan w:val="3"/>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93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r>
      <w:tr w:rsidR="00BB67AF" w:rsidRPr="00645124" w:rsidTr="00A6247C">
        <w:tc>
          <w:tcPr>
            <w:tcW w:w="495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Receipts </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939" w:type="dxa"/>
            <w:gridSpan w:val="3"/>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93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r>
      <w:tr w:rsidR="00BB67AF" w:rsidRPr="00645124" w:rsidTr="00A6247C">
        <w:tc>
          <w:tcPr>
            <w:tcW w:w="495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Taxes received</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4 781</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4 277</w:t>
            </w:r>
          </w:p>
        </w:tc>
        <w:tc>
          <w:tcPr>
            <w:tcW w:w="939" w:type="dxa"/>
            <w:gridSpan w:val="3"/>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4 773</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4 887</w:t>
            </w:r>
          </w:p>
        </w:tc>
        <w:tc>
          <w:tcPr>
            <w:tcW w:w="93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5 048</w:t>
            </w:r>
          </w:p>
        </w:tc>
      </w:tr>
      <w:tr w:rsidR="00BB67AF" w:rsidRPr="00645124" w:rsidTr="00A6247C">
        <w:tc>
          <w:tcPr>
            <w:tcW w:w="495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Grants</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6 056</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6 698</w:t>
            </w:r>
          </w:p>
        </w:tc>
        <w:tc>
          <w:tcPr>
            <w:tcW w:w="939" w:type="dxa"/>
            <w:gridSpan w:val="3"/>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6 082</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6 008</w:t>
            </w:r>
          </w:p>
        </w:tc>
        <w:tc>
          <w:tcPr>
            <w:tcW w:w="93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6 292</w:t>
            </w:r>
          </w:p>
        </w:tc>
      </w:tr>
      <w:tr w:rsidR="00BB67AF" w:rsidRPr="00645124" w:rsidTr="00A6247C">
        <w:tc>
          <w:tcPr>
            <w:tcW w:w="495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645124">
              <w:rPr>
                <w:rFonts w:ascii="Calibri" w:eastAsiaTheme="minorEastAsia" w:hAnsi="Calibri" w:cs="Calibri"/>
                <w:color w:val="000000"/>
                <w:sz w:val="20"/>
                <w:lang w:eastAsia="en-AU"/>
              </w:rPr>
              <w:t xml:space="preserve">Sales of goods and services </w:t>
            </w:r>
            <w:r w:rsidRPr="00645124">
              <w:rPr>
                <w:rFonts w:ascii="Calibri" w:eastAsiaTheme="minorEastAsia" w:hAnsi="Calibri" w:cs="Calibri"/>
                <w:color w:val="000000"/>
                <w:sz w:val="20"/>
                <w:vertAlign w:val="superscript"/>
                <w:lang w:eastAsia="en-AU"/>
              </w:rPr>
              <w:t>(b)</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1 684</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1 922</w:t>
            </w:r>
          </w:p>
        </w:tc>
        <w:tc>
          <w:tcPr>
            <w:tcW w:w="939" w:type="dxa"/>
            <w:gridSpan w:val="3"/>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1 591</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1 782</w:t>
            </w:r>
          </w:p>
        </w:tc>
        <w:tc>
          <w:tcPr>
            <w:tcW w:w="93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1 745</w:t>
            </w:r>
          </w:p>
        </w:tc>
      </w:tr>
      <w:tr w:rsidR="00BB67AF" w:rsidRPr="00645124" w:rsidTr="00A6247C">
        <w:tc>
          <w:tcPr>
            <w:tcW w:w="495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 xml:space="preserve">Interest received </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191</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193</w:t>
            </w:r>
          </w:p>
        </w:tc>
        <w:tc>
          <w:tcPr>
            <w:tcW w:w="939" w:type="dxa"/>
            <w:gridSpan w:val="3"/>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235</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193</w:t>
            </w:r>
          </w:p>
        </w:tc>
        <w:tc>
          <w:tcPr>
            <w:tcW w:w="93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179</w:t>
            </w:r>
          </w:p>
        </w:tc>
      </w:tr>
      <w:tr w:rsidR="00BB67AF" w:rsidRPr="00645124" w:rsidTr="00A6247C">
        <w:tc>
          <w:tcPr>
            <w:tcW w:w="495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Dividends and income tax equivalent and rate equivalent receipts</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619</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71</w:t>
            </w:r>
          </w:p>
        </w:tc>
        <w:tc>
          <w:tcPr>
            <w:tcW w:w="939" w:type="dxa"/>
            <w:gridSpan w:val="3"/>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268</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49</w:t>
            </w:r>
          </w:p>
        </w:tc>
        <w:tc>
          <w:tcPr>
            <w:tcW w:w="93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556</w:t>
            </w:r>
          </w:p>
        </w:tc>
      </w:tr>
      <w:tr w:rsidR="00BB67AF" w:rsidRPr="00645124" w:rsidTr="00A6247C">
        <w:tc>
          <w:tcPr>
            <w:tcW w:w="495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Other receipts</w:t>
            </w:r>
          </w:p>
        </w:tc>
        <w:tc>
          <w:tcPr>
            <w:tcW w:w="9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592</w:t>
            </w:r>
          </w:p>
        </w:tc>
        <w:tc>
          <w:tcPr>
            <w:tcW w:w="935"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164</w:t>
            </w:r>
          </w:p>
        </w:tc>
        <w:tc>
          <w:tcPr>
            <w:tcW w:w="939" w:type="dxa"/>
            <w:gridSpan w:val="3"/>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816</w:t>
            </w:r>
          </w:p>
        </w:tc>
        <w:tc>
          <w:tcPr>
            <w:tcW w:w="935"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439</w:t>
            </w:r>
          </w:p>
        </w:tc>
        <w:tc>
          <w:tcPr>
            <w:tcW w:w="937"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499</w:t>
            </w:r>
          </w:p>
        </w:tc>
      </w:tr>
      <w:tr w:rsidR="00BB67AF" w:rsidRPr="00645124" w:rsidTr="00A6247C">
        <w:tc>
          <w:tcPr>
            <w:tcW w:w="4957"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Total receipts</w:t>
            </w:r>
          </w:p>
        </w:tc>
        <w:tc>
          <w:tcPr>
            <w:tcW w:w="935"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13 923</w:t>
            </w:r>
          </w:p>
        </w:tc>
        <w:tc>
          <w:tcPr>
            <w:tcW w:w="935" w:type="dxa"/>
            <w:gridSpan w:val="2"/>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13 323</w:t>
            </w:r>
          </w:p>
        </w:tc>
        <w:tc>
          <w:tcPr>
            <w:tcW w:w="939" w:type="dxa"/>
            <w:gridSpan w:val="3"/>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13 764</w:t>
            </w:r>
          </w:p>
        </w:tc>
        <w:tc>
          <w:tcPr>
            <w:tcW w:w="935" w:type="dxa"/>
            <w:gridSpan w:val="2"/>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13 359</w:t>
            </w:r>
          </w:p>
        </w:tc>
        <w:tc>
          <w:tcPr>
            <w:tcW w:w="937" w:type="dxa"/>
            <w:gridSpan w:val="2"/>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14 319</w:t>
            </w:r>
          </w:p>
        </w:tc>
      </w:tr>
      <w:tr w:rsidR="00BB67AF" w:rsidRPr="00645124" w:rsidTr="00A6247C">
        <w:tc>
          <w:tcPr>
            <w:tcW w:w="495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Payments </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939" w:type="dxa"/>
            <w:gridSpan w:val="3"/>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93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r>
      <w:tr w:rsidR="00BB67AF" w:rsidRPr="00645124" w:rsidTr="00A6247C">
        <w:tc>
          <w:tcPr>
            <w:tcW w:w="495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Payments for employees</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(4 917)</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(4 482)</w:t>
            </w:r>
          </w:p>
        </w:tc>
        <w:tc>
          <w:tcPr>
            <w:tcW w:w="939" w:type="dxa"/>
            <w:gridSpan w:val="3"/>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(4 908)</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(4 730)</w:t>
            </w:r>
          </w:p>
        </w:tc>
        <w:tc>
          <w:tcPr>
            <w:tcW w:w="93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(4 892)</w:t>
            </w:r>
          </w:p>
        </w:tc>
      </w:tr>
      <w:tr w:rsidR="00BB67AF" w:rsidRPr="00645124" w:rsidTr="00A6247C">
        <w:tc>
          <w:tcPr>
            <w:tcW w:w="495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Superannuation</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(728)</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(667)</w:t>
            </w:r>
          </w:p>
        </w:tc>
        <w:tc>
          <w:tcPr>
            <w:tcW w:w="939" w:type="dxa"/>
            <w:gridSpan w:val="3"/>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(684)</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(773)</w:t>
            </w:r>
          </w:p>
        </w:tc>
        <w:tc>
          <w:tcPr>
            <w:tcW w:w="93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(757)</w:t>
            </w:r>
          </w:p>
        </w:tc>
      </w:tr>
      <w:tr w:rsidR="00BB67AF" w:rsidRPr="00645124" w:rsidTr="00A6247C">
        <w:tc>
          <w:tcPr>
            <w:tcW w:w="495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Interest paid</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(510)</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(513)</w:t>
            </w:r>
          </w:p>
        </w:tc>
        <w:tc>
          <w:tcPr>
            <w:tcW w:w="939" w:type="dxa"/>
            <w:gridSpan w:val="3"/>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(529)</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(531)</w:t>
            </w:r>
          </w:p>
        </w:tc>
        <w:tc>
          <w:tcPr>
            <w:tcW w:w="93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(500)</w:t>
            </w:r>
          </w:p>
        </w:tc>
      </w:tr>
      <w:tr w:rsidR="00BB67AF" w:rsidRPr="00645124" w:rsidTr="00A6247C">
        <w:tc>
          <w:tcPr>
            <w:tcW w:w="495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Grants and subsidies</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(2 152)</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(2 617)</w:t>
            </w:r>
          </w:p>
        </w:tc>
        <w:tc>
          <w:tcPr>
            <w:tcW w:w="939" w:type="dxa"/>
            <w:gridSpan w:val="3"/>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(1 614)</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(2 185)</w:t>
            </w:r>
          </w:p>
        </w:tc>
        <w:tc>
          <w:tcPr>
            <w:tcW w:w="93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(2 151)</w:t>
            </w:r>
          </w:p>
        </w:tc>
      </w:tr>
      <w:tr w:rsidR="00BB67AF" w:rsidRPr="00645124" w:rsidTr="00A6247C">
        <w:tc>
          <w:tcPr>
            <w:tcW w:w="495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vertAlign w:val="superscript"/>
                <w:lang w:eastAsia="en-AU"/>
              </w:rPr>
            </w:pPr>
            <w:r w:rsidRPr="00645124">
              <w:rPr>
                <w:rFonts w:ascii="Calibri" w:eastAsiaTheme="minorEastAsia" w:hAnsi="Calibri" w:cs="Calibri"/>
                <w:color w:val="000000"/>
                <w:sz w:val="20"/>
                <w:lang w:eastAsia="en-AU"/>
              </w:rPr>
              <w:t xml:space="preserve">Goods and services </w:t>
            </w:r>
            <w:r w:rsidRPr="00645124">
              <w:rPr>
                <w:rFonts w:ascii="Calibri" w:eastAsiaTheme="minorEastAsia" w:hAnsi="Calibri" w:cs="Calibri"/>
                <w:color w:val="000000"/>
                <w:sz w:val="20"/>
                <w:vertAlign w:val="superscript"/>
                <w:lang w:eastAsia="en-AU"/>
              </w:rPr>
              <w:t>(b)</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(4 451)</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(3 499)</w:t>
            </w:r>
          </w:p>
        </w:tc>
        <w:tc>
          <w:tcPr>
            <w:tcW w:w="939" w:type="dxa"/>
            <w:gridSpan w:val="3"/>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(4 370)</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(4 666)</w:t>
            </w:r>
          </w:p>
        </w:tc>
        <w:tc>
          <w:tcPr>
            <w:tcW w:w="93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(4 301)</w:t>
            </w:r>
          </w:p>
        </w:tc>
      </w:tr>
      <w:tr w:rsidR="00BB67AF" w:rsidRPr="00645124" w:rsidTr="00A6247C">
        <w:tc>
          <w:tcPr>
            <w:tcW w:w="495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Other payments</w:t>
            </w:r>
          </w:p>
        </w:tc>
        <w:tc>
          <w:tcPr>
            <w:tcW w:w="9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(163)</w:t>
            </w:r>
          </w:p>
        </w:tc>
        <w:tc>
          <w:tcPr>
            <w:tcW w:w="935"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(138)</w:t>
            </w:r>
          </w:p>
        </w:tc>
        <w:tc>
          <w:tcPr>
            <w:tcW w:w="939" w:type="dxa"/>
            <w:gridSpan w:val="3"/>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(581)</w:t>
            </w:r>
          </w:p>
        </w:tc>
        <w:tc>
          <w:tcPr>
            <w:tcW w:w="935"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(194)</w:t>
            </w:r>
          </w:p>
        </w:tc>
        <w:tc>
          <w:tcPr>
            <w:tcW w:w="937"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(176)</w:t>
            </w:r>
          </w:p>
        </w:tc>
      </w:tr>
      <w:tr w:rsidR="00BB67AF" w:rsidRPr="00645124" w:rsidTr="00A6247C">
        <w:tc>
          <w:tcPr>
            <w:tcW w:w="4957"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Total payments</w:t>
            </w:r>
          </w:p>
        </w:tc>
        <w:tc>
          <w:tcPr>
            <w:tcW w:w="935"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(12 922)</w:t>
            </w:r>
          </w:p>
        </w:tc>
        <w:tc>
          <w:tcPr>
            <w:tcW w:w="935" w:type="dxa"/>
            <w:gridSpan w:val="2"/>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(11 915)</w:t>
            </w:r>
          </w:p>
        </w:tc>
        <w:tc>
          <w:tcPr>
            <w:tcW w:w="939" w:type="dxa"/>
            <w:gridSpan w:val="3"/>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(12 686)</w:t>
            </w:r>
          </w:p>
        </w:tc>
        <w:tc>
          <w:tcPr>
            <w:tcW w:w="935" w:type="dxa"/>
            <w:gridSpan w:val="2"/>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(13 078)</w:t>
            </w:r>
          </w:p>
        </w:tc>
        <w:tc>
          <w:tcPr>
            <w:tcW w:w="937" w:type="dxa"/>
            <w:gridSpan w:val="2"/>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(12 778)</w:t>
            </w:r>
          </w:p>
        </w:tc>
      </w:tr>
      <w:tr w:rsidR="00BB67AF" w:rsidRPr="00645124" w:rsidTr="00A6247C">
        <w:tc>
          <w:tcPr>
            <w:tcW w:w="4957"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Net cash flows from operating activities</w:t>
            </w:r>
          </w:p>
        </w:tc>
        <w:tc>
          <w:tcPr>
            <w:tcW w:w="935"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1 000</w:t>
            </w:r>
          </w:p>
        </w:tc>
        <w:tc>
          <w:tcPr>
            <w:tcW w:w="935" w:type="dxa"/>
            <w:gridSpan w:val="2"/>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1 408</w:t>
            </w:r>
          </w:p>
        </w:tc>
        <w:tc>
          <w:tcPr>
            <w:tcW w:w="939" w:type="dxa"/>
            <w:gridSpan w:val="3"/>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1 078</w:t>
            </w:r>
          </w:p>
        </w:tc>
        <w:tc>
          <w:tcPr>
            <w:tcW w:w="935" w:type="dxa"/>
            <w:gridSpan w:val="2"/>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280</w:t>
            </w:r>
          </w:p>
        </w:tc>
        <w:tc>
          <w:tcPr>
            <w:tcW w:w="937" w:type="dxa"/>
            <w:gridSpan w:val="2"/>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1 541</w:t>
            </w:r>
          </w:p>
        </w:tc>
      </w:tr>
      <w:tr w:rsidR="00BB67AF" w:rsidRPr="00645124" w:rsidTr="00A6247C">
        <w:tc>
          <w:tcPr>
            <w:tcW w:w="495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Cash flows from investing activities</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939" w:type="dxa"/>
            <w:gridSpan w:val="3"/>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93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r>
      <w:tr w:rsidR="00BB67AF" w:rsidRPr="00645124" w:rsidTr="00A6247C">
        <w:tc>
          <w:tcPr>
            <w:tcW w:w="495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Purchases of non-financial assets</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(1 231)</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(869)</w:t>
            </w:r>
          </w:p>
        </w:tc>
        <w:tc>
          <w:tcPr>
            <w:tcW w:w="939" w:type="dxa"/>
            <w:gridSpan w:val="3"/>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(1 382)</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(960)</w:t>
            </w:r>
          </w:p>
        </w:tc>
        <w:tc>
          <w:tcPr>
            <w:tcW w:w="93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(1 077)</w:t>
            </w:r>
          </w:p>
        </w:tc>
      </w:tr>
      <w:tr w:rsidR="00BB67AF" w:rsidRPr="00645124" w:rsidTr="00A6247C">
        <w:tc>
          <w:tcPr>
            <w:tcW w:w="495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Sales of non-financial assets</w:t>
            </w:r>
          </w:p>
        </w:tc>
        <w:tc>
          <w:tcPr>
            <w:tcW w:w="9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86</w:t>
            </w:r>
          </w:p>
        </w:tc>
        <w:tc>
          <w:tcPr>
            <w:tcW w:w="935"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63</w:t>
            </w:r>
          </w:p>
        </w:tc>
        <w:tc>
          <w:tcPr>
            <w:tcW w:w="939" w:type="dxa"/>
            <w:gridSpan w:val="3"/>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213</w:t>
            </w:r>
          </w:p>
        </w:tc>
        <w:tc>
          <w:tcPr>
            <w:tcW w:w="935"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22</w:t>
            </w:r>
          </w:p>
        </w:tc>
        <w:tc>
          <w:tcPr>
            <w:tcW w:w="937"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51</w:t>
            </w:r>
          </w:p>
        </w:tc>
      </w:tr>
      <w:tr w:rsidR="00BB67AF" w:rsidRPr="00645124" w:rsidTr="00A6247C">
        <w:tc>
          <w:tcPr>
            <w:tcW w:w="4957"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Cash flows from investments in non-financial assets</w:t>
            </w:r>
          </w:p>
        </w:tc>
        <w:tc>
          <w:tcPr>
            <w:tcW w:w="935"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(1 145)</w:t>
            </w:r>
          </w:p>
        </w:tc>
        <w:tc>
          <w:tcPr>
            <w:tcW w:w="935" w:type="dxa"/>
            <w:gridSpan w:val="2"/>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(806)</w:t>
            </w:r>
          </w:p>
        </w:tc>
        <w:tc>
          <w:tcPr>
            <w:tcW w:w="939" w:type="dxa"/>
            <w:gridSpan w:val="3"/>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(1 170)</w:t>
            </w:r>
          </w:p>
        </w:tc>
        <w:tc>
          <w:tcPr>
            <w:tcW w:w="935" w:type="dxa"/>
            <w:gridSpan w:val="2"/>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(938)</w:t>
            </w:r>
          </w:p>
        </w:tc>
        <w:tc>
          <w:tcPr>
            <w:tcW w:w="937" w:type="dxa"/>
            <w:gridSpan w:val="2"/>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(1 026)</w:t>
            </w:r>
          </w:p>
        </w:tc>
      </w:tr>
      <w:tr w:rsidR="00BB67AF" w:rsidRPr="00645124" w:rsidTr="00A6247C">
        <w:tc>
          <w:tcPr>
            <w:tcW w:w="495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Net cash flows from investments in financial assets for policy purposes</w:t>
            </w:r>
          </w:p>
        </w:tc>
        <w:tc>
          <w:tcPr>
            <w:tcW w:w="9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(164)</w:t>
            </w:r>
          </w:p>
        </w:tc>
        <w:tc>
          <w:tcPr>
            <w:tcW w:w="935"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(58)</w:t>
            </w:r>
          </w:p>
        </w:tc>
        <w:tc>
          <w:tcPr>
            <w:tcW w:w="939" w:type="dxa"/>
            <w:gridSpan w:val="3"/>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(869)</w:t>
            </w:r>
          </w:p>
        </w:tc>
        <w:tc>
          <w:tcPr>
            <w:tcW w:w="935"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30</w:t>
            </w:r>
          </w:p>
        </w:tc>
        <w:tc>
          <w:tcPr>
            <w:tcW w:w="937"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(220)</w:t>
            </w:r>
          </w:p>
        </w:tc>
      </w:tr>
      <w:tr w:rsidR="00BB67AF" w:rsidRPr="00645124" w:rsidTr="00A6247C">
        <w:tc>
          <w:tcPr>
            <w:tcW w:w="4957"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Sub-total</w:t>
            </w:r>
          </w:p>
        </w:tc>
        <w:tc>
          <w:tcPr>
            <w:tcW w:w="935"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(1 309)</w:t>
            </w:r>
          </w:p>
        </w:tc>
        <w:tc>
          <w:tcPr>
            <w:tcW w:w="935" w:type="dxa"/>
            <w:gridSpan w:val="2"/>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(864)</w:t>
            </w:r>
          </w:p>
        </w:tc>
        <w:tc>
          <w:tcPr>
            <w:tcW w:w="939" w:type="dxa"/>
            <w:gridSpan w:val="3"/>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(2 039)</w:t>
            </w:r>
          </w:p>
        </w:tc>
        <w:tc>
          <w:tcPr>
            <w:tcW w:w="935" w:type="dxa"/>
            <w:gridSpan w:val="2"/>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(908)</w:t>
            </w:r>
          </w:p>
        </w:tc>
        <w:tc>
          <w:tcPr>
            <w:tcW w:w="937" w:type="dxa"/>
            <w:gridSpan w:val="2"/>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(1 245)</w:t>
            </w:r>
          </w:p>
        </w:tc>
      </w:tr>
      <w:tr w:rsidR="00BB67AF" w:rsidRPr="00645124" w:rsidTr="00A6247C">
        <w:tc>
          <w:tcPr>
            <w:tcW w:w="495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Net cash flows from investments in financial assets for liquidity management purposes</w:t>
            </w:r>
          </w:p>
        </w:tc>
        <w:tc>
          <w:tcPr>
            <w:tcW w:w="9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(302)</w:t>
            </w:r>
          </w:p>
        </w:tc>
        <w:tc>
          <w:tcPr>
            <w:tcW w:w="935"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(15)</w:t>
            </w:r>
          </w:p>
        </w:tc>
        <w:tc>
          <w:tcPr>
            <w:tcW w:w="939" w:type="dxa"/>
            <w:gridSpan w:val="3"/>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(39)</w:t>
            </w:r>
          </w:p>
        </w:tc>
        <w:tc>
          <w:tcPr>
            <w:tcW w:w="935"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(74)</w:t>
            </w:r>
          </w:p>
        </w:tc>
        <w:tc>
          <w:tcPr>
            <w:tcW w:w="937"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40</w:t>
            </w:r>
          </w:p>
        </w:tc>
      </w:tr>
      <w:tr w:rsidR="00BB67AF" w:rsidRPr="00645124" w:rsidTr="00A6247C">
        <w:tc>
          <w:tcPr>
            <w:tcW w:w="4957"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Net cash flows from investment activities</w:t>
            </w:r>
          </w:p>
        </w:tc>
        <w:tc>
          <w:tcPr>
            <w:tcW w:w="935"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(1 611)</w:t>
            </w:r>
          </w:p>
        </w:tc>
        <w:tc>
          <w:tcPr>
            <w:tcW w:w="935" w:type="dxa"/>
            <w:gridSpan w:val="2"/>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(879)</w:t>
            </w:r>
          </w:p>
        </w:tc>
        <w:tc>
          <w:tcPr>
            <w:tcW w:w="939" w:type="dxa"/>
            <w:gridSpan w:val="3"/>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(2 078)</w:t>
            </w:r>
          </w:p>
        </w:tc>
        <w:tc>
          <w:tcPr>
            <w:tcW w:w="935" w:type="dxa"/>
            <w:gridSpan w:val="2"/>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(982)</w:t>
            </w:r>
          </w:p>
        </w:tc>
        <w:tc>
          <w:tcPr>
            <w:tcW w:w="937" w:type="dxa"/>
            <w:gridSpan w:val="2"/>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(1 205)</w:t>
            </w:r>
          </w:p>
        </w:tc>
      </w:tr>
      <w:tr w:rsidR="00BB67AF" w:rsidRPr="00645124" w:rsidTr="00A6247C">
        <w:tc>
          <w:tcPr>
            <w:tcW w:w="495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Cash flows from financing activities</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939" w:type="dxa"/>
            <w:gridSpan w:val="3"/>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93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r>
      <w:tr w:rsidR="00BB67AF" w:rsidRPr="00645124" w:rsidTr="00A6247C">
        <w:tc>
          <w:tcPr>
            <w:tcW w:w="495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Advances received (net)</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939" w:type="dxa"/>
            <w:gridSpan w:val="3"/>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c>
          <w:tcPr>
            <w:tcW w:w="93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w:t>
            </w:r>
          </w:p>
        </w:tc>
      </w:tr>
      <w:tr w:rsidR="00BB67AF" w:rsidRPr="00645124" w:rsidTr="00A6247C">
        <w:tc>
          <w:tcPr>
            <w:tcW w:w="495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Net borrowings</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171</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267</w:t>
            </w:r>
          </w:p>
        </w:tc>
        <w:tc>
          <w:tcPr>
            <w:tcW w:w="939" w:type="dxa"/>
            <w:gridSpan w:val="3"/>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684</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528</w:t>
            </w:r>
          </w:p>
        </w:tc>
        <w:tc>
          <w:tcPr>
            <w:tcW w:w="93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(299)</w:t>
            </w:r>
          </w:p>
        </w:tc>
      </w:tr>
      <w:tr w:rsidR="00BB67AF" w:rsidRPr="00645124" w:rsidTr="00A6247C">
        <w:tc>
          <w:tcPr>
            <w:tcW w:w="495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Deposits received (net)</w:t>
            </w:r>
          </w:p>
        </w:tc>
        <w:tc>
          <w:tcPr>
            <w:tcW w:w="9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(31)</w:t>
            </w:r>
          </w:p>
        </w:tc>
        <w:tc>
          <w:tcPr>
            <w:tcW w:w="935"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105</w:t>
            </w:r>
          </w:p>
        </w:tc>
        <w:tc>
          <w:tcPr>
            <w:tcW w:w="939" w:type="dxa"/>
            <w:gridSpan w:val="3"/>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(10)</w:t>
            </w:r>
          </w:p>
        </w:tc>
        <w:tc>
          <w:tcPr>
            <w:tcW w:w="935"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(47)</w:t>
            </w:r>
          </w:p>
        </w:tc>
        <w:tc>
          <w:tcPr>
            <w:tcW w:w="937"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14</w:t>
            </w:r>
          </w:p>
        </w:tc>
      </w:tr>
      <w:tr w:rsidR="00BB67AF" w:rsidRPr="00645124" w:rsidTr="00A6247C">
        <w:tc>
          <w:tcPr>
            <w:tcW w:w="4957"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Net cash flows from financing activities</w:t>
            </w:r>
          </w:p>
        </w:tc>
        <w:tc>
          <w:tcPr>
            <w:tcW w:w="935" w:type="dxa"/>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140</w:t>
            </w:r>
          </w:p>
        </w:tc>
        <w:tc>
          <w:tcPr>
            <w:tcW w:w="935" w:type="dxa"/>
            <w:gridSpan w:val="2"/>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372</w:t>
            </w:r>
          </w:p>
        </w:tc>
        <w:tc>
          <w:tcPr>
            <w:tcW w:w="939" w:type="dxa"/>
            <w:gridSpan w:val="3"/>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673</w:t>
            </w:r>
          </w:p>
        </w:tc>
        <w:tc>
          <w:tcPr>
            <w:tcW w:w="935" w:type="dxa"/>
            <w:gridSpan w:val="2"/>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481</w:t>
            </w:r>
          </w:p>
        </w:tc>
        <w:tc>
          <w:tcPr>
            <w:tcW w:w="937" w:type="dxa"/>
            <w:gridSpan w:val="2"/>
            <w:tcBorders>
              <w:top w:val="single" w:sz="6" w:space="0" w:color="000000"/>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(285)</w:t>
            </w:r>
          </w:p>
        </w:tc>
      </w:tr>
      <w:tr w:rsidR="00BB67AF" w:rsidRPr="00645124" w:rsidTr="00A6247C">
        <w:tc>
          <w:tcPr>
            <w:tcW w:w="4957"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Net increase/(decrease) in cash and cash equivalents </w:t>
            </w:r>
          </w:p>
        </w:tc>
        <w:tc>
          <w:tcPr>
            <w:tcW w:w="935" w:type="dxa"/>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(470)</w:t>
            </w:r>
          </w:p>
        </w:tc>
        <w:tc>
          <w:tcPr>
            <w:tcW w:w="935" w:type="dxa"/>
            <w:gridSpan w:val="2"/>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902</w:t>
            </w:r>
          </w:p>
        </w:tc>
        <w:tc>
          <w:tcPr>
            <w:tcW w:w="939" w:type="dxa"/>
            <w:gridSpan w:val="3"/>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(327)</w:t>
            </w:r>
          </w:p>
        </w:tc>
        <w:tc>
          <w:tcPr>
            <w:tcW w:w="935" w:type="dxa"/>
            <w:gridSpan w:val="2"/>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(220)</w:t>
            </w:r>
          </w:p>
        </w:tc>
        <w:tc>
          <w:tcPr>
            <w:tcW w:w="937" w:type="dxa"/>
            <w:gridSpan w:val="2"/>
            <w:tcBorders>
              <w:top w:val="single" w:sz="6"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51</w:t>
            </w:r>
          </w:p>
        </w:tc>
      </w:tr>
      <w:tr w:rsidR="00BB67AF" w:rsidRPr="00645124" w:rsidTr="00A6247C">
        <w:tc>
          <w:tcPr>
            <w:tcW w:w="495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Cash and cash equivalents at beginning of reporting period</w:t>
            </w:r>
          </w:p>
        </w:tc>
        <w:tc>
          <w:tcPr>
            <w:tcW w:w="9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4 177</w:t>
            </w:r>
          </w:p>
        </w:tc>
        <w:tc>
          <w:tcPr>
            <w:tcW w:w="935"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3 707</w:t>
            </w:r>
          </w:p>
        </w:tc>
        <w:tc>
          <w:tcPr>
            <w:tcW w:w="939" w:type="dxa"/>
            <w:gridSpan w:val="3"/>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4 609</w:t>
            </w:r>
          </w:p>
        </w:tc>
        <w:tc>
          <w:tcPr>
            <w:tcW w:w="935"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4 282</w:t>
            </w:r>
          </w:p>
        </w:tc>
        <w:tc>
          <w:tcPr>
            <w:tcW w:w="937"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4 061</w:t>
            </w:r>
          </w:p>
        </w:tc>
      </w:tr>
      <w:tr w:rsidR="00BB67AF" w:rsidRPr="00645124" w:rsidTr="00A6247C">
        <w:tc>
          <w:tcPr>
            <w:tcW w:w="4957"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Cash and cash equivalents at end of the reporting period</w:t>
            </w:r>
          </w:p>
        </w:tc>
        <w:tc>
          <w:tcPr>
            <w:tcW w:w="935" w:type="dxa"/>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3 707</w:t>
            </w:r>
          </w:p>
        </w:tc>
        <w:tc>
          <w:tcPr>
            <w:tcW w:w="935" w:type="dxa"/>
            <w:gridSpan w:val="2"/>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4 609</w:t>
            </w:r>
          </w:p>
        </w:tc>
        <w:tc>
          <w:tcPr>
            <w:tcW w:w="939" w:type="dxa"/>
            <w:gridSpan w:val="3"/>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4 282</w:t>
            </w:r>
          </w:p>
        </w:tc>
        <w:tc>
          <w:tcPr>
            <w:tcW w:w="935" w:type="dxa"/>
            <w:gridSpan w:val="2"/>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4 061</w:t>
            </w:r>
          </w:p>
        </w:tc>
        <w:tc>
          <w:tcPr>
            <w:tcW w:w="937" w:type="dxa"/>
            <w:gridSpan w:val="2"/>
            <w:tcBorders>
              <w:top w:val="single" w:sz="6" w:space="0" w:color="000000"/>
              <w:left w:val="nil"/>
              <w:bottom w:val="single" w:sz="12"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4 112</w:t>
            </w:r>
          </w:p>
        </w:tc>
      </w:tr>
      <w:tr w:rsidR="00BB67AF" w:rsidRPr="00645124" w:rsidTr="00A6247C">
        <w:trPr>
          <w:trHeight w:hRule="exact" w:val="120"/>
        </w:trPr>
        <w:tc>
          <w:tcPr>
            <w:tcW w:w="4957"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 xml:space="preserve"> </w:t>
            </w:r>
          </w:p>
        </w:tc>
        <w:tc>
          <w:tcPr>
            <w:tcW w:w="1389" w:type="dxa"/>
            <w:gridSpan w:val="2"/>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 xml:space="preserve"> </w:t>
            </w:r>
          </w:p>
        </w:tc>
        <w:tc>
          <w:tcPr>
            <w:tcW w:w="823" w:type="dxa"/>
            <w:gridSpan w:val="3"/>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 xml:space="preserve"> </w:t>
            </w:r>
          </w:p>
        </w:tc>
        <w:tc>
          <w:tcPr>
            <w:tcW w:w="822" w:type="dxa"/>
            <w:gridSpan w:val="2"/>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 xml:space="preserve"> </w:t>
            </w:r>
          </w:p>
        </w:tc>
        <w:tc>
          <w:tcPr>
            <w:tcW w:w="822" w:type="dxa"/>
            <w:gridSpan w:val="2"/>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 xml:space="preserve"> </w:t>
            </w:r>
          </w:p>
        </w:tc>
        <w:tc>
          <w:tcPr>
            <w:tcW w:w="825" w:type="dxa"/>
            <w:tcBorders>
              <w:top w:val="single" w:sz="12" w:space="0" w:color="000000"/>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 xml:space="preserve"> </w:t>
            </w:r>
          </w:p>
        </w:tc>
      </w:tr>
      <w:tr w:rsidR="00BB67AF" w:rsidRPr="00645124" w:rsidTr="00A6247C">
        <w:tc>
          <w:tcPr>
            <w:tcW w:w="495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FISCAL AGGREGATES</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939" w:type="dxa"/>
            <w:gridSpan w:val="3"/>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c>
          <w:tcPr>
            <w:tcW w:w="93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 xml:space="preserve"> </w:t>
            </w:r>
          </w:p>
        </w:tc>
      </w:tr>
      <w:tr w:rsidR="00BB67AF" w:rsidRPr="00645124" w:rsidTr="00A6247C">
        <w:tc>
          <w:tcPr>
            <w:tcW w:w="4957" w:type="dxa"/>
            <w:tcBorders>
              <w:top w:val="nil"/>
              <w:left w:val="nil"/>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Net cash flows from operating activities</w:t>
            </w:r>
          </w:p>
        </w:tc>
        <w:tc>
          <w:tcPr>
            <w:tcW w:w="935" w:type="dxa"/>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1 000</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1 408</w:t>
            </w:r>
          </w:p>
        </w:tc>
        <w:tc>
          <w:tcPr>
            <w:tcW w:w="939" w:type="dxa"/>
            <w:gridSpan w:val="3"/>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1 078</w:t>
            </w:r>
          </w:p>
        </w:tc>
        <w:tc>
          <w:tcPr>
            <w:tcW w:w="935"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280</w:t>
            </w:r>
          </w:p>
        </w:tc>
        <w:tc>
          <w:tcPr>
            <w:tcW w:w="937" w:type="dxa"/>
            <w:gridSpan w:val="2"/>
            <w:tcBorders>
              <w:top w:val="nil"/>
              <w:left w:val="nil"/>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1 541</w:t>
            </w:r>
          </w:p>
        </w:tc>
      </w:tr>
      <w:tr w:rsidR="00BB67AF" w:rsidRPr="00645124" w:rsidTr="00A6247C">
        <w:tc>
          <w:tcPr>
            <w:tcW w:w="4957"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Net cash flows from investments in non-financial assets</w:t>
            </w:r>
          </w:p>
        </w:tc>
        <w:tc>
          <w:tcPr>
            <w:tcW w:w="935" w:type="dxa"/>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(1 145)</w:t>
            </w:r>
          </w:p>
        </w:tc>
        <w:tc>
          <w:tcPr>
            <w:tcW w:w="935"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(806)</w:t>
            </w:r>
          </w:p>
        </w:tc>
        <w:tc>
          <w:tcPr>
            <w:tcW w:w="939" w:type="dxa"/>
            <w:gridSpan w:val="3"/>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(1 170)</w:t>
            </w:r>
          </w:p>
        </w:tc>
        <w:tc>
          <w:tcPr>
            <w:tcW w:w="935"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(938)</w:t>
            </w:r>
          </w:p>
        </w:tc>
        <w:tc>
          <w:tcPr>
            <w:tcW w:w="937" w:type="dxa"/>
            <w:gridSpan w:val="2"/>
            <w:tcBorders>
              <w:top w:val="nil"/>
              <w:left w:val="nil"/>
              <w:bottom w:val="single" w:sz="6" w:space="0" w:color="000000"/>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color w:val="000000"/>
                <w:sz w:val="20"/>
                <w:lang w:eastAsia="en-AU"/>
              </w:rPr>
            </w:pPr>
            <w:r w:rsidRPr="00645124">
              <w:rPr>
                <w:rFonts w:ascii="Calibri" w:eastAsiaTheme="minorEastAsia" w:hAnsi="Calibri" w:cs="Calibri"/>
                <w:color w:val="000000"/>
                <w:sz w:val="20"/>
                <w:lang w:eastAsia="en-AU"/>
              </w:rPr>
              <w:t>(1 026)</w:t>
            </w:r>
          </w:p>
        </w:tc>
      </w:tr>
      <w:tr w:rsidR="00BB67AF" w:rsidRPr="00645124" w:rsidTr="00A6247C">
        <w:tc>
          <w:tcPr>
            <w:tcW w:w="4957"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ind w:left="227" w:hanging="227"/>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Cash surplus/(deficit)</w:t>
            </w:r>
          </w:p>
        </w:tc>
        <w:tc>
          <w:tcPr>
            <w:tcW w:w="935" w:type="dxa"/>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(144)</w:t>
            </w:r>
          </w:p>
        </w:tc>
        <w:tc>
          <w:tcPr>
            <w:tcW w:w="935" w:type="dxa"/>
            <w:gridSpan w:val="2"/>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602</w:t>
            </w:r>
          </w:p>
        </w:tc>
        <w:tc>
          <w:tcPr>
            <w:tcW w:w="939" w:type="dxa"/>
            <w:gridSpan w:val="3"/>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(91)</w:t>
            </w:r>
          </w:p>
        </w:tc>
        <w:tc>
          <w:tcPr>
            <w:tcW w:w="935" w:type="dxa"/>
            <w:gridSpan w:val="2"/>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(658)</w:t>
            </w:r>
          </w:p>
        </w:tc>
        <w:tc>
          <w:tcPr>
            <w:tcW w:w="937" w:type="dxa"/>
            <w:gridSpan w:val="2"/>
            <w:tcBorders>
              <w:top w:val="single" w:sz="6" w:space="0" w:color="000000"/>
              <w:left w:val="nil"/>
              <w:bottom w:val="single" w:sz="12" w:space="0" w:color="auto"/>
              <w:right w:val="nil"/>
            </w:tcBorders>
            <w:shd w:val="clear" w:color="auto" w:fill="FFFFFF"/>
          </w:tcPr>
          <w:p w:rsidR="00BB67AF" w:rsidRPr="00645124" w:rsidRDefault="00BB67AF" w:rsidP="003E6750">
            <w:pPr>
              <w:autoSpaceDE w:val="0"/>
              <w:autoSpaceDN w:val="0"/>
              <w:adjustRightInd w:val="0"/>
              <w:spacing w:after="0"/>
              <w:jc w:val="right"/>
              <w:rPr>
                <w:rFonts w:ascii="Calibri" w:eastAsiaTheme="minorEastAsia" w:hAnsi="Calibri" w:cs="Calibri"/>
                <w:b/>
                <w:bCs/>
                <w:color w:val="000000"/>
                <w:sz w:val="20"/>
                <w:lang w:eastAsia="en-AU"/>
              </w:rPr>
            </w:pPr>
            <w:r w:rsidRPr="00645124">
              <w:rPr>
                <w:rFonts w:ascii="Calibri" w:eastAsiaTheme="minorEastAsia" w:hAnsi="Calibri" w:cs="Calibri"/>
                <w:b/>
                <w:bCs/>
                <w:color w:val="000000"/>
                <w:sz w:val="20"/>
                <w:lang w:eastAsia="en-AU"/>
              </w:rPr>
              <w:t>515</w:t>
            </w:r>
          </w:p>
        </w:tc>
      </w:tr>
    </w:tbl>
    <w:p w:rsidR="00BB67AF" w:rsidRDefault="00BB67AF" w:rsidP="003E6750">
      <w:pPr>
        <w:pStyle w:val="Notes"/>
      </w:pPr>
      <w:r>
        <w:t>Notes:</w:t>
      </w:r>
    </w:p>
    <w:p w:rsidR="00BB67AF" w:rsidRDefault="00BB67AF" w:rsidP="003E6750">
      <w:pPr>
        <w:pStyle w:val="Notes"/>
      </w:pPr>
      <w:r>
        <w:t>(a)</w:t>
      </w:r>
      <w:r>
        <w:tab/>
        <w:t>The comparative figures have been restated to reflect more current information.</w:t>
      </w:r>
    </w:p>
    <w:p w:rsidR="00BB67AF" w:rsidRDefault="00BB67AF" w:rsidP="003E6750">
      <w:pPr>
        <w:pStyle w:val="Notes"/>
      </w:pPr>
      <w:r>
        <w:t>(b)</w:t>
      </w:r>
      <w:r>
        <w:tab/>
        <w:t>These items are inclusive of goods and services tax.</w:t>
      </w:r>
    </w:p>
    <w:p w:rsidR="00BB67AF" w:rsidRDefault="00BB67AF" w:rsidP="003E6750"/>
    <w:p w:rsidR="00BB67AF" w:rsidRDefault="00BB67AF" w:rsidP="003E6750"/>
    <w:p w:rsidR="00BB67AF" w:rsidRDefault="00BB67AF" w:rsidP="003E6750"/>
    <w:p w:rsidR="00BB67AF" w:rsidRDefault="00BB67AF">
      <w:pPr>
        <w:spacing w:after="0"/>
      </w:pPr>
      <w:r>
        <w:br w:type="page"/>
      </w:r>
    </w:p>
    <w:p w:rsidR="00BB67AF" w:rsidRPr="00887129" w:rsidRDefault="00BB67AF" w:rsidP="003E6750"/>
    <w:p w:rsidR="00BB67AF" w:rsidRDefault="00BB67AF" w:rsidP="00443963">
      <w:pPr>
        <w:sectPr w:rsidR="00BB67AF" w:rsidSect="00FA2033">
          <w:footerReference w:type="even" r:id="rId52"/>
          <w:footerReference w:type="default" r:id="rId53"/>
          <w:footerReference w:type="first" r:id="rId54"/>
          <w:type w:val="oddPage"/>
          <w:pgSz w:w="11906" w:h="16838" w:code="9"/>
          <w:pgMar w:top="1152" w:right="1152" w:bottom="1152" w:left="1152" w:header="720" w:footer="720" w:gutter="0"/>
          <w:cols w:space="708"/>
          <w:docGrid w:linePitch="360"/>
        </w:sectPr>
      </w:pPr>
    </w:p>
    <w:p w:rsidR="00BB67AF" w:rsidRPr="00C36C4E" w:rsidRDefault="00BB67AF" w:rsidP="00C36C4E">
      <w:pPr>
        <w:pStyle w:val="ChapterHeading"/>
      </w:pPr>
      <w:bookmarkStart w:id="44" w:name="_Toc445283151"/>
      <w:r w:rsidRPr="00C36C4E">
        <w:lastRenderedPageBreak/>
        <w:t xml:space="preserve">Appendix B – </w:t>
      </w:r>
      <w:r w:rsidRPr="002D0858">
        <w:rPr>
          <w:i/>
        </w:rPr>
        <w:t>Financial Management Act 1994</w:t>
      </w:r>
      <w:r w:rsidRPr="00C36C4E">
        <w:t xml:space="preserve"> compliance index</w:t>
      </w:r>
      <w:bookmarkEnd w:id="44"/>
    </w:p>
    <w:p w:rsidR="00BB67AF" w:rsidRDefault="00BB67AF" w:rsidP="003E6750">
      <w:r>
        <w:t xml:space="preserve">The </w:t>
      </w:r>
      <w:r w:rsidRPr="00906CB6">
        <w:rPr>
          <w:i/>
        </w:rPr>
        <w:t>Financial Management Act 1994</w:t>
      </w:r>
      <w:r>
        <w:t xml:space="preserve"> requires the Minister to prepare a mid-year financial report and a quarterly financial report for tabling in Parliament. These reports have been prepared in accordance with applicable Australian Accounting Standards and the </w:t>
      </w:r>
      <w:r w:rsidRPr="00906CB6">
        <w:rPr>
          <w:i/>
        </w:rPr>
        <w:t>Financial Management Act 1994</w:t>
      </w:r>
      <w:r>
        <w:t>.</w:t>
      </w:r>
    </w:p>
    <w:p w:rsidR="00BB67AF" w:rsidRDefault="00BB67AF" w:rsidP="003E6750">
      <w:r>
        <w:t xml:space="preserve">The </w:t>
      </w:r>
      <w:r w:rsidRPr="00906CB6">
        <w:rPr>
          <w:i/>
        </w:rPr>
        <w:t>Financial Management Act 1994</w:t>
      </w:r>
      <w:r>
        <w:t xml:space="preserve"> specifies that these reports must meet certain requirements. The following compliance index explains how these requirements are met, together with appropriate references in this document.</w:t>
      </w:r>
    </w:p>
    <w:p w:rsidR="00BB67AF" w:rsidRDefault="00BB67AF" w:rsidP="003E6750"/>
    <w:tbl>
      <w:tblPr>
        <w:tblW w:w="9648" w:type="dxa"/>
        <w:tblInd w:w="29" w:type="dxa"/>
        <w:tblLayout w:type="fixed"/>
        <w:tblCellMar>
          <w:left w:w="86" w:type="dxa"/>
          <w:right w:w="86" w:type="dxa"/>
        </w:tblCellMar>
        <w:tblLook w:val="04A0" w:firstRow="1" w:lastRow="0" w:firstColumn="1" w:lastColumn="0" w:noHBand="0" w:noVBand="1"/>
      </w:tblPr>
      <w:tblGrid>
        <w:gridCol w:w="2325"/>
        <w:gridCol w:w="3969"/>
        <w:gridCol w:w="3354"/>
      </w:tblGrid>
      <w:tr w:rsidR="00BB67AF" w:rsidRPr="00645124" w:rsidTr="003E6750">
        <w:trPr>
          <w:cantSplit/>
          <w:tblHeader/>
        </w:trPr>
        <w:tc>
          <w:tcPr>
            <w:tcW w:w="2325" w:type="dxa"/>
            <w:tcBorders>
              <w:top w:val="single" w:sz="4" w:space="0" w:color="auto"/>
              <w:left w:val="single" w:sz="4" w:space="0" w:color="auto"/>
              <w:bottom w:val="single" w:sz="4" w:space="0" w:color="auto"/>
            </w:tcBorders>
            <w:shd w:val="clear" w:color="auto" w:fill="000000"/>
          </w:tcPr>
          <w:p w:rsidR="00BB67AF" w:rsidRPr="00645124" w:rsidRDefault="00BB67AF" w:rsidP="003E6750">
            <w:pPr>
              <w:pStyle w:val="TabletextheadingLeft"/>
              <w:spacing w:before="20" w:after="20"/>
              <w:rPr>
                <w:rFonts w:cs="Arial"/>
                <w:szCs w:val="22"/>
              </w:rPr>
            </w:pPr>
            <w:r w:rsidRPr="00645124">
              <w:rPr>
                <w:rFonts w:cs="Arial"/>
                <w:szCs w:val="22"/>
              </w:rPr>
              <w:t>Financial Management Act reference</w:t>
            </w:r>
          </w:p>
        </w:tc>
        <w:tc>
          <w:tcPr>
            <w:tcW w:w="3969" w:type="dxa"/>
            <w:tcBorders>
              <w:top w:val="single" w:sz="4" w:space="0" w:color="auto"/>
              <w:bottom w:val="single" w:sz="4" w:space="0" w:color="auto"/>
            </w:tcBorders>
            <w:shd w:val="clear" w:color="auto" w:fill="000000"/>
            <w:vAlign w:val="bottom"/>
          </w:tcPr>
          <w:p w:rsidR="00BB67AF" w:rsidRPr="00645124" w:rsidRDefault="00BB67AF" w:rsidP="003E6750">
            <w:pPr>
              <w:pStyle w:val="TabletextheadingLeft"/>
              <w:spacing w:before="20" w:after="20"/>
              <w:rPr>
                <w:rFonts w:cs="Arial"/>
                <w:szCs w:val="22"/>
              </w:rPr>
            </w:pPr>
            <w:r w:rsidRPr="00645124">
              <w:rPr>
                <w:rFonts w:cs="Arial"/>
                <w:szCs w:val="22"/>
              </w:rPr>
              <w:t>Requirement</w:t>
            </w:r>
          </w:p>
        </w:tc>
        <w:tc>
          <w:tcPr>
            <w:tcW w:w="3354" w:type="dxa"/>
            <w:tcBorders>
              <w:top w:val="single" w:sz="4" w:space="0" w:color="auto"/>
              <w:bottom w:val="single" w:sz="4" w:space="0" w:color="auto"/>
              <w:right w:val="single" w:sz="4" w:space="0" w:color="auto"/>
            </w:tcBorders>
            <w:shd w:val="clear" w:color="auto" w:fill="000000"/>
            <w:vAlign w:val="bottom"/>
          </w:tcPr>
          <w:p w:rsidR="00BB67AF" w:rsidRPr="00645124" w:rsidRDefault="00BB67AF" w:rsidP="003E6750">
            <w:pPr>
              <w:pStyle w:val="TabletextheadingLeft"/>
              <w:spacing w:before="20" w:after="20"/>
              <w:rPr>
                <w:rFonts w:cs="Arial"/>
                <w:szCs w:val="22"/>
              </w:rPr>
            </w:pPr>
            <w:r w:rsidRPr="00645124">
              <w:rPr>
                <w:rFonts w:cs="Arial"/>
                <w:szCs w:val="22"/>
              </w:rPr>
              <w:t>Comments/reference</w:t>
            </w:r>
          </w:p>
        </w:tc>
      </w:tr>
      <w:tr w:rsidR="00BB67AF" w:rsidRPr="00645124" w:rsidTr="003E6750">
        <w:trPr>
          <w:cantSplit/>
        </w:trPr>
        <w:tc>
          <w:tcPr>
            <w:tcW w:w="2325" w:type="dxa"/>
            <w:tcBorders>
              <w:top w:val="single" w:sz="4" w:space="0" w:color="auto"/>
              <w:bottom w:val="single" w:sz="4" w:space="0" w:color="auto"/>
            </w:tcBorders>
            <w:shd w:val="clear" w:color="auto" w:fill="auto"/>
          </w:tcPr>
          <w:p w:rsidR="00BB67AF" w:rsidRPr="00645124" w:rsidRDefault="00BB67AF" w:rsidP="003E6750">
            <w:pPr>
              <w:pStyle w:val="Tabletext"/>
              <w:ind w:left="0" w:firstLine="0"/>
              <w:rPr>
                <w:rFonts w:eastAsiaTheme="minorEastAsia"/>
                <w:szCs w:val="22"/>
              </w:rPr>
            </w:pPr>
            <w:r w:rsidRPr="00645124">
              <w:rPr>
                <w:rFonts w:eastAsiaTheme="minorEastAsia"/>
                <w:szCs w:val="22"/>
              </w:rPr>
              <w:t>Section 25(1)</w:t>
            </w:r>
          </w:p>
        </w:tc>
        <w:tc>
          <w:tcPr>
            <w:tcW w:w="3969" w:type="dxa"/>
            <w:tcBorders>
              <w:top w:val="single" w:sz="4" w:space="0" w:color="auto"/>
              <w:bottom w:val="single" w:sz="4" w:space="0" w:color="auto"/>
            </w:tcBorders>
            <w:shd w:val="clear" w:color="auto" w:fill="auto"/>
          </w:tcPr>
          <w:p w:rsidR="00BB67AF" w:rsidRPr="00645124" w:rsidRDefault="00BB67AF" w:rsidP="003E6750">
            <w:pPr>
              <w:pStyle w:val="Tabletext"/>
              <w:ind w:left="0" w:firstLine="0"/>
              <w:rPr>
                <w:rFonts w:eastAsiaTheme="minorEastAsia"/>
                <w:szCs w:val="22"/>
              </w:rPr>
            </w:pPr>
            <w:r w:rsidRPr="00645124">
              <w:rPr>
                <w:rFonts w:eastAsiaTheme="minorEastAsia"/>
                <w:szCs w:val="22"/>
              </w:rPr>
              <w:t>The Minister must prepare a mid</w:t>
            </w:r>
            <w:r w:rsidRPr="00645124">
              <w:rPr>
                <w:rFonts w:eastAsiaTheme="minorEastAsia"/>
                <w:szCs w:val="22"/>
              </w:rPr>
              <w:noBreakHyphen/>
              <w:t>year report for each financial year.</w:t>
            </w:r>
          </w:p>
        </w:tc>
        <w:tc>
          <w:tcPr>
            <w:tcW w:w="3354" w:type="dxa"/>
            <w:tcBorders>
              <w:top w:val="single" w:sz="4" w:space="0" w:color="auto"/>
              <w:bottom w:val="single" w:sz="4" w:space="0" w:color="auto"/>
            </w:tcBorders>
            <w:shd w:val="clear" w:color="auto" w:fill="auto"/>
          </w:tcPr>
          <w:p w:rsidR="00BB67AF" w:rsidRPr="00645124" w:rsidRDefault="00BB67AF" w:rsidP="003E6750">
            <w:pPr>
              <w:pStyle w:val="Tabletext"/>
              <w:ind w:left="0" w:firstLine="0"/>
              <w:rPr>
                <w:rFonts w:eastAsiaTheme="minorEastAsia"/>
                <w:szCs w:val="22"/>
              </w:rPr>
            </w:pPr>
            <w:r w:rsidRPr="00645124">
              <w:rPr>
                <w:rFonts w:eastAsiaTheme="minorEastAsia"/>
                <w:szCs w:val="22"/>
              </w:rPr>
              <w:t>Refer to Chapter 2.</w:t>
            </w:r>
          </w:p>
        </w:tc>
      </w:tr>
      <w:tr w:rsidR="00BB67AF" w:rsidRPr="00645124" w:rsidTr="003E6750">
        <w:trPr>
          <w:cantSplit/>
        </w:trPr>
        <w:tc>
          <w:tcPr>
            <w:tcW w:w="2325" w:type="dxa"/>
            <w:tcBorders>
              <w:top w:val="single" w:sz="4" w:space="0" w:color="auto"/>
            </w:tcBorders>
            <w:shd w:val="clear" w:color="auto" w:fill="auto"/>
          </w:tcPr>
          <w:p w:rsidR="00BB67AF" w:rsidRPr="00645124" w:rsidRDefault="00BB67AF" w:rsidP="003E6750">
            <w:pPr>
              <w:pStyle w:val="Tabletext"/>
              <w:ind w:left="0" w:firstLine="0"/>
              <w:rPr>
                <w:rFonts w:eastAsiaTheme="minorEastAsia"/>
                <w:szCs w:val="22"/>
              </w:rPr>
            </w:pPr>
            <w:r w:rsidRPr="00645124">
              <w:rPr>
                <w:rFonts w:eastAsiaTheme="minorEastAsia"/>
                <w:szCs w:val="22"/>
              </w:rPr>
              <w:t>Section 25(2)</w:t>
            </w:r>
          </w:p>
        </w:tc>
        <w:tc>
          <w:tcPr>
            <w:tcW w:w="3969" w:type="dxa"/>
            <w:tcBorders>
              <w:top w:val="single" w:sz="4" w:space="0" w:color="auto"/>
            </w:tcBorders>
            <w:shd w:val="clear" w:color="auto" w:fill="auto"/>
          </w:tcPr>
          <w:p w:rsidR="00BB67AF" w:rsidRPr="00645124" w:rsidRDefault="00BB67AF" w:rsidP="003E6750">
            <w:pPr>
              <w:pStyle w:val="Tabletext"/>
              <w:ind w:left="0" w:firstLine="0"/>
              <w:rPr>
                <w:rFonts w:eastAsiaTheme="minorEastAsia"/>
                <w:szCs w:val="22"/>
              </w:rPr>
            </w:pPr>
            <w:r w:rsidRPr="00645124">
              <w:rPr>
                <w:rFonts w:eastAsiaTheme="minorEastAsia"/>
                <w:szCs w:val="22"/>
              </w:rPr>
              <w:t>The mid</w:t>
            </w:r>
            <w:r w:rsidRPr="00645124">
              <w:rPr>
                <w:rFonts w:eastAsiaTheme="minorEastAsia"/>
                <w:szCs w:val="22"/>
              </w:rPr>
              <w:noBreakHyphen/>
              <w:t>year report:</w:t>
            </w:r>
          </w:p>
          <w:p w:rsidR="00BB67AF" w:rsidRPr="00645124" w:rsidRDefault="00BB67AF" w:rsidP="003E6750">
            <w:pPr>
              <w:pStyle w:val="Tabletext"/>
              <w:ind w:left="340" w:hanging="340"/>
              <w:rPr>
                <w:szCs w:val="22"/>
              </w:rPr>
            </w:pPr>
            <w:r w:rsidRPr="00645124">
              <w:rPr>
                <w:szCs w:val="22"/>
              </w:rPr>
              <w:t>(a)</w:t>
            </w:r>
            <w:r w:rsidRPr="00645124">
              <w:rPr>
                <w:szCs w:val="22"/>
              </w:rPr>
              <w:tab/>
              <w:t>must be prepared in the manner and form determined by the Minister, having regard to appropriate financial reporting frameworks;</w:t>
            </w:r>
          </w:p>
        </w:tc>
        <w:tc>
          <w:tcPr>
            <w:tcW w:w="3354" w:type="dxa"/>
            <w:tcBorders>
              <w:top w:val="single" w:sz="4" w:space="0" w:color="auto"/>
            </w:tcBorders>
            <w:shd w:val="clear" w:color="auto" w:fill="auto"/>
          </w:tcPr>
          <w:p w:rsidR="00BB67AF" w:rsidRPr="00645124" w:rsidRDefault="00BB67AF" w:rsidP="003E6750">
            <w:pPr>
              <w:pStyle w:val="Tabletext"/>
              <w:ind w:left="0" w:firstLine="0"/>
              <w:rPr>
                <w:rFonts w:eastAsiaTheme="minorEastAsia"/>
                <w:szCs w:val="22"/>
              </w:rPr>
            </w:pPr>
            <w:r w:rsidRPr="00645124">
              <w:rPr>
                <w:rFonts w:eastAsiaTheme="minorEastAsia"/>
                <w:szCs w:val="22"/>
              </w:rPr>
              <w:t>Manner is in accordance with Australian Accounting Standards and Ministerial Directions. Form is operating statement, balance sheet, statement of cash flows, statement of changes in equity and accompanying notes. Refer to Chapter 2.</w:t>
            </w:r>
          </w:p>
        </w:tc>
      </w:tr>
      <w:tr w:rsidR="00BB67AF" w:rsidRPr="00645124" w:rsidTr="003E6750">
        <w:trPr>
          <w:cantSplit/>
        </w:trPr>
        <w:tc>
          <w:tcPr>
            <w:tcW w:w="2325" w:type="dxa"/>
            <w:shd w:val="clear" w:color="auto" w:fill="auto"/>
          </w:tcPr>
          <w:p w:rsidR="00BB67AF" w:rsidRPr="00645124" w:rsidRDefault="00BB67AF" w:rsidP="003E6750">
            <w:pPr>
              <w:pStyle w:val="Tabletext"/>
              <w:ind w:left="0" w:firstLine="0"/>
              <w:rPr>
                <w:rFonts w:eastAsiaTheme="minorEastAsia"/>
                <w:szCs w:val="22"/>
              </w:rPr>
            </w:pPr>
          </w:p>
        </w:tc>
        <w:tc>
          <w:tcPr>
            <w:tcW w:w="3969" w:type="dxa"/>
            <w:shd w:val="clear" w:color="auto" w:fill="auto"/>
          </w:tcPr>
          <w:p w:rsidR="00BB67AF" w:rsidRPr="00645124" w:rsidRDefault="00BB67AF" w:rsidP="003E6750">
            <w:pPr>
              <w:pStyle w:val="Tabletext"/>
              <w:ind w:left="340" w:hanging="340"/>
              <w:rPr>
                <w:szCs w:val="22"/>
              </w:rPr>
            </w:pPr>
            <w:r w:rsidRPr="00645124">
              <w:rPr>
                <w:szCs w:val="22"/>
              </w:rPr>
              <w:t>(b)</w:t>
            </w:r>
            <w:r w:rsidRPr="00645124">
              <w:rPr>
                <w:szCs w:val="22"/>
              </w:rPr>
              <w:tab/>
              <w:t>must present fairly the financial position of the State and the Victorian general government sector at midnight on 31 December in the financial year and:</w:t>
            </w:r>
          </w:p>
        </w:tc>
        <w:tc>
          <w:tcPr>
            <w:tcW w:w="3354" w:type="dxa"/>
            <w:shd w:val="clear" w:color="auto" w:fill="auto"/>
          </w:tcPr>
          <w:p w:rsidR="00BB67AF" w:rsidRPr="00645124" w:rsidRDefault="00BB67AF" w:rsidP="003E6750">
            <w:pPr>
              <w:pStyle w:val="Tabletext"/>
              <w:ind w:left="0" w:firstLine="0"/>
              <w:rPr>
                <w:rFonts w:eastAsiaTheme="minorEastAsia"/>
                <w:szCs w:val="22"/>
              </w:rPr>
            </w:pPr>
            <w:r w:rsidRPr="00645124">
              <w:rPr>
                <w:rFonts w:eastAsiaTheme="minorEastAsia"/>
                <w:szCs w:val="22"/>
              </w:rPr>
              <w:t>Refer Chapter 2, balance sheet, page 12.</w:t>
            </w:r>
          </w:p>
        </w:tc>
      </w:tr>
      <w:tr w:rsidR="00BB67AF" w:rsidRPr="00645124" w:rsidTr="003E6750">
        <w:trPr>
          <w:cantSplit/>
        </w:trPr>
        <w:tc>
          <w:tcPr>
            <w:tcW w:w="2325" w:type="dxa"/>
            <w:shd w:val="clear" w:color="auto" w:fill="auto"/>
          </w:tcPr>
          <w:p w:rsidR="00BB67AF" w:rsidRPr="00645124" w:rsidRDefault="00BB67AF" w:rsidP="003E6750">
            <w:pPr>
              <w:pStyle w:val="Tabletext"/>
              <w:ind w:left="0" w:firstLine="0"/>
              <w:rPr>
                <w:rFonts w:eastAsiaTheme="minorEastAsia"/>
                <w:szCs w:val="22"/>
              </w:rPr>
            </w:pPr>
          </w:p>
        </w:tc>
        <w:tc>
          <w:tcPr>
            <w:tcW w:w="3969" w:type="dxa"/>
            <w:shd w:val="clear" w:color="auto" w:fill="auto"/>
          </w:tcPr>
          <w:p w:rsidR="00BB67AF" w:rsidRPr="00645124" w:rsidRDefault="00BB67AF" w:rsidP="003E6750">
            <w:pPr>
              <w:pStyle w:val="Tabletext"/>
              <w:ind w:left="680" w:hanging="340"/>
              <w:rPr>
                <w:szCs w:val="22"/>
              </w:rPr>
            </w:pPr>
            <w:r w:rsidRPr="00645124">
              <w:rPr>
                <w:szCs w:val="22"/>
              </w:rPr>
              <w:t>(</w:t>
            </w:r>
            <w:proofErr w:type="spellStart"/>
            <w:r w:rsidRPr="00645124">
              <w:rPr>
                <w:szCs w:val="22"/>
              </w:rPr>
              <w:t>i</w:t>
            </w:r>
            <w:proofErr w:type="spellEnd"/>
            <w:r w:rsidRPr="00645124">
              <w:rPr>
                <w:szCs w:val="22"/>
              </w:rPr>
              <w:t>)</w:t>
            </w:r>
            <w:r w:rsidRPr="00645124">
              <w:rPr>
                <w:szCs w:val="22"/>
              </w:rPr>
              <w:tab/>
              <w:t>the transactions on the Public Account;</w:t>
            </w:r>
          </w:p>
        </w:tc>
        <w:tc>
          <w:tcPr>
            <w:tcW w:w="3354" w:type="dxa"/>
            <w:shd w:val="clear" w:color="auto" w:fill="auto"/>
          </w:tcPr>
          <w:p w:rsidR="00BB67AF" w:rsidRPr="00645124" w:rsidRDefault="00BB67AF" w:rsidP="003251BD">
            <w:pPr>
              <w:pStyle w:val="Tabletext"/>
              <w:ind w:left="0" w:firstLine="0"/>
              <w:rPr>
                <w:rFonts w:eastAsiaTheme="minorEastAsia"/>
                <w:szCs w:val="22"/>
              </w:rPr>
            </w:pPr>
            <w:r w:rsidRPr="00645124">
              <w:rPr>
                <w:rFonts w:eastAsiaTheme="minorEastAsia"/>
                <w:szCs w:val="22"/>
              </w:rPr>
              <w:t>Refer Chapter 2, Note 3</w:t>
            </w:r>
            <w:r w:rsidR="003251BD" w:rsidRPr="00645124">
              <w:rPr>
                <w:rFonts w:eastAsiaTheme="minorEastAsia"/>
                <w:szCs w:val="22"/>
              </w:rPr>
              <w:t>2</w:t>
            </w:r>
            <w:r w:rsidRPr="00645124">
              <w:rPr>
                <w:rFonts w:eastAsiaTheme="minorEastAsia"/>
                <w:szCs w:val="22"/>
              </w:rPr>
              <w:t>, pages 5</w:t>
            </w:r>
            <w:r w:rsidR="003251BD" w:rsidRPr="00645124">
              <w:rPr>
                <w:rFonts w:eastAsiaTheme="minorEastAsia"/>
                <w:szCs w:val="22"/>
              </w:rPr>
              <w:t>3</w:t>
            </w:r>
            <w:r w:rsidRPr="00645124">
              <w:rPr>
                <w:rFonts w:eastAsiaTheme="minorEastAsia"/>
                <w:szCs w:val="22"/>
              </w:rPr>
              <w:t>-5</w:t>
            </w:r>
            <w:r w:rsidR="003251BD" w:rsidRPr="00645124">
              <w:rPr>
                <w:rFonts w:eastAsiaTheme="minorEastAsia"/>
                <w:szCs w:val="22"/>
              </w:rPr>
              <w:t>5</w:t>
            </w:r>
            <w:r w:rsidRPr="00645124">
              <w:rPr>
                <w:rFonts w:eastAsiaTheme="minorEastAsia"/>
                <w:szCs w:val="22"/>
              </w:rPr>
              <w:t>.</w:t>
            </w:r>
          </w:p>
        </w:tc>
      </w:tr>
      <w:tr w:rsidR="00BB67AF" w:rsidRPr="00645124" w:rsidTr="003E6750">
        <w:trPr>
          <w:cantSplit/>
        </w:trPr>
        <w:tc>
          <w:tcPr>
            <w:tcW w:w="2325" w:type="dxa"/>
            <w:shd w:val="clear" w:color="auto" w:fill="auto"/>
          </w:tcPr>
          <w:p w:rsidR="00BB67AF" w:rsidRPr="00645124" w:rsidRDefault="00BB67AF" w:rsidP="003E6750">
            <w:pPr>
              <w:pStyle w:val="Tabletext"/>
              <w:ind w:left="0" w:firstLine="0"/>
              <w:rPr>
                <w:rFonts w:eastAsiaTheme="minorEastAsia"/>
                <w:szCs w:val="22"/>
              </w:rPr>
            </w:pPr>
          </w:p>
        </w:tc>
        <w:tc>
          <w:tcPr>
            <w:tcW w:w="3969" w:type="dxa"/>
            <w:shd w:val="clear" w:color="auto" w:fill="auto"/>
          </w:tcPr>
          <w:p w:rsidR="00BB67AF" w:rsidRPr="00645124" w:rsidRDefault="00BB67AF" w:rsidP="003E6750">
            <w:pPr>
              <w:pStyle w:val="Tabletext"/>
              <w:ind w:left="680" w:hanging="340"/>
              <w:rPr>
                <w:rFonts w:eastAsiaTheme="minorEastAsia"/>
                <w:szCs w:val="22"/>
              </w:rPr>
            </w:pPr>
            <w:r w:rsidRPr="00645124">
              <w:rPr>
                <w:rFonts w:eastAsiaTheme="minorEastAsia"/>
                <w:szCs w:val="22"/>
              </w:rPr>
              <w:t>(ii)</w:t>
            </w:r>
            <w:r w:rsidRPr="00645124">
              <w:rPr>
                <w:rFonts w:eastAsiaTheme="minorEastAsia"/>
                <w:szCs w:val="22"/>
              </w:rPr>
              <w:tab/>
              <w:t>the transactions of the Victorian general government sector; and</w:t>
            </w:r>
          </w:p>
        </w:tc>
        <w:tc>
          <w:tcPr>
            <w:tcW w:w="3354" w:type="dxa"/>
            <w:shd w:val="clear" w:color="auto" w:fill="auto"/>
          </w:tcPr>
          <w:p w:rsidR="00BB67AF" w:rsidRPr="00645124" w:rsidRDefault="00BB67AF" w:rsidP="003E6750">
            <w:pPr>
              <w:pStyle w:val="Tabletext"/>
              <w:ind w:left="0" w:firstLine="0"/>
              <w:rPr>
                <w:rFonts w:eastAsiaTheme="minorEastAsia"/>
                <w:szCs w:val="22"/>
              </w:rPr>
            </w:pPr>
            <w:r w:rsidRPr="00645124">
              <w:rPr>
                <w:rFonts w:eastAsiaTheme="minorEastAsia"/>
                <w:szCs w:val="22"/>
              </w:rPr>
              <w:t>Refer Chapter 2, operating statement, page 11, statement of cash flows, page 13, Notes 2</w:t>
            </w:r>
            <w:r w:rsidRPr="00645124">
              <w:rPr>
                <w:rFonts w:eastAsiaTheme="minorEastAsia"/>
                <w:szCs w:val="22"/>
              </w:rPr>
              <w:noBreakHyphen/>
              <w:t>7, pages 22</w:t>
            </w:r>
            <w:r w:rsidRPr="00645124">
              <w:rPr>
                <w:rFonts w:eastAsiaTheme="minorEastAsia"/>
                <w:szCs w:val="22"/>
              </w:rPr>
              <w:noBreakHyphen/>
              <w:t>32, Notes 9</w:t>
            </w:r>
            <w:r w:rsidRPr="00645124">
              <w:rPr>
                <w:rFonts w:eastAsiaTheme="minorEastAsia"/>
                <w:szCs w:val="22"/>
              </w:rPr>
              <w:noBreakHyphen/>
              <w:t>26, pages 34</w:t>
            </w:r>
            <w:r w:rsidRPr="00645124">
              <w:rPr>
                <w:rFonts w:eastAsiaTheme="minorEastAsia"/>
                <w:szCs w:val="22"/>
              </w:rPr>
              <w:noBreakHyphen/>
              <w:t>48.</w:t>
            </w:r>
          </w:p>
        </w:tc>
      </w:tr>
      <w:tr w:rsidR="00BB67AF" w:rsidRPr="00645124" w:rsidTr="003E6750">
        <w:trPr>
          <w:cantSplit/>
          <w:trHeight w:val="954"/>
        </w:trPr>
        <w:tc>
          <w:tcPr>
            <w:tcW w:w="2325" w:type="dxa"/>
            <w:shd w:val="clear" w:color="auto" w:fill="auto"/>
          </w:tcPr>
          <w:p w:rsidR="00BB67AF" w:rsidRPr="00645124" w:rsidRDefault="00BB67AF" w:rsidP="003E6750">
            <w:pPr>
              <w:pStyle w:val="Tabletext"/>
              <w:ind w:left="0" w:firstLine="0"/>
              <w:rPr>
                <w:rFonts w:eastAsiaTheme="minorEastAsia"/>
                <w:szCs w:val="22"/>
              </w:rPr>
            </w:pPr>
          </w:p>
        </w:tc>
        <w:tc>
          <w:tcPr>
            <w:tcW w:w="3969" w:type="dxa"/>
            <w:shd w:val="clear" w:color="auto" w:fill="auto"/>
          </w:tcPr>
          <w:p w:rsidR="00BB67AF" w:rsidRPr="00645124" w:rsidRDefault="00BB67AF" w:rsidP="003E6750">
            <w:pPr>
              <w:pStyle w:val="Tabletext"/>
              <w:ind w:left="680" w:hanging="340"/>
              <w:rPr>
                <w:rFonts w:eastAsiaTheme="minorEastAsia"/>
                <w:szCs w:val="22"/>
              </w:rPr>
            </w:pPr>
            <w:r w:rsidRPr="00645124">
              <w:rPr>
                <w:rFonts w:eastAsiaTheme="minorEastAsia"/>
                <w:szCs w:val="22"/>
              </w:rPr>
              <w:t>(iii)</w:t>
            </w:r>
            <w:r w:rsidRPr="00645124">
              <w:rPr>
                <w:rFonts w:eastAsiaTheme="minorEastAsia"/>
                <w:szCs w:val="22"/>
              </w:rPr>
              <w:tab/>
              <w:t>other financial transactions of the State in respect of the period of six months ending on that day.</w:t>
            </w:r>
          </w:p>
        </w:tc>
        <w:tc>
          <w:tcPr>
            <w:tcW w:w="3354" w:type="dxa"/>
            <w:shd w:val="clear" w:color="auto" w:fill="auto"/>
          </w:tcPr>
          <w:p w:rsidR="00BB67AF" w:rsidRPr="00645124" w:rsidRDefault="00BB67AF" w:rsidP="003E6750">
            <w:pPr>
              <w:pStyle w:val="Tabletext"/>
              <w:ind w:left="0" w:firstLine="0"/>
              <w:rPr>
                <w:rFonts w:eastAsiaTheme="minorEastAsia"/>
                <w:szCs w:val="22"/>
              </w:rPr>
            </w:pPr>
            <w:r w:rsidRPr="00645124">
              <w:rPr>
                <w:rFonts w:eastAsiaTheme="minorEastAsia"/>
                <w:szCs w:val="22"/>
              </w:rPr>
              <w:t>Refer Chapter 2, operating statement, page 11, statement of cash flows, page 13 and Notes 2</w:t>
            </w:r>
            <w:r w:rsidRPr="00645124">
              <w:rPr>
                <w:rFonts w:eastAsiaTheme="minorEastAsia"/>
                <w:szCs w:val="22"/>
              </w:rPr>
              <w:noBreakHyphen/>
              <w:t>26, pages 22</w:t>
            </w:r>
            <w:r w:rsidRPr="00645124">
              <w:rPr>
                <w:rFonts w:eastAsiaTheme="minorEastAsia"/>
                <w:szCs w:val="22"/>
              </w:rPr>
              <w:noBreakHyphen/>
              <w:t>48.</w:t>
            </w:r>
          </w:p>
        </w:tc>
      </w:tr>
      <w:tr w:rsidR="00BB67AF" w:rsidRPr="00645124" w:rsidTr="003E6750">
        <w:trPr>
          <w:cantSplit/>
        </w:trPr>
        <w:tc>
          <w:tcPr>
            <w:tcW w:w="2325" w:type="dxa"/>
            <w:tcBorders>
              <w:top w:val="single" w:sz="4" w:space="0" w:color="auto"/>
              <w:bottom w:val="single" w:sz="4" w:space="0" w:color="auto"/>
            </w:tcBorders>
            <w:shd w:val="clear" w:color="auto" w:fill="auto"/>
          </w:tcPr>
          <w:p w:rsidR="00BB67AF" w:rsidRPr="00645124" w:rsidRDefault="00BB67AF" w:rsidP="003E6750">
            <w:pPr>
              <w:pStyle w:val="Tabletext"/>
              <w:pageBreakBefore/>
              <w:ind w:left="0" w:firstLine="0"/>
              <w:rPr>
                <w:rFonts w:eastAsiaTheme="minorEastAsia"/>
                <w:szCs w:val="22"/>
              </w:rPr>
            </w:pPr>
            <w:r w:rsidRPr="00645124">
              <w:rPr>
                <w:rFonts w:eastAsiaTheme="minorEastAsia"/>
                <w:szCs w:val="22"/>
              </w:rPr>
              <w:lastRenderedPageBreak/>
              <w:t>Section 26(1)</w:t>
            </w:r>
          </w:p>
        </w:tc>
        <w:tc>
          <w:tcPr>
            <w:tcW w:w="3969" w:type="dxa"/>
            <w:tcBorders>
              <w:top w:val="single" w:sz="4" w:space="0" w:color="auto"/>
              <w:bottom w:val="single" w:sz="4" w:space="0" w:color="auto"/>
            </w:tcBorders>
            <w:shd w:val="clear" w:color="auto" w:fill="auto"/>
          </w:tcPr>
          <w:p w:rsidR="00BB67AF" w:rsidRPr="00645124" w:rsidRDefault="00BB67AF" w:rsidP="003E6750">
            <w:pPr>
              <w:pStyle w:val="Tabletext"/>
              <w:ind w:left="0" w:firstLine="0"/>
              <w:rPr>
                <w:rFonts w:eastAsiaTheme="minorEastAsia"/>
                <w:szCs w:val="22"/>
              </w:rPr>
            </w:pPr>
            <w:r w:rsidRPr="00645124">
              <w:rPr>
                <w:rFonts w:eastAsiaTheme="minorEastAsia"/>
                <w:szCs w:val="22"/>
              </w:rPr>
              <w:t>The Minister must prepare a quarterly financial report for each quarter of each financial year.</w:t>
            </w:r>
          </w:p>
        </w:tc>
        <w:tc>
          <w:tcPr>
            <w:tcW w:w="3354" w:type="dxa"/>
            <w:tcBorders>
              <w:top w:val="single" w:sz="4" w:space="0" w:color="auto"/>
              <w:bottom w:val="single" w:sz="4" w:space="0" w:color="auto"/>
            </w:tcBorders>
            <w:shd w:val="clear" w:color="auto" w:fill="auto"/>
          </w:tcPr>
          <w:p w:rsidR="00BB67AF" w:rsidRPr="00645124" w:rsidRDefault="00BB67AF" w:rsidP="003E6750">
            <w:pPr>
              <w:pStyle w:val="Tabletext"/>
              <w:ind w:left="0" w:firstLine="0"/>
              <w:rPr>
                <w:rFonts w:eastAsiaTheme="minorEastAsia"/>
                <w:szCs w:val="22"/>
              </w:rPr>
            </w:pPr>
            <w:r w:rsidRPr="00645124">
              <w:rPr>
                <w:rFonts w:eastAsiaTheme="minorEastAsia"/>
                <w:szCs w:val="22"/>
              </w:rPr>
              <w:t>Refer Appendix A, pages 57-59.</w:t>
            </w:r>
          </w:p>
        </w:tc>
      </w:tr>
      <w:tr w:rsidR="00BB67AF" w:rsidRPr="00645124" w:rsidTr="003E6750">
        <w:trPr>
          <w:cantSplit/>
        </w:trPr>
        <w:tc>
          <w:tcPr>
            <w:tcW w:w="2325" w:type="dxa"/>
            <w:tcBorders>
              <w:top w:val="single" w:sz="4" w:space="0" w:color="auto"/>
            </w:tcBorders>
            <w:shd w:val="clear" w:color="auto" w:fill="auto"/>
          </w:tcPr>
          <w:p w:rsidR="00BB67AF" w:rsidRPr="00645124" w:rsidRDefault="00BB67AF" w:rsidP="003E6750">
            <w:pPr>
              <w:pStyle w:val="Tabletext"/>
              <w:ind w:left="0" w:firstLine="0"/>
              <w:rPr>
                <w:szCs w:val="22"/>
              </w:rPr>
            </w:pPr>
            <w:r w:rsidRPr="00645124">
              <w:rPr>
                <w:szCs w:val="22"/>
              </w:rPr>
              <w:t>Section 26(2)</w:t>
            </w:r>
          </w:p>
        </w:tc>
        <w:tc>
          <w:tcPr>
            <w:tcW w:w="3969" w:type="dxa"/>
            <w:tcBorders>
              <w:top w:val="single" w:sz="4" w:space="0" w:color="auto"/>
            </w:tcBorders>
            <w:shd w:val="clear" w:color="auto" w:fill="auto"/>
          </w:tcPr>
          <w:p w:rsidR="00BB67AF" w:rsidRPr="00645124" w:rsidRDefault="00BB67AF" w:rsidP="003E6750">
            <w:pPr>
              <w:pStyle w:val="Tabletext"/>
              <w:ind w:left="0" w:firstLine="0"/>
              <w:rPr>
                <w:rFonts w:eastAsiaTheme="minorEastAsia"/>
                <w:szCs w:val="22"/>
              </w:rPr>
            </w:pPr>
            <w:r w:rsidRPr="00645124">
              <w:rPr>
                <w:rFonts w:eastAsiaTheme="minorEastAsia"/>
                <w:szCs w:val="22"/>
              </w:rPr>
              <w:t>A quarterly financial report comprises:</w:t>
            </w:r>
          </w:p>
        </w:tc>
        <w:tc>
          <w:tcPr>
            <w:tcW w:w="3354" w:type="dxa"/>
            <w:tcBorders>
              <w:top w:val="single" w:sz="4" w:space="0" w:color="auto"/>
            </w:tcBorders>
            <w:shd w:val="clear" w:color="auto" w:fill="auto"/>
          </w:tcPr>
          <w:p w:rsidR="00BB67AF" w:rsidRPr="00645124" w:rsidRDefault="00BB67AF" w:rsidP="003E6750">
            <w:pPr>
              <w:pStyle w:val="Tabletext"/>
              <w:rPr>
                <w:rFonts w:eastAsiaTheme="minorEastAsia"/>
                <w:szCs w:val="22"/>
              </w:rPr>
            </w:pPr>
          </w:p>
        </w:tc>
      </w:tr>
      <w:tr w:rsidR="00BB67AF" w:rsidRPr="00645124" w:rsidTr="003E6750">
        <w:trPr>
          <w:cantSplit/>
        </w:trPr>
        <w:tc>
          <w:tcPr>
            <w:tcW w:w="2325" w:type="dxa"/>
            <w:shd w:val="clear" w:color="auto" w:fill="auto"/>
          </w:tcPr>
          <w:p w:rsidR="00BB67AF" w:rsidRPr="00645124" w:rsidRDefault="00BB67AF" w:rsidP="003E6750">
            <w:pPr>
              <w:pStyle w:val="Tabletext"/>
              <w:ind w:left="0" w:firstLine="0"/>
              <w:rPr>
                <w:szCs w:val="22"/>
              </w:rPr>
            </w:pPr>
          </w:p>
        </w:tc>
        <w:tc>
          <w:tcPr>
            <w:tcW w:w="3969" w:type="dxa"/>
            <w:shd w:val="clear" w:color="auto" w:fill="auto"/>
          </w:tcPr>
          <w:p w:rsidR="00BB67AF" w:rsidRPr="00645124" w:rsidRDefault="00BB67AF" w:rsidP="003E6750">
            <w:pPr>
              <w:pStyle w:val="Tabletext"/>
              <w:ind w:left="340" w:hanging="340"/>
              <w:rPr>
                <w:szCs w:val="22"/>
              </w:rPr>
            </w:pPr>
            <w:r w:rsidRPr="00645124">
              <w:rPr>
                <w:szCs w:val="22"/>
              </w:rPr>
              <w:t>(a)</w:t>
            </w:r>
            <w:r w:rsidRPr="00645124">
              <w:rPr>
                <w:szCs w:val="22"/>
              </w:rPr>
              <w:tab/>
              <w:t>a statement of financial performance of the Victorian general government sector for the quarter;</w:t>
            </w:r>
          </w:p>
        </w:tc>
        <w:tc>
          <w:tcPr>
            <w:tcW w:w="3354" w:type="dxa"/>
            <w:shd w:val="clear" w:color="auto" w:fill="auto"/>
          </w:tcPr>
          <w:p w:rsidR="00BB67AF" w:rsidRPr="00645124" w:rsidRDefault="00BB67AF" w:rsidP="003E6750">
            <w:pPr>
              <w:pStyle w:val="Tabletext"/>
              <w:ind w:left="0" w:firstLine="0"/>
              <w:rPr>
                <w:rFonts w:eastAsiaTheme="minorEastAsia"/>
                <w:szCs w:val="22"/>
              </w:rPr>
            </w:pPr>
            <w:r w:rsidRPr="00645124">
              <w:rPr>
                <w:rFonts w:eastAsiaTheme="minorEastAsia"/>
                <w:szCs w:val="22"/>
              </w:rPr>
              <w:t>Refer Appendix A, operating statement, Table A.1 page 57.</w:t>
            </w:r>
          </w:p>
        </w:tc>
      </w:tr>
      <w:tr w:rsidR="00BB67AF" w:rsidRPr="00645124" w:rsidTr="003E6750">
        <w:trPr>
          <w:cantSplit/>
        </w:trPr>
        <w:tc>
          <w:tcPr>
            <w:tcW w:w="2325" w:type="dxa"/>
            <w:shd w:val="clear" w:color="auto" w:fill="auto"/>
          </w:tcPr>
          <w:p w:rsidR="00BB67AF" w:rsidRPr="00645124" w:rsidRDefault="00BB67AF" w:rsidP="003E6750">
            <w:pPr>
              <w:pStyle w:val="Tabletext"/>
              <w:ind w:left="0" w:firstLine="0"/>
              <w:rPr>
                <w:rFonts w:eastAsiaTheme="minorEastAsia"/>
                <w:szCs w:val="22"/>
              </w:rPr>
            </w:pPr>
          </w:p>
        </w:tc>
        <w:tc>
          <w:tcPr>
            <w:tcW w:w="3969" w:type="dxa"/>
            <w:shd w:val="clear" w:color="auto" w:fill="auto"/>
          </w:tcPr>
          <w:p w:rsidR="00BB67AF" w:rsidRPr="00645124" w:rsidRDefault="00BB67AF" w:rsidP="003E6750">
            <w:pPr>
              <w:pStyle w:val="Tabletext"/>
              <w:ind w:left="340" w:hanging="340"/>
              <w:rPr>
                <w:szCs w:val="22"/>
              </w:rPr>
            </w:pPr>
            <w:r w:rsidRPr="00645124">
              <w:rPr>
                <w:szCs w:val="22"/>
              </w:rPr>
              <w:t>(b)</w:t>
            </w:r>
            <w:r w:rsidRPr="00645124">
              <w:rPr>
                <w:szCs w:val="22"/>
              </w:rPr>
              <w:tab/>
              <w:t>a statement of the financial position of the Victorian general government sector at the end of the quarter;</w:t>
            </w:r>
          </w:p>
        </w:tc>
        <w:tc>
          <w:tcPr>
            <w:tcW w:w="3354" w:type="dxa"/>
            <w:shd w:val="clear" w:color="auto" w:fill="auto"/>
          </w:tcPr>
          <w:p w:rsidR="00BB67AF" w:rsidRPr="00645124" w:rsidRDefault="00BB67AF" w:rsidP="003E6750">
            <w:pPr>
              <w:pStyle w:val="Tabletext"/>
              <w:ind w:left="0" w:firstLine="0"/>
              <w:rPr>
                <w:rFonts w:eastAsiaTheme="minorEastAsia"/>
                <w:szCs w:val="22"/>
              </w:rPr>
            </w:pPr>
            <w:r w:rsidRPr="00645124">
              <w:rPr>
                <w:rFonts w:eastAsiaTheme="minorEastAsia"/>
                <w:szCs w:val="22"/>
              </w:rPr>
              <w:t>Refer Appendix A, balance sheet, Table A.2 page 58.</w:t>
            </w:r>
          </w:p>
        </w:tc>
      </w:tr>
      <w:tr w:rsidR="00BB67AF" w:rsidRPr="00645124" w:rsidTr="003E6750">
        <w:trPr>
          <w:cantSplit/>
        </w:trPr>
        <w:tc>
          <w:tcPr>
            <w:tcW w:w="2325" w:type="dxa"/>
            <w:shd w:val="clear" w:color="auto" w:fill="auto"/>
          </w:tcPr>
          <w:p w:rsidR="00BB67AF" w:rsidRPr="00645124" w:rsidRDefault="00BB67AF" w:rsidP="003E6750">
            <w:pPr>
              <w:pStyle w:val="Tabletext"/>
              <w:ind w:left="0" w:firstLine="0"/>
              <w:rPr>
                <w:rFonts w:eastAsiaTheme="minorEastAsia"/>
                <w:szCs w:val="22"/>
              </w:rPr>
            </w:pPr>
          </w:p>
        </w:tc>
        <w:tc>
          <w:tcPr>
            <w:tcW w:w="3969" w:type="dxa"/>
            <w:shd w:val="clear" w:color="auto" w:fill="auto"/>
          </w:tcPr>
          <w:p w:rsidR="00BB67AF" w:rsidRPr="00645124" w:rsidRDefault="00BB67AF" w:rsidP="003E6750">
            <w:pPr>
              <w:pStyle w:val="Tabletext"/>
              <w:ind w:left="340" w:hanging="340"/>
              <w:rPr>
                <w:szCs w:val="22"/>
              </w:rPr>
            </w:pPr>
            <w:r w:rsidRPr="00645124">
              <w:rPr>
                <w:szCs w:val="22"/>
              </w:rPr>
              <w:t>(c)</w:t>
            </w:r>
            <w:r w:rsidRPr="00645124">
              <w:rPr>
                <w:szCs w:val="22"/>
              </w:rPr>
              <w:tab/>
              <w:t>a statement of cash flows of the Victorian general government sector for the quarter; and</w:t>
            </w:r>
          </w:p>
        </w:tc>
        <w:tc>
          <w:tcPr>
            <w:tcW w:w="3354" w:type="dxa"/>
            <w:shd w:val="clear" w:color="auto" w:fill="auto"/>
          </w:tcPr>
          <w:p w:rsidR="00BB67AF" w:rsidRPr="00645124" w:rsidRDefault="00BB67AF" w:rsidP="003E6750">
            <w:pPr>
              <w:pStyle w:val="Tabletext"/>
              <w:ind w:left="0" w:firstLine="0"/>
              <w:rPr>
                <w:rFonts w:eastAsiaTheme="minorEastAsia"/>
                <w:szCs w:val="22"/>
              </w:rPr>
            </w:pPr>
            <w:r w:rsidRPr="00645124">
              <w:rPr>
                <w:rFonts w:eastAsiaTheme="minorEastAsia"/>
                <w:szCs w:val="22"/>
              </w:rPr>
              <w:t>Refer Appendix A, statement of cash flows, Table A.3 page 59.</w:t>
            </w:r>
          </w:p>
        </w:tc>
      </w:tr>
      <w:tr w:rsidR="00BB67AF" w:rsidRPr="00645124" w:rsidTr="003E6750">
        <w:trPr>
          <w:cantSplit/>
        </w:trPr>
        <w:tc>
          <w:tcPr>
            <w:tcW w:w="2325" w:type="dxa"/>
            <w:tcBorders>
              <w:bottom w:val="single" w:sz="4" w:space="0" w:color="auto"/>
            </w:tcBorders>
            <w:shd w:val="clear" w:color="auto" w:fill="auto"/>
          </w:tcPr>
          <w:p w:rsidR="00BB67AF" w:rsidRPr="00645124" w:rsidRDefault="00BB67AF" w:rsidP="003E6750">
            <w:pPr>
              <w:pStyle w:val="Tabletext"/>
              <w:ind w:left="0" w:firstLine="0"/>
              <w:rPr>
                <w:rFonts w:eastAsiaTheme="minorEastAsia"/>
                <w:szCs w:val="22"/>
              </w:rPr>
            </w:pPr>
          </w:p>
        </w:tc>
        <w:tc>
          <w:tcPr>
            <w:tcW w:w="3969" w:type="dxa"/>
            <w:tcBorders>
              <w:bottom w:val="single" w:sz="4" w:space="0" w:color="auto"/>
            </w:tcBorders>
            <w:shd w:val="clear" w:color="auto" w:fill="auto"/>
          </w:tcPr>
          <w:p w:rsidR="00BB67AF" w:rsidRPr="00645124" w:rsidRDefault="00BB67AF" w:rsidP="003E6750">
            <w:pPr>
              <w:pStyle w:val="Tabletext"/>
              <w:ind w:left="340" w:hanging="340"/>
              <w:rPr>
                <w:szCs w:val="22"/>
              </w:rPr>
            </w:pPr>
            <w:r w:rsidRPr="00645124">
              <w:rPr>
                <w:szCs w:val="22"/>
              </w:rPr>
              <w:t>(d)</w:t>
            </w:r>
            <w:r w:rsidRPr="00645124">
              <w:rPr>
                <w:szCs w:val="22"/>
              </w:rPr>
              <w:tab/>
              <w:t>a statement of the accounting policies on which the statements required by paragraphs (a), (b) and (c) are based.</w:t>
            </w:r>
          </w:p>
        </w:tc>
        <w:tc>
          <w:tcPr>
            <w:tcW w:w="3354" w:type="dxa"/>
            <w:tcBorders>
              <w:bottom w:val="single" w:sz="4" w:space="0" w:color="auto"/>
            </w:tcBorders>
            <w:shd w:val="clear" w:color="auto" w:fill="auto"/>
          </w:tcPr>
          <w:p w:rsidR="00BB67AF" w:rsidRPr="00645124" w:rsidRDefault="00BB67AF" w:rsidP="003E6750">
            <w:pPr>
              <w:pStyle w:val="Tabletext"/>
              <w:ind w:left="0" w:firstLine="0"/>
              <w:rPr>
                <w:rFonts w:eastAsiaTheme="minorEastAsia"/>
                <w:szCs w:val="22"/>
              </w:rPr>
            </w:pPr>
            <w:r w:rsidRPr="00645124">
              <w:rPr>
                <w:rFonts w:eastAsiaTheme="minorEastAsia"/>
                <w:szCs w:val="22"/>
              </w:rPr>
              <w:t xml:space="preserve">Refer Chapter 2, Note 1, </w:t>
            </w:r>
            <w:r w:rsidR="00A6247C" w:rsidRPr="00645124">
              <w:rPr>
                <w:rFonts w:eastAsiaTheme="minorEastAsia"/>
                <w:szCs w:val="22"/>
              </w:rPr>
              <w:br/>
            </w:r>
            <w:r w:rsidRPr="00645124">
              <w:rPr>
                <w:rFonts w:eastAsiaTheme="minorEastAsia"/>
                <w:szCs w:val="22"/>
              </w:rPr>
              <w:t>pages 18-21.</w:t>
            </w:r>
          </w:p>
        </w:tc>
      </w:tr>
      <w:tr w:rsidR="00BB67AF" w:rsidRPr="00645124" w:rsidTr="003E6750">
        <w:trPr>
          <w:cantSplit/>
        </w:trPr>
        <w:tc>
          <w:tcPr>
            <w:tcW w:w="2325" w:type="dxa"/>
            <w:tcBorders>
              <w:top w:val="single" w:sz="4" w:space="0" w:color="auto"/>
              <w:bottom w:val="single" w:sz="4" w:space="0" w:color="auto"/>
            </w:tcBorders>
            <w:shd w:val="clear" w:color="auto" w:fill="auto"/>
          </w:tcPr>
          <w:p w:rsidR="00BB67AF" w:rsidRPr="00645124" w:rsidRDefault="00BB67AF" w:rsidP="003E6750">
            <w:pPr>
              <w:pStyle w:val="Tabletext"/>
              <w:ind w:left="0" w:firstLine="0"/>
              <w:rPr>
                <w:rFonts w:eastAsiaTheme="minorEastAsia"/>
                <w:szCs w:val="22"/>
              </w:rPr>
            </w:pPr>
            <w:r w:rsidRPr="00645124">
              <w:rPr>
                <w:rFonts w:eastAsiaTheme="minorEastAsia"/>
                <w:szCs w:val="22"/>
              </w:rPr>
              <w:t>Section 26(2A)</w:t>
            </w:r>
          </w:p>
        </w:tc>
        <w:tc>
          <w:tcPr>
            <w:tcW w:w="3969" w:type="dxa"/>
            <w:tcBorders>
              <w:top w:val="single" w:sz="4" w:space="0" w:color="auto"/>
              <w:bottom w:val="single" w:sz="4" w:space="0" w:color="auto"/>
            </w:tcBorders>
            <w:shd w:val="clear" w:color="auto" w:fill="auto"/>
          </w:tcPr>
          <w:p w:rsidR="00BB67AF" w:rsidRPr="00645124" w:rsidRDefault="00BB67AF" w:rsidP="003E6750">
            <w:pPr>
              <w:pStyle w:val="Tabletext"/>
              <w:ind w:left="0" w:firstLine="0"/>
              <w:rPr>
                <w:rFonts w:eastAsiaTheme="minorEastAsia"/>
                <w:szCs w:val="22"/>
              </w:rPr>
            </w:pPr>
            <w:r w:rsidRPr="00645124">
              <w:rPr>
                <w:rFonts w:eastAsiaTheme="minorEastAsia"/>
                <w:szCs w:val="22"/>
              </w:rPr>
              <w:t>A quarterly financial report must be prepared in the manner and form determined by the Minister, having regard to appropriate financial reporting frameworks.</w:t>
            </w:r>
          </w:p>
        </w:tc>
        <w:tc>
          <w:tcPr>
            <w:tcW w:w="3354" w:type="dxa"/>
            <w:tcBorders>
              <w:top w:val="single" w:sz="4" w:space="0" w:color="auto"/>
              <w:bottom w:val="single" w:sz="4" w:space="0" w:color="auto"/>
            </w:tcBorders>
            <w:shd w:val="clear" w:color="auto" w:fill="auto"/>
          </w:tcPr>
          <w:p w:rsidR="00BB67AF" w:rsidRPr="00645124" w:rsidRDefault="00BB67AF" w:rsidP="003E6750">
            <w:pPr>
              <w:pStyle w:val="Tabletext"/>
              <w:ind w:left="0" w:firstLine="0"/>
              <w:rPr>
                <w:rFonts w:eastAsiaTheme="minorEastAsia"/>
                <w:szCs w:val="22"/>
              </w:rPr>
            </w:pPr>
            <w:r w:rsidRPr="00645124">
              <w:rPr>
                <w:rFonts w:eastAsiaTheme="minorEastAsia"/>
                <w:szCs w:val="22"/>
              </w:rPr>
              <w:t>Manner is a financial report for the general government sector. Form is operating statement, balance sheet, statement of cash flows.</w:t>
            </w:r>
          </w:p>
          <w:p w:rsidR="00BB67AF" w:rsidRPr="00645124" w:rsidRDefault="00BB67AF" w:rsidP="003E6750">
            <w:pPr>
              <w:pStyle w:val="Tabletext"/>
              <w:ind w:left="0" w:firstLine="0"/>
              <w:rPr>
                <w:rFonts w:eastAsiaTheme="minorEastAsia"/>
                <w:szCs w:val="22"/>
              </w:rPr>
            </w:pPr>
            <w:r w:rsidRPr="00645124">
              <w:rPr>
                <w:rFonts w:eastAsiaTheme="minorEastAsia"/>
                <w:szCs w:val="22"/>
              </w:rPr>
              <w:t>Refer to Appendix A.</w:t>
            </w:r>
          </w:p>
        </w:tc>
      </w:tr>
      <w:tr w:rsidR="00BB67AF" w:rsidRPr="00645124" w:rsidTr="003E6750">
        <w:trPr>
          <w:cantSplit/>
        </w:trPr>
        <w:tc>
          <w:tcPr>
            <w:tcW w:w="2325" w:type="dxa"/>
            <w:tcBorders>
              <w:top w:val="single" w:sz="4" w:space="0" w:color="auto"/>
              <w:bottom w:val="single" w:sz="12" w:space="0" w:color="auto"/>
            </w:tcBorders>
            <w:shd w:val="clear" w:color="auto" w:fill="auto"/>
          </w:tcPr>
          <w:p w:rsidR="00BB67AF" w:rsidRPr="00645124" w:rsidRDefault="00BB67AF" w:rsidP="003E6750">
            <w:pPr>
              <w:pStyle w:val="Tabletext"/>
              <w:ind w:left="0" w:firstLine="0"/>
              <w:rPr>
                <w:rFonts w:eastAsiaTheme="minorEastAsia"/>
                <w:szCs w:val="22"/>
              </w:rPr>
            </w:pPr>
            <w:r w:rsidRPr="00645124">
              <w:rPr>
                <w:rFonts w:eastAsiaTheme="minorEastAsia"/>
                <w:szCs w:val="22"/>
              </w:rPr>
              <w:t>Section 26(2B)</w:t>
            </w:r>
          </w:p>
        </w:tc>
        <w:tc>
          <w:tcPr>
            <w:tcW w:w="3969" w:type="dxa"/>
            <w:tcBorders>
              <w:top w:val="single" w:sz="4" w:space="0" w:color="auto"/>
              <w:bottom w:val="single" w:sz="12" w:space="0" w:color="auto"/>
            </w:tcBorders>
            <w:shd w:val="clear" w:color="auto" w:fill="auto"/>
          </w:tcPr>
          <w:p w:rsidR="00BB67AF" w:rsidRPr="00645124" w:rsidRDefault="00BB67AF" w:rsidP="003E6750">
            <w:pPr>
              <w:pStyle w:val="Tabletext"/>
              <w:ind w:left="0" w:firstLine="0"/>
              <w:rPr>
                <w:rFonts w:eastAsiaTheme="minorEastAsia"/>
                <w:szCs w:val="22"/>
              </w:rPr>
            </w:pPr>
            <w:r w:rsidRPr="00645124">
              <w:rPr>
                <w:rFonts w:eastAsiaTheme="minorEastAsia"/>
                <w:szCs w:val="22"/>
              </w:rPr>
              <w:t>The quarterly financial report for the quarter ending on 31 December in a financial year must include, in addition to the statements referred to in subsection (2)(a) to (d) for that quarter, those statements for the period of six months ending on that 31 December.</w:t>
            </w:r>
          </w:p>
        </w:tc>
        <w:tc>
          <w:tcPr>
            <w:tcW w:w="3354" w:type="dxa"/>
            <w:tcBorders>
              <w:top w:val="single" w:sz="4" w:space="0" w:color="auto"/>
              <w:bottom w:val="single" w:sz="12" w:space="0" w:color="auto"/>
            </w:tcBorders>
            <w:shd w:val="clear" w:color="auto" w:fill="auto"/>
          </w:tcPr>
          <w:p w:rsidR="00BB67AF" w:rsidRPr="00645124" w:rsidRDefault="00BB67AF" w:rsidP="003E6750">
            <w:pPr>
              <w:pStyle w:val="Tabletext"/>
              <w:ind w:left="0" w:firstLine="0"/>
              <w:rPr>
                <w:rFonts w:eastAsiaTheme="minorEastAsia"/>
                <w:szCs w:val="22"/>
              </w:rPr>
            </w:pPr>
            <w:r w:rsidRPr="00645124">
              <w:rPr>
                <w:rFonts w:eastAsiaTheme="minorEastAsia"/>
                <w:szCs w:val="22"/>
              </w:rPr>
              <w:t>Refer to Chapter 2, operating statement, page 11, balance sheet, page 12 and statement of cash flows, page 13.</w:t>
            </w:r>
          </w:p>
        </w:tc>
      </w:tr>
    </w:tbl>
    <w:p w:rsidR="00BB67AF" w:rsidRDefault="00BB67AF" w:rsidP="003E6750"/>
    <w:p w:rsidR="00BB67AF" w:rsidRPr="00906CB6" w:rsidRDefault="00BB67AF" w:rsidP="003E6750"/>
    <w:p w:rsidR="00BB67AF" w:rsidRDefault="00BB67AF" w:rsidP="00443963">
      <w:pPr>
        <w:sectPr w:rsidR="00BB67AF" w:rsidSect="00443963">
          <w:footerReference w:type="even" r:id="rId55"/>
          <w:footerReference w:type="default" r:id="rId56"/>
          <w:type w:val="oddPage"/>
          <w:pgSz w:w="11906" w:h="16838" w:code="9"/>
          <w:pgMar w:top="1152" w:right="1152" w:bottom="1152" w:left="1152" w:header="720" w:footer="720" w:gutter="0"/>
          <w:cols w:space="708"/>
          <w:docGrid w:linePitch="360"/>
        </w:sectPr>
      </w:pPr>
    </w:p>
    <w:p w:rsidR="00BB67AF" w:rsidRPr="00C36C4E" w:rsidRDefault="00BB67AF" w:rsidP="00C36C4E">
      <w:pPr>
        <w:pStyle w:val="ChapterHeading"/>
      </w:pPr>
      <w:bookmarkStart w:id="45" w:name="_Toc408998335"/>
      <w:bookmarkStart w:id="46" w:name="_Toc445283152"/>
      <w:r w:rsidRPr="00C36C4E">
        <w:lastRenderedPageBreak/>
        <w:t>Style conventions</w:t>
      </w:r>
      <w:bookmarkEnd w:id="45"/>
      <w:bookmarkEnd w:id="46"/>
    </w:p>
    <w:p w:rsidR="00BB67AF" w:rsidRPr="00D26163" w:rsidRDefault="00BB67AF" w:rsidP="003E6750">
      <w:r w:rsidRPr="00D26163">
        <w:t>Figures in the tables and in the text have been rounded. Discrepancies in tables between totals and sums of components reflect rounding. Percentage changes in all tables are based on the underlying unrounded amounts.</w:t>
      </w:r>
    </w:p>
    <w:p w:rsidR="00BB67AF" w:rsidRPr="00D26163" w:rsidRDefault="00BB67AF" w:rsidP="003E6750">
      <w:r w:rsidRPr="00D26163">
        <w:t>The notation used in the tables and charts is as follows:</w:t>
      </w:r>
    </w:p>
    <w:p w:rsidR="00BB67AF" w:rsidRPr="00D26163" w:rsidRDefault="00BB67AF" w:rsidP="003E6750">
      <w:pPr>
        <w:tabs>
          <w:tab w:val="left" w:pos="2520"/>
        </w:tabs>
        <w:ind w:left="720"/>
      </w:pPr>
      <w:proofErr w:type="spellStart"/>
      <w:r w:rsidRPr="00D26163">
        <w:t>n.a</w:t>
      </w:r>
      <w:proofErr w:type="spellEnd"/>
      <w:r w:rsidRPr="00D26163">
        <w:t>.</w:t>
      </w:r>
      <w:r w:rsidRPr="00D26163">
        <w:tab/>
        <w:t>not available or not applicable</w:t>
      </w:r>
    </w:p>
    <w:p w:rsidR="00BB67AF" w:rsidRPr="00D26163" w:rsidRDefault="00BB67AF" w:rsidP="003E6750">
      <w:pPr>
        <w:tabs>
          <w:tab w:val="left" w:pos="2520"/>
        </w:tabs>
        <w:ind w:left="720"/>
      </w:pPr>
      <w:r w:rsidRPr="00D26163">
        <w:t>1</w:t>
      </w:r>
      <w:r>
        <w:t> billion</w:t>
      </w:r>
      <w:r w:rsidRPr="00D26163">
        <w:tab/>
        <w:t>1 000</w:t>
      </w:r>
      <w:r>
        <w:t> million</w:t>
      </w:r>
    </w:p>
    <w:p w:rsidR="00BB67AF" w:rsidRPr="00D26163" w:rsidRDefault="00BB67AF" w:rsidP="003E6750">
      <w:pPr>
        <w:tabs>
          <w:tab w:val="left" w:pos="2520"/>
        </w:tabs>
        <w:ind w:left="720"/>
      </w:pPr>
      <w:r w:rsidRPr="00D26163">
        <w:t>1 basis point</w:t>
      </w:r>
      <w:r w:rsidRPr="00D26163">
        <w:tab/>
        <w:t>0.01</w:t>
      </w:r>
      <w:r>
        <w:t> per cent</w:t>
      </w:r>
    </w:p>
    <w:p w:rsidR="00BB67AF" w:rsidRPr="00D26163" w:rsidRDefault="00BB67AF" w:rsidP="003E6750">
      <w:pPr>
        <w:tabs>
          <w:tab w:val="left" w:pos="2520"/>
        </w:tabs>
        <w:ind w:left="720"/>
      </w:pPr>
      <w:r w:rsidRPr="00D26163">
        <w:t>..</w:t>
      </w:r>
      <w:r w:rsidRPr="00D26163">
        <w:tab/>
        <w:t>zero, or rounded to zero</w:t>
      </w:r>
    </w:p>
    <w:p w:rsidR="00BB67AF" w:rsidRPr="00D26163" w:rsidRDefault="00BB67AF" w:rsidP="003E6750">
      <w:pPr>
        <w:tabs>
          <w:tab w:val="left" w:pos="2520"/>
        </w:tabs>
        <w:ind w:left="720"/>
      </w:pPr>
      <w:proofErr w:type="spellStart"/>
      <w:r w:rsidRPr="00D26163">
        <w:t>tbd</w:t>
      </w:r>
      <w:proofErr w:type="spellEnd"/>
      <w:r w:rsidRPr="00D26163">
        <w:tab/>
        <w:t>to be determined</w:t>
      </w:r>
    </w:p>
    <w:p w:rsidR="00BB67AF" w:rsidRPr="00D26163" w:rsidRDefault="00BB67AF" w:rsidP="003E6750">
      <w:pPr>
        <w:tabs>
          <w:tab w:val="left" w:pos="2520"/>
        </w:tabs>
        <w:ind w:left="720"/>
      </w:pPr>
      <w:r w:rsidRPr="00D26163">
        <w:t>(</w:t>
      </w:r>
      <w:proofErr w:type="spellStart"/>
      <w:r w:rsidRPr="00D26163">
        <w:t>xxx.x</w:t>
      </w:r>
      <w:proofErr w:type="spellEnd"/>
      <w:r w:rsidRPr="00D26163">
        <w:t>)</w:t>
      </w:r>
      <w:r w:rsidRPr="00D26163">
        <w:tab/>
        <w:t>negative numbers</w:t>
      </w:r>
    </w:p>
    <w:p w:rsidR="00BB67AF" w:rsidRPr="00D26163" w:rsidRDefault="00BB67AF" w:rsidP="003E6750">
      <w:pPr>
        <w:tabs>
          <w:tab w:val="left" w:pos="2520"/>
        </w:tabs>
        <w:ind w:left="720"/>
      </w:pPr>
      <w:r w:rsidRPr="00D26163">
        <w:t>xxxx.0</w:t>
      </w:r>
      <w:r w:rsidRPr="00D26163">
        <w:tab/>
        <w:t>rounded amount</w:t>
      </w:r>
    </w:p>
    <w:p w:rsidR="00BB67AF" w:rsidRPr="00D26163" w:rsidRDefault="00BB67AF" w:rsidP="003E6750">
      <w:pPr>
        <w:tabs>
          <w:tab w:val="left" w:pos="2520"/>
        </w:tabs>
        <w:ind w:left="720"/>
      </w:pPr>
      <w:proofErr w:type="spellStart"/>
      <w:r w:rsidRPr="00D26163">
        <w:t>ytd</w:t>
      </w:r>
      <w:proofErr w:type="spellEnd"/>
      <w:r w:rsidRPr="00D26163">
        <w:tab/>
        <w:t>year to date</w:t>
      </w:r>
    </w:p>
    <w:p w:rsidR="00BB67AF" w:rsidRPr="00D26163" w:rsidRDefault="00BB67AF" w:rsidP="003E6750"/>
    <w:p w:rsidR="00BB67AF" w:rsidRPr="00D26163" w:rsidRDefault="00BB67AF" w:rsidP="003E6750"/>
    <w:p w:rsidR="00BB67AF" w:rsidRPr="00D26163" w:rsidRDefault="00BB67AF" w:rsidP="003E6750"/>
    <w:p w:rsidR="00BB67AF" w:rsidRPr="00D26163" w:rsidRDefault="00BB67AF" w:rsidP="003E6750"/>
    <w:p w:rsidR="00BB67AF" w:rsidRDefault="00BB67AF" w:rsidP="00C723F1">
      <w:pPr>
        <w:sectPr w:rsidR="00BB67AF" w:rsidSect="00FA2033">
          <w:footerReference w:type="even" r:id="rId57"/>
          <w:footerReference w:type="default" r:id="rId58"/>
          <w:type w:val="oddPage"/>
          <w:pgSz w:w="11906" w:h="16838" w:code="9"/>
          <w:pgMar w:top="1152" w:right="1152" w:bottom="1152" w:left="1152" w:header="720" w:footer="720" w:gutter="0"/>
          <w:cols w:space="708"/>
          <w:docGrid w:linePitch="360"/>
        </w:sectPr>
      </w:pPr>
      <w:r w:rsidRPr="00D26163">
        <w:br w:type="page"/>
      </w:r>
    </w:p>
    <w:p w:rsidR="00BB67AF" w:rsidRPr="00A9005B" w:rsidRDefault="00BB67AF" w:rsidP="00A9005B"/>
    <w:sectPr w:rsidR="00BB67AF" w:rsidRPr="00A9005B" w:rsidSect="00443963">
      <w:footerReference w:type="even" r:id="rId59"/>
      <w:footerReference w:type="default" r:id="rId60"/>
      <w:type w:val="continuous"/>
      <w:pgSz w:w="11906" w:h="16838" w:code="9"/>
      <w:pgMar w:top="1152" w:right="1152" w:bottom="1152" w:left="1152"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0C4" w:rsidRDefault="00A120C4" w:rsidP="003E6750">
      <w:pPr>
        <w:spacing w:after="0"/>
      </w:pPr>
      <w:r>
        <w:separator/>
      </w:r>
    </w:p>
  </w:endnote>
  <w:endnote w:type="continuationSeparator" w:id="0">
    <w:p w:rsidR="00A120C4" w:rsidRDefault="00A120C4" w:rsidP="003E67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antGarde Bk BT">
    <w:altName w:val="Arial"/>
    <w:charset w:val="00"/>
    <w:family w:val="swiss"/>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Default="00A120C4" w:rsidP="004A258D">
    <w:pPr>
      <w:pStyle w:val="Footer"/>
      <w:pBdr>
        <w:top w:val="none" w:sz="0" w:space="0"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Pr="00675356" w:rsidRDefault="00A120C4" w:rsidP="003E6750">
    <w:pPr>
      <w:pStyle w:val="Footer"/>
      <w:tabs>
        <w:tab w:val="clear" w:pos="7085"/>
        <w:tab w:val="center" w:pos="6480"/>
        <w:tab w:val="right" w:pos="9630"/>
      </w:tabs>
      <w:spacing w:after="0"/>
      <w:rPr>
        <w:rStyle w:val="PageNumber"/>
      </w:rPr>
    </w:pPr>
    <w:r>
      <w:t>2015-16 Mid-Year Financial Report</w:t>
    </w:r>
    <w:r>
      <w:tab/>
      <w:t>Chapter 2</w:t>
    </w:r>
    <w:r>
      <w:tab/>
    </w:r>
    <w:r>
      <w:rPr>
        <w:rStyle w:val="PageNumber"/>
      </w:rPr>
      <w:fldChar w:fldCharType="begin"/>
    </w:r>
    <w:r>
      <w:rPr>
        <w:rStyle w:val="PageNumber"/>
      </w:rPr>
      <w:instrText xml:space="preserve"> PAGE </w:instrText>
    </w:r>
    <w:r>
      <w:rPr>
        <w:rStyle w:val="PageNumber"/>
      </w:rPr>
      <w:fldChar w:fldCharType="separate"/>
    </w:r>
    <w:r w:rsidR="00387CE8">
      <w:rPr>
        <w:rStyle w:val="PageNumber"/>
        <w:noProof/>
      </w:rPr>
      <w:t>13</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Default="00A120C4" w:rsidP="003E6750">
    <w:pPr>
      <w:pStyle w:val="Footer"/>
      <w:spacing w:after="0"/>
      <w:rPr>
        <w:rFonts w:ascii="Arial" w:hAnsi="Arial" w:cs="Arial"/>
        <w:b/>
        <w:color w:val="3F3F3F"/>
        <w:sz w:val="20"/>
      </w:rPr>
    </w:pPr>
  </w:p>
  <w:p w:rsidR="00A120C4" w:rsidRDefault="00A120C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Pr="00C01852" w:rsidRDefault="00A120C4" w:rsidP="003E6750">
    <w:pPr>
      <w:pStyle w:val="Footer"/>
      <w:pBdr>
        <w:top w:val="none" w:sz="0" w:space="0" w:color="auto"/>
      </w:pBd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Pr="00675356" w:rsidRDefault="00A120C4" w:rsidP="003E6750">
    <w:pPr>
      <w:pStyle w:val="Footer"/>
      <w:pBdr>
        <w:top w:val="none" w:sz="0" w:space="0" w:color="auto"/>
      </w:pBdr>
      <w:tabs>
        <w:tab w:val="clear" w:pos="7085"/>
        <w:tab w:val="center" w:pos="6480"/>
        <w:tab w:val="right" w:pos="9630"/>
      </w:tabs>
      <w:spacing w:after="0"/>
      <w:rPr>
        <w:rStyle w:val="PageNumber"/>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Default="00A120C4" w:rsidP="00675356">
    <w:pPr>
      <w:pStyle w:val="Footer"/>
      <w:tabs>
        <w:tab w:val="clear" w:pos="7085"/>
        <w:tab w:val="center" w:pos="3150"/>
        <w:tab w:val="right" w:pos="9630"/>
      </w:tabs>
      <w:spacing w:after="0"/>
    </w:pPr>
    <w:r>
      <w:rPr>
        <w:rStyle w:val="PageNumber"/>
      </w:rPr>
      <w:fldChar w:fldCharType="begin"/>
    </w:r>
    <w:r>
      <w:rPr>
        <w:rStyle w:val="PageNumber"/>
      </w:rPr>
      <w:instrText xml:space="preserve"> PAGE </w:instrText>
    </w:r>
    <w:r>
      <w:rPr>
        <w:rStyle w:val="PageNumber"/>
      </w:rPr>
      <w:fldChar w:fldCharType="separate"/>
    </w:r>
    <w:r w:rsidR="00387CE8">
      <w:rPr>
        <w:rStyle w:val="PageNumber"/>
        <w:noProof/>
      </w:rPr>
      <w:t>26</w:t>
    </w:r>
    <w:r>
      <w:rPr>
        <w:rStyle w:val="PageNumber"/>
      </w:rPr>
      <w:fldChar w:fldCharType="end"/>
    </w:r>
    <w:r>
      <w:tab/>
      <w:t>Chapter 2</w:t>
    </w:r>
    <w:r>
      <w:tab/>
      <w:t>2015</w:t>
    </w:r>
    <w:r>
      <w:noBreakHyphen/>
      <w:t>16 Mid-Year Financial Report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Pr="00675356" w:rsidRDefault="00A120C4" w:rsidP="003E6750">
    <w:pPr>
      <w:pStyle w:val="Footer"/>
      <w:tabs>
        <w:tab w:val="clear" w:pos="7085"/>
        <w:tab w:val="center" w:pos="6480"/>
        <w:tab w:val="right" w:pos="9630"/>
      </w:tabs>
      <w:spacing w:after="0"/>
      <w:rPr>
        <w:rStyle w:val="PageNumber"/>
      </w:rPr>
    </w:pPr>
    <w:r>
      <w:t>2015</w:t>
    </w:r>
    <w:r>
      <w:noBreakHyphen/>
      <w:t>16 Mid</w:t>
    </w:r>
    <w:r>
      <w:noBreakHyphen/>
      <w:t>Year Financial Report</w:t>
    </w:r>
    <w:r>
      <w:tab/>
      <w:t>Chapter 2</w:t>
    </w:r>
    <w:r>
      <w:tab/>
    </w:r>
    <w:r>
      <w:rPr>
        <w:rStyle w:val="PageNumber"/>
      </w:rPr>
      <w:fldChar w:fldCharType="begin"/>
    </w:r>
    <w:r>
      <w:rPr>
        <w:rStyle w:val="PageNumber"/>
      </w:rPr>
      <w:instrText xml:space="preserve"> PAGE </w:instrText>
    </w:r>
    <w:r>
      <w:rPr>
        <w:rStyle w:val="PageNumber"/>
      </w:rPr>
      <w:fldChar w:fldCharType="separate"/>
    </w:r>
    <w:r w:rsidR="00387CE8">
      <w:rPr>
        <w:rStyle w:val="PageNumber"/>
        <w:noProof/>
      </w:rPr>
      <w:t>27</w:t>
    </w:r>
    <w:r>
      <w:rPr>
        <w:rStyle w:val="PageNumber"/>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Pr="0019025D" w:rsidRDefault="00A120C4" w:rsidP="003E6750">
    <w:pPr>
      <w:pStyle w:val="Footer"/>
      <w:pBdr>
        <w:top w:val="none" w:sz="0" w:space="0" w:color="auto"/>
      </w:pBdr>
    </w:pPr>
    <w:r>
      <w:rPr>
        <w:noProof/>
        <w:lang w:eastAsia="en-AU"/>
      </w:rPr>
      <mc:AlternateContent>
        <mc:Choice Requires="wps">
          <w:drawing>
            <wp:anchor distT="0" distB="0" distL="114300" distR="114300" simplePos="0" relativeHeight="251661312" behindDoc="0" locked="0" layoutInCell="0" allowOverlap="1" wp14:anchorId="16D58EAF" wp14:editId="19CF7EA2">
              <wp:simplePos x="0" y="0"/>
              <wp:positionH relativeFrom="page">
                <wp:posOffset>342265</wp:posOffset>
              </wp:positionH>
              <wp:positionV relativeFrom="page">
                <wp:posOffset>702310</wp:posOffset>
              </wp:positionV>
              <wp:extent cx="392400" cy="6192000"/>
              <wp:effectExtent l="0" t="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392400" cy="619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0C4" w:rsidRDefault="00A120C4" w:rsidP="003E6750">
                          <w:pPr>
                            <w:pStyle w:val="OddFooterLandscape"/>
                            <w:tabs>
                              <w:tab w:val="clear" w:pos="5947"/>
                              <w:tab w:val="center" w:pos="3119"/>
                            </w:tabs>
                          </w:pPr>
                          <w:r>
                            <w:fldChar w:fldCharType="begin"/>
                          </w:r>
                          <w:r>
                            <w:instrText xml:space="preserve"> PAGE  \* Arabic  \* MERGEFORMAT </w:instrText>
                          </w:r>
                          <w:r>
                            <w:fldChar w:fldCharType="separate"/>
                          </w:r>
                          <w:r w:rsidR="00387CE8">
                            <w:rPr>
                              <w:noProof/>
                            </w:rPr>
                            <w:t>28</w:t>
                          </w:r>
                          <w:r>
                            <w:fldChar w:fldCharType="end"/>
                          </w:r>
                          <w:r>
                            <w:tab/>
                            <w:t>Chapter 2</w:t>
                          </w:r>
                          <w:r>
                            <w:tab/>
                            <w:t>2015</w:t>
                          </w:r>
                          <w:r>
                            <w:noBreakHyphen/>
                            <w:t>16 Mid</w:t>
                          </w:r>
                          <w:r>
                            <w:noBreakHyphen/>
                          </w:r>
                          <w:r w:rsidRPr="00C01852">
                            <w:t>Year Financial Report</w:t>
                          </w:r>
                        </w:p>
                      </w:txbxContent>
                    </wps:txbx>
                    <wps:bodyPr rot="0" vert="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id="_x0000_s1029" style="position:absolute;margin-left:26.95pt;margin-top:55.3pt;width:30.9pt;height:48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" o:allowincell="f" filled="f" stroked="f">
              <v:textbox style="layout-flow:vertical">
                <w:txbxContent>
                  <w:p w:rsidR="00A120C4" w:rsidRDefault="00A120C4" w:rsidP="003E6750">
                    <w:pPr>
                      <w:pStyle w:val="OddFooterLandscape"/>
                      <w:tabs>
                        <w:tab w:val="clear" w:pos="5947"/>
                        <w:tab w:val="center" w:pos="3119"/>
                      </w:tabs>
                    </w:pPr>
                    <w:r>
                      <w:fldChar w:fldCharType="begin"/>
                    </w:r>
                    <w:r>
                      <w:instrText xml:space="preserve"> PAGE  \* Arabic  \* MERGEFORMAT </w:instrText>
                    </w:r>
                    <w:r>
                      <w:fldChar w:fldCharType="separate"/>
                    </w:r>
                    <w:r w:rsidR="00387CE8">
                      <w:rPr>
                        <w:noProof/>
                      </w:rPr>
                      <w:t>28</w:t>
                    </w:r>
                    <w:r>
                      <w:fldChar w:fldCharType="end"/>
                    </w:r>
                    <w:r>
                      <w:tab/>
                      <w:t>Chapter 2</w:t>
                    </w:r>
                    <w:r>
                      <w:tab/>
                      <w:t>2015</w:t>
                    </w:r>
                    <w:r>
                      <w:noBreakHyphen/>
                      <w:t>16 Mid</w:t>
                    </w:r>
                    <w:r>
                      <w:noBreakHyphen/>
                    </w:r>
                    <w:r w:rsidRPr="00C01852">
                      <w:t>Year Financial Report</w:t>
                    </w:r>
                  </w:p>
                </w:txbxContent>
              </v:textbox>
              <w10:wrap anchorx="page" anchory="page"/>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Pr="00675356" w:rsidRDefault="00A120C4" w:rsidP="003E6750">
    <w:pPr>
      <w:pStyle w:val="Footer"/>
      <w:pBdr>
        <w:top w:val="none" w:sz="0" w:space="0" w:color="auto"/>
      </w:pBdr>
      <w:tabs>
        <w:tab w:val="clear" w:pos="7085"/>
        <w:tab w:val="center" w:pos="6480"/>
        <w:tab w:val="right" w:pos="9630"/>
      </w:tabs>
      <w:spacing w:after="0"/>
      <w:rPr>
        <w:rStyle w:val="PageNumber"/>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Default="00A120C4" w:rsidP="00675356">
    <w:pPr>
      <w:pStyle w:val="Footer"/>
      <w:tabs>
        <w:tab w:val="clear" w:pos="7085"/>
        <w:tab w:val="center" w:pos="3150"/>
        <w:tab w:val="right" w:pos="9630"/>
      </w:tabs>
      <w:spacing w:after="0"/>
    </w:pPr>
    <w:r>
      <w:rPr>
        <w:rStyle w:val="PageNumber"/>
      </w:rPr>
      <w:fldChar w:fldCharType="begin"/>
    </w:r>
    <w:r>
      <w:rPr>
        <w:rStyle w:val="PageNumber"/>
      </w:rPr>
      <w:instrText xml:space="preserve"> PAGE </w:instrText>
    </w:r>
    <w:r>
      <w:rPr>
        <w:rStyle w:val="PageNumber"/>
      </w:rPr>
      <w:fldChar w:fldCharType="separate"/>
    </w:r>
    <w:r w:rsidR="00387CE8">
      <w:rPr>
        <w:rStyle w:val="PageNumber"/>
        <w:noProof/>
      </w:rPr>
      <w:t>40</w:t>
    </w:r>
    <w:r>
      <w:rPr>
        <w:rStyle w:val="PageNumber"/>
      </w:rPr>
      <w:fldChar w:fldCharType="end"/>
    </w:r>
    <w:r>
      <w:tab/>
      <w:t>Chapter 2</w:t>
    </w:r>
    <w:r>
      <w:tab/>
      <w:t>2015</w:t>
    </w:r>
    <w:r>
      <w:noBreakHyphen/>
      <w:t>16 Mid-Year Financial Report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Pr="00675356" w:rsidRDefault="00A120C4" w:rsidP="003E6750">
    <w:pPr>
      <w:pStyle w:val="Footer"/>
      <w:tabs>
        <w:tab w:val="clear" w:pos="7085"/>
        <w:tab w:val="center" w:pos="6480"/>
        <w:tab w:val="right" w:pos="9630"/>
      </w:tabs>
      <w:spacing w:after="0"/>
      <w:rPr>
        <w:rStyle w:val="PageNumber"/>
      </w:rPr>
    </w:pPr>
    <w:r>
      <w:t>2015</w:t>
    </w:r>
    <w:r>
      <w:noBreakHyphen/>
      <w:t>16 Mid</w:t>
    </w:r>
    <w:r>
      <w:noBreakHyphen/>
      <w:t>Year Financial Report</w:t>
    </w:r>
    <w:r>
      <w:tab/>
      <w:t>Chapter 2</w:t>
    </w:r>
    <w:r>
      <w:tab/>
    </w:r>
    <w:r>
      <w:rPr>
        <w:rStyle w:val="PageNumber"/>
      </w:rPr>
      <w:fldChar w:fldCharType="begin"/>
    </w:r>
    <w:r>
      <w:rPr>
        <w:rStyle w:val="PageNumber"/>
      </w:rPr>
      <w:instrText xml:space="preserve"> PAGE </w:instrText>
    </w:r>
    <w:r>
      <w:rPr>
        <w:rStyle w:val="PageNumber"/>
      </w:rPr>
      <w:fldChar w:fldCharType="separate"/>
    </w:r>
    <w:r w:rsidR="00387CE8">
      <w:rPr>
        <w:rStyle w:val="PageNumber"/>
        <w:noProof/>
      </w:rPr>
      <w:t>39</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Default="00A120C4" w:rsidP="004A258D">
    <w:pPr>
      <w:pStyle w:val="Footer"/>
      <w:pBdr>
        <w:top w:val="none" w:sz="0" w:space="0" w:color="auto"/>
      </w:pBd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Default="00A120C4" w:rsidP="003E6750">
    <w:pPr>
      <w:pStyle w:val="Footer"/>
      <w:pBdr>
        <w:top w:val="none" w:sz="0" w:space="0" w:color="auto"/>
      </w:pBdr>
      <w:tabs>
        <w:tab w:val="clear" w:pos="7085"/>
        <w:tab w:val="center" w:pos="3150"/>
        <w:tab w:val="right" w:pos="9630"/>
      </w:tabs>
      <w:spacing w:after="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Pr="00675356" w:rsidRDefault="00A120C4" w:rsidP="003E6750">
    <w:pPr>
      <w:pStyle w:val="Footer"/>
      <w:pBdr>
        <w:top w:val="none" w:sz="0" w:space="0" w:color="auto"/>
      </w:pBdr>
      <w:tabs>
        <w:tab w:val="clear" w:pos="7085"/>
        <w:tab w:val="center" w:pos="6480"/>
        <w:tab w:val="right" w:pos="9630"/>
      </w:tabs>
      <w:spacing w:after="0"/>
      <w:rPr>
        <w:rStyle w:val="PageNumber"/>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Default="00A120C4" w:rsidP="00675356">
    <w:pPr>
      <w:pStyle w:val="Footer"/>
      <w:tabs>
        <w:tab w:val="clear" w:pos="7085"/>
        <w:tab w:val="center" w:pos="3150"/>
        <w:tab w:val="right" w:pos="9630"/>
      </w:tabs>
      <w:spacing w:after="0"/>
    </w:pPr>
    <w:r>
      <w:rPr>
        <w:rStyle w:val="PageNumber"/>
      </w:rPr>
      <w:fldChar w:fldCharType="begin"/>
    </w:r>
    <w:r>
      <w:rPr>
        <w:rStyle w:val="PageNumber"/>
      </w:rPr>
      <w:instrText xml:space="preserve"> PAGE </w:instrText>
    </w:r>
    <w:r>
      <w:rPr>
        <w:rStyle w:val="PageNumber"/>
      </w:rPr>
      <w:fldChar w:fldCharType="separate"/>
    </w:r>
    <w:r w:rsidR="00387CE8">
      <w:rPr>
        <w:rStyle w:val="PageNumber"/>
        <w:noProof/>
      </w:rPr>
      <w:t>56</w:t>
    </w:r>
    <w:r>
      <w:rPr>
        <w:rStyle w:val="PageNumber"/>
      </w:rPr>
      <w:fldChar w:fldCharType="end"/>
    </w:r>
    <w:r>
      <w:tab/>
      <w:t>Chapter 2</w:t>
    </w:r>
    <w:r>
      <w:tab/>
      <w:t>2015</w:t>
    </w:r>
    <w:r>
      <w:noBreakHyphen/>
      <w:t>16 Mid-Year Financial Report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Pr="00675356" w:rsidRDefault="00A120C4" w:rsidP="003E6750">
    <w:pPr>
      <w:pStyle w:val="Footer"/>
      <w:tabs>
        <w:tab w:val="clear" w:pos="7085"/>
        <w:tab w:val="center" w:pos="6480"/>
        <w:tab w:val="right" w:pos="9630"/>
      </w:tabs>
      <w:spacing w:after="0"/>
      <w:rPr>
        <w:rStyle w:val="PageNumber"/>
      </w:rPr>
    </w:pPr>
    <w:r>
      <w:t>2015</w:t>
    </w:r>
    <w:r>
      <w:noBreakHyphen/>
      <w:t>16 Mid</w:t>
    </w:r>
    <w:r>
      <w:noBreakHyphen/>
      <w:t>Year Financial Report</w:t>
    </w:r>
    <w:r>
      <w:tab/>
      <w:t>Chapter 2</w:t>
    </w:r>
    <w:r>
      <w:tab/>
    </w:r>
    <w:r>
      <w:rPr>
        <w:rStyle w:val="PageNumber"/>
      </w:rPr>
      <w:fldChar w:fldCharType="begin"/>
    </w:r>
    <w:r>
      <w:rPr>
        <w:rStyle w:val="PageNumber"/>
      </w:rPr>
      <w:instrText xml:space="preserve"> PAGE </w:instrText>
    </w:r>
    <w:r>
      <w:rPr>
        <w:rStyle w:val="PageNumber"/>
      </w:rPr>
      <w:fldChar w:fldCharType="separate"/>
    </w:r>
    <w:r w:rsidR="00387CE8">
      <w:rPr>
        <w:rStyle w:val="PageNumber"/>
        <w:noProof/>
      </w:rPr>
      <w:t>55</w:t>
    </w:r>
    <w:r>
      <w:rPr>
        <w:rStyle w:val="PageNumber"/>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Default="00A120C4" w:rsidP="00675356">
    <w:pPr>
      <w:pStyle w:val="Footer"/>
      <w:tabs>
        <w:tab w:val="clear" w:pos="7085"/>
        <w:tab w:val="center" w:pos="3150"/>
        <w:tab w:val="right" w:pos="9630"/>
      </w:tabs>
      <w:spacing w:after="0"/>
    </w:pPr>
    <w:r>
      <w:rPr>
        <w:rStyle w:val="PageNumber"/>
      </w:rPr>
      <w:fldChar w:fldCharType="begin"/>
    </w:r>
    <w:r>
      <w:rPr>
        <w:rStyle w:val="PageNumber"/>
      </w:rPr>
      <w:instrText xml:space="preserve"> PAGE </w:instrText>
    </w:r>
    <w:r>
      <w:rPr>
        <w:rStyle w:val="PageNumber"/>
      </w:rPr>
      <w:fldChar w:fldCharType="separate"/>
    </w:r>
    <w:r w:rsidR="00387CE8">
      <w:rPr>
        <w:rStyle w:val="PageNumber"/>
        <w:noProof/>
      </w:rPr>
      <w:t>60</w:t>
    </w:r>
    <w:r>
      <w:rPr>
        <w:rStyle w:val="PageNumber"/>
      </w:rPr>
      <w:fldChar w:fldCharType="end"/>
    </w:r>
    <w:r>
      <w:tab/>
      <w:t>Appendix A</w:t>
    </w:r>
    <w:r>
      <w:tab/>
      <w:t>2015</w:t>
    </w:r>
    <w:r>
      <w:noBreakHyphen/>
      <w:t>16 Mid-Year Financial Report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Pr="00675356" w:rsidRDefault="00A120C4" w:rsidP="003E6750">
    <w:pPr>
      <w:pStyle w:val="Footer"/>
      <w:tabs>
        <w:tab w:val="clear" w:pos="7085"/>
        <w:tab w:val="center" w:pos="6480"/>
        <w:tab w:val="right" w:pos="9630"/>
      </w:tabs>
      <w:spacing w:after="0"/>
      <w:rPr>
        <w:rStyle w:val="PageNumber"/>
      </w:rPr>
    </w:pPr>
    <w:r>
      <w:t>2015</w:t>
    </w:r>
    <w:r>
      <w:noBreakHyphen/>
      <w:t>16 Mid</w:t>
    </w:r>
    <w:r>
      <w:noBreakHyphen/>
      <w:t>Year Financial Report</w:t>
    </w:r>
    <w:r>
      <w:tab/>
      <w:t>Appendix A</w:t>
    </w:r>
    <w:r>
      <w:tab/>
    </w:r>
    <w:r>
      <w:rPr>
        <w:rStyle w:val="PageNumber"/>
      </w:rPr>
      <w:fldChar w:fldCharType="begin"/>
    </w:r>
    <w:r>
      <w:rPr>
        <w:rStyle w:val="PageNumber"/>
      </w:rPr>
      <w:instrText xml:space="preserve"> PAGE </w:instrText>
    </w:r>
    <w:r>
      <w:rPr>
        <w:rStyle w:val="PageNumber"/>
      </w:rPr>
      <w:fldChar w:fldCharType="separate"/>
    </w:r>
    <w:r w:rsidR="00387CE8">
      <w:rPr>
        <w:rStyle w:val="PageNumber"/>
        <w:noProof/>
      </w:rPr>
      <w:t>59</w:t>
    </w:r>
    <w:r>
      <w:rPr>
        <w:rStyle w:val="PageNumber"/>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Default="00A120C4" w:rsidP="003E6750">
    <w:pPr>
      <w:pStyle w:val="Footer"/>
      <w:spacing w:after="0"/>
      <w:rPr>
        <w:rFonts w:ascii="Arial" w:hAnsi="Arial" w:cs="Arial"/>
        <w:b/>
        <w:color w:val="3F3F3F"/>
        <w:sz w:val="20"/>
      </w:rPr>
    </w:pPr>
  </w:p>
  <w:p w:rsidR="00A120C4" w:rsidRDefault="00A120C4">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Default="00A120C4" w:rsidP="00675356">
    <w:pPr>
      <w:pStyle w:val="Footer"/>
      <w:tabs>
        <w:tab w:val="clear" w:pos="7085"/>
        <w:tab w:val="center" w:pos="3150"/>
        <w:tab w:val="right" w:pos="9630"/>
      </w:tabs>
      <w:spacing w:after="0"/>
    </w:pPr>
    <w:r>
      <w:rPr>
        <w:rStyle w:val="PageNumber"/>
      </w:rPr>
      <w:fldChar w:fldCharType="begin"/>
    </w:r>
    <w:r>
      <w:rPr>
        <w:rStyle w:val="PageNumber"/>
      </w:rPr>
      <w:instrText xml:space="preserve"> PAGE </w:instrText>
    </w:r>
    <w:r>
      <w:rPr>
        <w:rStyle w:val="PageNumber"/>
      </w:rPr>
      <w:fldChar w:fldCharType="separate"/>
    </w:r>
    <w:r w:rsidR="00387CE8">
      <w:rPr>
        <w:rStyle w:val="PageNumber"/>
        <w:noProof/>
      </w:rPr>
      <w:t>62</w:t>
    </w:r>
    <w:r>
      <w:rPr>
        <w:rStyle w:val="PageNumber"/>
      </w:rPr>
      <w:fldChar w:fldCharType="end"/>
    </w:r>
    <w:r>
      <w:tab/>
      <w:t>Appendix B</w:t>
    </w:r>
    <w:r>
      <w:tab/>
      <w:t>2015</w:t>
    </w:r>
    <w:r>
      <w:noBreakHyphen/>
      <w:t>16 Mid-Year Financial Report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Pr="00675356" w:rsidRDefault="00A120C4" w:rsidP="003E6750">
    <w:pPr>
      <w:pStyle w:val="Footer"/>
      <w:tabs>
        <w:tab w:val="clear" w:pos="7085"/>
        <w:tab w:val="center" w:pos="6480"/>
        <w:tab w:val="right" w:pos="9630"/>
      </w:tabs>
      <w:spacing w:after="0"/>
      <w:rPr>
        <w:rStyle w:val="PageNumber"/>
      </w:rPr>
    </w:pPr>
    <w:r>
      <w:t>2015</w:t>
    </w:r>
    <w:r>
      <w:noBreakHyphen/>
      <w:t>16 Mid</w:t>
    </w:r>
    <w:r>
      <w:noBreakHyphen/>
      <w:t>Year Financial Report</w:t>
    </w:r>
    <w:r>
      <w:tab/>
      <w:t>Appendix B</w:t>
    </w:r>
    <w:r>
      <w:tab/>
    </w:r>
    <w:r>
      <w:rPr>
        <w:rStyle w:val="PageNumber"/>
      </w:rPr>
      <w:fldChar w:fldCharType="begin"/>
    </w:r>
    <w:r>
      <w:rPr>
        <w:rStyle w:val="PageNumber"/>
      </w:rPr>
      <w:instrText xml:space="preserve"> PAGE </w:instrText>
    </w:r>
    <w:r>
      <w:rPr>
        <w:rStyle w:val="PageNumber"/>
      </w:rPr>
      <w:fldChar w:fldCharType="separate"/>
    </w:r>
    <w:r w:rsidR="00387CE8">
      <w:rPr>
        <w:rStyle w:val="PageNumber"/>
        <w:noProof/>
      </w:rPr>
      <w:t>61</w:t>
    </w:r>
    <w:r>
      <w:rPr>
        <w:rStyle w:val="PageNumber"/>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Default="00A120C4" w:rsidP="00675356">
    <w:pPr>
      <w:pStyle w:val="Footer"/>
      <w:tabs>
        <w:tab w:val="clear" w:pos="7085"/>
        <w:tab w:val="center" w:pos="3150"/>
        <w:tab w:val="right" w:pos="9630"/>
      </w:tabs>
      <w:spacing w:after="0"/>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r>
      <w:tab/>
      <w:t>Style conventions</w:t>
    </w:r>
    <w:r>
      <w:tab/>
      <w:t>2015</w:t>
    </w:r>
    <w:r>
      <w:noBreakHyphen/>
      <w:t>16 Mid-</w:t>
    </w:r>
    <w:r w:rsidRPr="00284C82">
      <w:t>Year Financial Report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014" w:rsidRDefault="00842014">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Default="00A120C4" w:rsidP="00675356">
    <w:pPr>
      <w:pStyle w:val="Footer"/>
      <w:tabs>
        <w:tab w:val="clear" w:pos="7085"/>
        <w:tab w:val="center" w:pos="6480"/>
        <w:tab w:val="right" w:pos="9630"/>
      </w:tabs>
      <w:spacing w:after="0"/>
      <w:rPr>
        <w:rStyle w:val="PageNumber"/>
      </w:rPr>
    </w:pPr>
    <w:r>
      <w:t>2015</w:t>
    </w:r>
    <w:r>
      <w:noBreakHyphen/>
      <w:t>16 Mid</w:t>
    </w:r>
    <w:r>
      <w:noBreakHyphen/>
      <w:t>Year Financial Report</w:t>
    </w:r>
    <w:r>
      <w:tab/>
      <w:t>Style conventions</w:t>
    </w:r>
    <w:r>
      <w:tab/>
    </w:r>
    <w:r>
      <w:rPr>
        <w:rStyle w:val="PageNumber"/>
      </w:rPr>
      <w:fldChar w:fldCharType="begin"/>
    </w:r>
    <w:r>
      <w:rPr>
        <w:rStyle w:val="PageNumber"/>
      </w:rPr>
      <w:instrText xml:space="preserve"> PAGE </w:instrText>
    </w:r>
    <w:r>
      <w:rPr>
        <w:rStyle w:val="PageNumber"/>
      </w:rPr>
      <w:fldChar w:fldCharType="separate"/>
    </w:r>
    <w:r w:rsidR="00387CE8">
      <w:rPr>
        <w:rStyle w:val="PageNumber"/>
        <w:noProof/>
      </w:rPr>
      <w:t>63</w:t>
    </w:r>
    <w:r>
      <w:rPr>
        <w:rStyle w:val="PageNumber"/>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Default="00A120C4" w:rsidP="00675356">
    <w:pPr>
      <w:pStyle w:val="Footer"/>
      <w:tabs>
        <w:tab w:val="clear" w:pos="7085"/>
        <w:tab w:val="center" w:pos="3150"/>
        <w:tab w:val="right" w:pos="9630"/>
      </w:tabs>
      <w:spacing w:after="0"/>
    </w:pPr>
    <w:r>
      <w:rPr>
        <w:rStyle w:val="PageNumber"/>
      </w:rPr>
      <w:fldChar w:fldCharType="begin"/>
    </w:r>
    <w:r>
      <w:rPr>
        <w:rStyle w:val="PageNumber"/>
      </w:rPr>
      <w:instrText xml:space="preserve"> PAGE </w:instrText>
    </w:r>
    <w:r>
      <w:rPr>
        <w:rStyle w:val="PageNumber"/>
      </w:rPr>
      <w:fldChar w:fldCharType="separate"/>
    </w:r>
    <w:r w:rsidR="00387CE8">
      <w:rPr>
        <w:rStyle w:val="PageNumber"/>
        <w:noProof/>
      </w:rPr>
      <w:t>64</w:t>
    </w:r>
    <w:r>
      <w:rPr>
        <w:rStyle w:val="PageNumber"/>
      </w:rPr>
      <w:fldChar w:fldCharType="end"/>
    </w:r>
    <w:r>
      <w:tab/>
      <w:t>Style conventions</w:t>
    </w:r>
    <w:r>
      <w:tab/>
      <w:t>2015</w:t>
    </w:r>
    <w:r>
      <w:noBreakHyphen/>
      <w:t>16 Mid-</w:t>
    </w:r>
    <w:r w:rsidRPr="00284C82">
      <w:t>Year Financial Report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Default="00A120C4" w:rsidP="00675356">
    <w:pPr>
      <w:pStyle w:val="Footer"/>
      <w:tabs>
        <w:tab w:val="clear" w:pos="7085"/>
        <w:tab w:val="center" w:pos="6480"/>
        <w:tab w:val="right" w:pos="9630"/>
      </w:tabs>
      <w:spacing w:after="0"/>
      <w:rPr>
        <w:rStyle w:val="PageNumber"/>
      </w:rPr>
    </w:pPr>
    <w:r>
      <w:t>2015</w:t>
    </w:r>
    <w:r>
      <w:noBreakHyphen/>
      <w:t>16 Mid</w:t>
    </w:r>
    <w:r>
      <w:noBreakHyphen/>
      <w:t>Year Financial Report</w:t>
    </w:r>
    <w:r>
      <w:tab/>
      <w:t>Style conventions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Pr="00A22BE1" w:rsidRDefault="00A120C4" w:rsidP="00E233B0">
    <w:pPr>
      <w:pStyle w:val="Footer"/>
      <w:pBdr>
        <w:top w:val="none" w:sz="0" w:space="0" w:color="auto"/>
      </w:pBdr>
      <w:spacing w:after="0"/>
    </w:pPr>
    <w:r>
      <w:fldChar w:fldCharType="begin"/>
    </w:r>
    <w:r>
      <w:instrText xml:space="preserve"> PAGE  \* roman  \* MERGEFORMAT </w:instrText>
    </w:r>
    <w:r>
      <w:fldChar w:fldCharType="separate"/>
    </w:r>
    <w:r w:rsidR="00387CE8">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Pr="00A22BE1" w:rsidRDefault="00A120C4" w:rsidP="00E233B0">
    <w:pPr>
      <w:pStyle w:val="Footer"/>
      <w:pBdr>
        <w:top w:val="none" w:sz="0" w:space="0" w:color="auto"/>
      </w:pBdr>
      <w:spacing w:after="0"/>
      <w:jc w:val="right"/>
      <w:rPr>
        <w:rStyle w:val="PageNumber"/>
      </w:rPr>
    </w:pPr>
    <w:r>
      <w:rPr>
        <w:rStyle w:val="PageNumber"/>
      </w:rPr>
      <w:fldChar w:fldCharType="begin"/>
    </w:r>
    <w:r>
      <w:rPr>
        <w:rStyle w:val="PageNumber"/>
      </w:rPr>
      <w:instrText xml:space="preserve"> PAGE  \* roman  \* MERGEFORMAT </w:instrText>
    </w:r>
    <w:r>
      <w:rPr>
        <w:rStyle w:val="PageNumber"/>
      </w:rPr>
      <w:fldChar w:fldCharType="separate"/>
    </w:r>
    <w:r w:rsidR="00387CE8">
      <w:rPr>
        <w:rStyle w:val="PageNumber"/>
        <w:noProof/>
      </w:rPr>
      <w:t>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Default="00A120C4" w:rsidP="00675356">
    <w:pPr>
      <w:pStyle w:val="Footer"/>
      <w:tabs>
        <w:tab w:val="clear" w:pos="7085"/>
        <w:tab w:val="center" w:pos="3150"/>
        <w:tab w:val="right" w:pos="9630"/>
      </w:tabs>
      <w:spacing w:after="0"/>
    </w:pPr>
    <w:r>
      <w:rPr>
        <w:rStyle w:val="PageNumber"/>
      </w:rPr>
      <w:fldChar w:fldCharType="begin"/>
    </w:r>
    <w:r>
      <w:rPr>
        <w:rStyle w:val="PageNumber"/>
      </w:rPr>
      <w:instrText xml:space="preserve"> PAGE </w:instrText>
    </w:r>
    <w:r>
      <w:rPr>
        <w:rStyle w:val="PageNumber"/>
      </w:rPr>
      <w:fldChar w:fldCharType="separate"/>
    </w:r>
    <w:r w:rsidR="00387CE8">
      <w:rPr>
        <w:rStyle w:val="PageNumber"/>
        <w:noProof/>
      </w:rPr>
      <w:t>10</w:t>
    </w:r>
    <w:r>
      <w:rPr>
        <w:rStyle w:val="PageNumber"/>
      </w:rPr>
      <w:fldChar w:fldCharType="end"/>
    </w:r>
    <w:r>
      <w:tab/>
      <w:t>Chapter 1</w:t>
    </w:r>
    <w:r>
      <w:tab/>
      <w:t>2015-16 Mid-Year Financial Report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Pr="00675356" w:rsidRDefault="00A120C4" w:rsidP="003E6750">
    <w:pPr>
      <w:pStyle w:val="Footer"/>
      <w:tabs>
        <w:tab w:val="clear" w:pos="7085"/>
        <w:tab w:val="center" w:pos="6480"/>
        <w:tab w:val="right" w:pos="9630"/>
      </w:tabs>
      <w:spacing w:after="0"/>
      <w:rPr>
        <w:rStyle w:val="PageNumber"/>
      </w:rPr>
    </w:pPr>
    <w:r>
      <w:t>2015</w:t>
    </w:r>
    <w:r>
      <w:noBreakHyphen/>
      <w:t>16 Mid-Year Financial Report</w:t>
    </w:r>
    <w:r>
      <w:tab/>
      <w:t>Chapter 1</w:t>
    </w:r>
    <w:r>
      <w:tab/>
    </w:r>
    <w:r>
      <w:rPr>
        <w:rStyle w:val="PageNumber"/>
      </w:rPr>
      <w:fldChar w:fldCharType="begin"/>
    </w:r>
    <w:r>
      <w:rPr>
        <w:rStyle w:val="PageNumber"/>
      </w:rPr>
      <w:instrText xml:space="preserve"> PAGE </w:instrText>
    </w:r>
    <w:r>
      <w:rPr>
        <w:rStyle w:val="PageNumber"/>
      </w:rPr>
      <w:fldChar w:fldCharType="separate"/>
    </w:r>
    <w:r w:rsidR="00387CE8">
      <w:rPr>
        <w:rStyle w:val="PageNumber"/>
        <w:noProof/>
      </w:rPr>
      <w:t>9</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Default="00A120C4" w:rsidP="003E6750">
    <w:pPr>
      <w:pStyle w:val="Footer"/>
      <w:spacing w:after="0"/>
      <w:rPr>
        <w:rFonts w:ascii="Arial" w:hAnsi="Arial" w:cs="Arial"/>
        <w:b/>
        <w:color w:val="3F3F3F"/>
        <w:sz w:val="20"/>
      </w:rPr>
    </w:pPr>
    <w:bookmarkStart w:id="7" w:name="aliashNonProtectiveMarki1FooterFirstPage"/>
  </w:p>
  <w:bookmarkEnd w:id="7"/>
  <w:p w:rsidR="00A120C4" w:rsidRDefault="00A120C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Default="00A120C4" w:rsidP="003E6750">
    <w:pPr>
      <w:pStyle w:val="Footer"/>
      <w:tabs>
        <w:tab w:val="clear" w:pos="7085"/>
        <w:tab w:val="center" w:pos="3150"/>
        <w:tab w:val="right" w:pos="9630"/>
      </w:tabs>
      <w:spacing w:after="0"/>
    </w:pPr>
    <w:r>
      <w:rPr>
        <w:rStyle w:val="PageNumber"/>
      </w:rPr>
      <w:fldChar w:fldCharType="begin"/>
    </w:r>
    <w:r>
      <w:rPr>
        <w:rStyle w:val="PageNumber"/>
      </w:rPr>
      <w:instrText xml:space="preserve"> PAGE </w:instrText>
    </w:r>
    <w:r>
      <w:rPr>
        <w:rStyle w:val="PageNumber"/>
      </w:rPr>
      <w:fldChar w:fldCharType="separate"/>
    </w:r>
    <w:r w:rsidR="00387CE8">
      <w:rPr>
        <w:rStyle w:val="PageNumber"/>
        <w:noProof/>
      </w:rPr>
      <w:t>12</w:t>
    </w:r>
    <w:r>
      <w:rPr>
        <w:rStyle w:val="PageNumber"/>
      </w:rPr>
      <w:fldChar w:fldCharType="end"/>
    </w:r>
    <w:r>
      <w:tab/>
      <w:t>Chapter 2</w:t>
    </w:r>
    <w:r>
      <w:tab/>
      <w:t>2015</w:t>
    </w:r>
    <w:r>
      <w:noBreakHyphen/>
      <w:t>16 Mid-Year Financial Report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0C4" w:rsidRDefault="00A120C4" w:rsidP="003E6750">
      <w:pPr>
        <w:spacing w:after="0"/>
      </w:pPr>
      <w:r>
        <w:separator/>
      </w:r>
    </w:p>
  </w:footnote>
  <w:footnote w:type="continuationSeparator" w:id="0">
    <w:p w:rsidR="00A120C4" w:rsidRDefault="00A120C4" w:rsidP="003E675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014" w:rsidRDefault="0084201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Default="00A120C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Default="00A120C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Default="00A120C4">
    <w:pPr>
      <w:pStyle w:val="Header"/>
    </w:pPr>
    <w:r>
      <w:rPr>
        <w:noProof/>
        <w:lang w:eastAsia="en-AU"/>
      </w:rPr>
      <mc:AlternateContent>
        <mc:Choice Requires="wps">
          <w:drawing>
            <wp:anchor distT="0" distB="0" distL="114300" distR="114300" simplePos="0" relativeHeight="251662336" behindDoc="0" locked="0" layoutInCell="0" allowOverlap="1" wp14:anchorId="1D64CEB5" wp14:editId="3F5ABB70">
              <wp:simplePos x="0" y="0"/>
              <wp:positionH relativeFrom="page">
                <wp:posOffset>342265</wp:posOffset>
              </wp:positionH>
              <wp:positionV relativeFrom="page">
                <wp:posOffset>702310</wp:posOffset>
              </wp:positionV>
              <wp:extent cx="392400" cy="61920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392400" cy="619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0C4" w:rsidRDefault="00A120C4" w:rsidP="003E6750">
                          <w:pPr>
                            <w:pStyle w:val="OddFooterLandscape"/>
                            <w:tabs>
                              <w:tab w:val="clear" w:pos="5947"/>
                              <w:tab w:val="center" w:pos="6492"/>
                            </w:tabs>
                          </w:pPr>
                          <w:r>
                            <w:t>2015</w:t>
                          </w:r>
                          <w:r>
                            <w:noBreakHyphen/>
                          </w:r>
                          <w:r w:rsidRPr="001E48B1">
                            <w:t>16 Mid</w:t>
                          </w:r>
                          <w:r>
                            <w:noBreakHyphen/>
                          </w:r>
                          <w:r w:rsidRPr="001E48B1">
                            <w:t>Year Financial Report</w:t>
                          </w:r>
                          <w:r>
                            <w:tab/>
                            <w:t>Chapter 2</w:t>
                          </w:r>
                          <w:r>
                            <w:tab/>
                          </w:r>
                          <w:r>
                            <w:fldChar w:fldCharType="begin"/>
                          </w:r>
                          <w:r>
                            <w:instrText xml:space="preserve"> PAGE  \* Arabic  \* MERGEFORMAT </w:instrText>
                          </w:r>
                          <w:r>
                            <w:fldChar w:fldCharType="separate"/>
                          </w:r>
                          <w:r w:rsidR="00387CE8">
                            <w:rPr>
                              <w:noProof/>
                            </w:rPr>
                            <w:t>29</w:t>
                          </w:r>
                          <w:r>
                            <w:fldChar w:fldCharType="end"/>
                          </w:r>
                        </w:p>
                      </w:txbxContent>
                    </wps:txbx>
                    <wps:bodyPr rot="0" vert="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id="Rectangle 2" o:spid="_x0000_s1028" style="position:absolute;margin-left:26.95pt;margin-top:55.3pt;width:30.9pt;height:487.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" o:allowincell="f" filled="f" stroked="f">
              <v:textbox style="layout-flow:vertical">
                <w:txbxContent>
                  <w:p w:rsidR="00A120C4" w:rsidRDefault="00A120C4" w:rsidP="003E6750">
                    <w:pPr>
                      <w:pStyle w:val="OddFooterLandscape"/>
                      <w:tabs>
                        <w:tab w:val="clear" w:pos="5947"/>
                        <w:tab w:val="center" w:pos="6492"/>
                      </w:tabs>
                    </w:pPr>
                    <w:r>
                      <w:t>2015</w:t>
                    </w:r>
                    <w:r>
                      <w:noBreakHyphen/>
                    </w:r>
                    <w:r w:rsidRPr="001E48B1">
                      <w:t>16 Mid</w:t>
                    </w:r>
                    <w:r>
                      <w:noBreakHyphen/>
                    </w:r>
                    <w:r w:rsidRPr="001E48B1">
                      <w:t>Year Financial Report</w:t>
                    </w:r>
                    <w:r>
                      <w:tab/>
                      <w:t>Chapter 2</w:t>
                    </w:r>
                    <w:r>
                      <w:tab/>
                    </w:r>
                    <w:r>
                      <w:fldChar w:fldCharType="begin"/>
                    </w:r>
                    <w:r>
                      <w:instrText xml:space="preserve"> PAGE  \* Arabic  \* MERGEFORMAT </w:instrText>
                    </w:r>
                    <w:r>
                      <w:fldChar w:fldCharType="separate"/>
                    </w:r>
                    <w:r w:rsidR="00387CE8">
                      <w:rPr>
                        <w:noProof/>
                      </w:rPr>
                      <w:t>29</w:t>
                    </w:r>
                    <w:r>
                      <w:fldChar w:fldCharType="end"/>
                    </w:r>
                  </w:p>
                </w:txbxContent>
              </v:textbox>
              <w10:wrap anchorx="page" anchory="page"/>
            </v:rect>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Default="00A120C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Default="00A120C4">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Default="00A120C4">
    <w:pPr>
      <w:pStyle w:val="Header"/>
    </w:pPr>
    <w:r>
      <w:rPr>
        <w:noProof/>
        <w:lang w:eastAsia="en-AU"/>
      </w:rPr>
      <mc:AlternateContent>
        <mc:Choice Requires="wps">
          <w:drawing>
            <wp:anchor distT="0" distB="0" distL="114300" distR="114300" simplePos="0" relativeHeight="251664384" behindDoc="0" locked="0" layoutInCell="0" allowOverlap="1" wp14:anchorId="51CCD5D2" wp14:editId="3A33C915">
              <wp:simplePos x="0" y="0"/>
              <wp:positionH relativeFrom="page">
                <wp:posOffset>342265</wp:posOffset>
              </wp:positionH>
              <wp:positionV relativeFrom="page">
                <wp:posOffset>702310</wp:posOffset>
              </wp:positionV>
              <wp:extent cx="392400" cy="6192000"/>
              <wp:effectExtent l="0" t="0" r="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392400" cy="619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0C4" w:rsidRDefault="00A120C4" w:rsidP="003E6750">
                          <w:pPr>
                            <w:pStyle w:val="OddFooterLandscape"/>
                            <w:tabs>
                              <w:tab w:val="clear" w:pos="5947"/>
                              <w:tab w:val="center" w:pos="3119"/>
                            </w:tabs>
                          </w:pPr>
                          <w:r>
                            <w:fldChar w:fldCharType="begin"/>
                          </w:r>
                          <w:r>
                            <w:instrText xml:space="preserve"> PAGE  \* Arabic  \* MERGEFORMAT </w:instrText>
                          </w:r>
                          <w:r>
                            <w:fldChar w:fldCharType="separate"/>
                          </w:r>
                          <w:r w:rsidR="00387CE8">
                            <w:rPr>
                              <w:noProof/>
                            </w:rPr>
                            <w:t>42</w:t>
                          </w:r>
                          <w:r>
                            <w:fldChar w:fldCharType="end"/>
                          </w:r>
                          <w:r>
                            <w:tab/>
                            <w:t>Chapter 2</w:t>
                          </w:r>
                          <w:r>
                            <w:tab/>
                            <w:t>2015</w:t>
                          </w:r>
                          <w:r>
                            <w:noBreakHyphen/>
                            <w:t>16 Mid</w:t>
                          </w:r>
                          <w:r>
                            <w:noBreakHyphen/>
                          </w:r>
                          <w:r w:rsidRPr="00C01852">
                            <w:t>Year Financial Report</w:t>
                          </w:r>
                        </w:p>
                      </w:txbxContent>
                    </wps:txbx>
                    <wps:bodyPr rot="0" vert="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id="_x0000_s1030" style="position:absolute;margin-left:26.95pt;margin-top:55.3pt;width:30.9pt;height:487.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" o:allowincell="f" filled="f" stroked="f">
              <v:textbox style="layout-flow:vertical">
                <w:txbxContent>
                  <w:p w:rsidR="00A120C4" w:rsidRDefault="00A120C4" w:rsidP="003E6750">
                    <w:pPr>
                      <w:pStyle w:val="OddFooterLandscape"/>
                      <w:tabs>
                        <w:tab w:val="clear" w:pos="5947"/>
                        <w:tab w:val="center" w:pos="3119"/>
                      </w:tabs>
                    </w:pPr>
                    <w:r>
                      <w:fldChar w:fldCharType="begin"/>
                    </w:r>
                    <w:r>
                      <w:instrText xml:space="preserve"> PAGE  \* Arabic  \* MERGEFORMAT </w:instrText>
                    </w:r>
                    <w:r>
                      <w:fldChar w:fldCharType="separate"/>
                    </w:r>
                    <w:r w:rsidR="00387CE8">
                      <w:rPr>
                        <w:noProof/>
                      </w:rPr>
                      <w:t>42</w:t>
                    </w:r>
                    <w:r>
                      <w:fldChar w:fldCharType="end"/>
                    </w:r>
                    <w:r>
                      <w:tab/>
                      <w:t>Chapter 2</w:t>
                    </w:r>
                    <w:r>
                      <w:tab/>
                      <w:t>2015</w:t>
                    </w:r>
                    <w:r>
                      <w:noBreakHyphen/>
                      <w:t>16 Mid</w:t>
                    </w:r>
                    <w:r>
                      <w:noBreakHyphen/>
                    </w:r>
                    <w:r w:rsidRPr="00C01852">
                      <w:t>Year Financial Report</w:t>
                    </w:r>
                  </w:p>
                </w:txbxContent>
              </v:textbox>
              <w10:wrap anchorx="page" anchory="page"/>
            </v:rect>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Default="00A120C4">
    <w:pPr>
      <w:pStyle w:val="Header"/>
    </w:pPr>
    <w:r>
      <w:rPr>
        <w:noProof/>
        <w:lang w:eastAsia="en-AU"/>
      </w:rPr>
      <mc:AlternateContent>
        <mc:Choice Requires="wps">
          <w:drawing>
            <wp:anchor distT="0" distB="0" distL="114300" distR="114300" simplePos="0" relativeHeight="251663360" behindDoc="0" locked="0" layoutInCell="0" allowOverlap="1" wp14:anchorId="6FB604C4" wp14:editId="34E1C0C0">
              <wp:simplePos x="0" y="0"/>
              <wp:positionH relativeFrom="page">
                <wp:posOffset>342265</wp:posOffset>
              </wp:positionH>
              <wp:positionV relativeFrom="page">
                <wp:posOffset>702310</wp:posOffset>
              </wp:positionV>
              <wp:extent cx="392400" cy="61920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392400" cy="619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0C4" w:rsidRDefault="00A120C4" w:rsidP="003E6750">
                          <w:pPr>
                            <w:pStyle w:val="OddFooterLandscape"/>
                            <w:tabs>
                              <w:tab w:val="clear" w:pos="5947"/>
                              <w:tab w:val="center" w:pos="6492"/>
                            </w:tabs>
                          </w:pPr>
                          <w:r>
                            <w:t>2015</w:t>
                          </w:r>
                          <w:r>
                            <w:noBreakHyphen/>
                          </w:r>
                          <w:r w:rsidRPr="001E48B1">
                            <w:t>16 Mid</w:t>
                          </w:r>
                          <w:r>
                            <w:noBreakHyphen/>
                          </w:r>
                          <w:r w:rsidRPr="001E48B1">
                            <w:t>Year Financial Report</w:t>
                          </w:r>
                          <w:r>
                            <w:tab/>
                            <w:t>Chapter 2</w:t>
                          </w:r>
                          <w:r>
                            <w:tab/>
                          </w:r>
                          <w:r>
                            <w:fldChar w:fldCharType="begin"/>
                          </w:r>
                          <w:r>
                            <w:instrText xml:space="preserve"> PAGE  \* Arabic  \* MERGEFORMAT </w:instrText>
                          </w:r>
                          <w:r>
                            <w:fldChar w:fldCharType="separate"/>
                          </w:r>
                          <w:r w:rsidR="00387CE8">
                            <w:rPr>
                              <w:noProof/>
                            </w:rPr>
                            <w:t>43</w:t>
                          </w:r>
                          <w:r>
                            <w:fldChar w:fldCharType="end"/>
                          </w:r>
                        </w:p>
                      </w:txbxContent>
                    </wps:txbx>
                    <wps:bodyPr rot="0" vert="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id="Rectangle 12" o:spid="_x0000_s1031" style="position:absolute;margin-left:26.95pt;margin-top:55.3pt;width:30.9pt;height:487.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" o:allowincell="f" filled="f" stroked="f">
              <v:textbox style="layout-flow:vertical">
                <w:txbxContent>
                  <w:p w:rsidR="00A120C4" w:rsidRDefault="00A120C4" w:rsidP="003E6750">
                    <w:pPr>
                      <w:pStyle w:val="OddFooterLandscape"/>
                      <w:tabs>
                        <w:tab w:val="clear" w:pos="5947"/>
                        <w:tab w:val="center" w:pos="6492"/>
                      </w:tabs>
                    </w:pPr>
                    <w:r>
                      <w:t>2015</w:t>
                    </w:r>
                    <w:r>
                      <w:noBreakHyphen/>
                    </w:r>
                    <w:r w:rsidRPr="001E48B1">
                      <w:t>16 Mid</w:t>
                    </w:r>
                    <w:r>
                      <w:noBreakHyphen/>
                    </w:r>
                    <w:r w:rsidRPr="001E48B1">
                      <w:t>Year Financial Report</w:t>
                    </w:r>
                    <w:r>
                      <w:tab/>
                      <w:t>Chapter 2</w:t>
                    </w:r>
                    <w:r>
                      <w:tab/>
                    </w:r>
                    <w:r>
                      <w:fldChar w:fldCharType="begin"/>
                    </w:r>
                    <w:r>
                      <w:instrText xml:space="preserve"> PAGE  \* Arabic  \* MERGEFORMAT </w:instrText>
                    </w:r>
                    <w:r>
                      <w:fldChar w:fldCharType="separate"/>
                    </w:r>
                    <w:r w:rsidR="00387CE8">
                      <w:rPr>
                        <w:noProof/>
                      </w:rPr>
                      <w:t>43</w:t>
                    </w:r>
                    <w:r>
                      <w:fldChar w:fldCharType="end"/>
                    </w:r>
                  </w:p>
                </w:txbxContent>
              </v:textbox>
              <w10:wrap anchorx="page" anchory="page"/>
            </v:rect>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Default="00A120C4">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Default="00A120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014" w:rsidRDefault="008420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014" w:rsidRDefault="008420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Default="00A120C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Default="00A120C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Default="00A120C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Default="00A120C4">
    <w:pPr>
      <w:pStyle w:val="Header"/>
    </w:pPr>
    <w:r>
      <w:rPr>
        <w:noProof/>
        <w:lang w:eastAsia="en-AU"/>
      </w:rPr>
      <mc:AlternateContent>
        <mc:Choice Requires="wps">
          <w:drawing>
            <wp:anchor distT="0" distB="0" distL="114300" distR="114300" simplePos="0" relativeHeight="251659264" behindDoc="0" locked="0" layoutInCell="0" allowOverlap="1" wp14:anchorId="6F1A26D9" wp14:editId="59514865">
              <wp:simplePos x="0" y="0"/>
              <wp:positionH relativeFrom="page">
                <wp:posOffset>342265</wp:posOffset>
              </wp:positionH>
              <wp:positionV relativeFrom="page">
                <wp:posOffset>702310</wp:posOffset>
              </wp:positionV>
              <wp:extent cx="392400" cy="61920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392400" cy="619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0C4" w:rsidRDefault="00A120C4" w:rsidP="003E6750">
                          <w:pPr>
                            <w:pStyle w:val="OddFooterLandscape"/>
                            <w:tabs>
                              <w:tab w:val="clear" w:pos="5947"/>
                              <w:tab w:val="center" w:pos="3119"/>
                            </w:tabs>
                          </w:pPr>
                          <w:r>
                            <w:fldChar w:fldCharType="begin"/>
                          </w:r>
                          <w:r>
                            <w:instrText xml:space="preserve"> PAGE  \* Arabic  \* MERGEFORMAT </w:instrText>
                          </w:r>
                          <w:r>
                            <w:fldChar w:fldCharType="separate"/>
                          </w:r>
                          <w:r w:rsidR="00387CE8">
                            <w:rPr>
                              <w:noProof/>
                            </w:rPr>
                            <w:t>16</w:t>
                          </w:r>
                          <w:r>
                            <w:fldChar w:fldCharType="end"/>
                          </w:r>
                          <w:r>
                            <w:tab/>
                            <w:t>Chapter 2</w:t>
                          </w:r>
                          <w:r>
                            <w:tab/>
                            <w:t>2015</w:t>
                          </w:r>
                          <w:r>
                            <w:noBreakHyphen/>
                            <w:t>16 Mid</w:t>
                          </w:r>
                          <w:r>
                            <w:noBreakHyphen/>
                          </w:r>
                          <w:r w:rsidRPr="00C01852">
                            <w:t>Year Financial Report</w:t>
                          </w:r>
                        </w:p>
                      </w:txbxContent>
                    </wps:txbx>
                    <wps:bodyPr rot="0" vert="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id="Rectangle 4" o:spid="_x0000_s1026" style="position:absolute;margin-left:26.95pt;margin-top:55.3pt;width:30.9pt;height:487.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" o:allowincell="f" filled="f" stroked="f">
              <v:textbox style="layout-flow:vertical">
                <w:txbxContent>
                  <w:p w:rsidR="00A120C4" w:rsidRDefault="00A120C4" w:rsidP="003E6750">
                    <w:pPr>
                      <w:pStyle w:val="OddFooterLandscape"/>
                      <w:tabs>
                        <w:tab w:val="clear" w:pos="5947"/>
                        <w:tab w:val="center" w:pos="3119"/>
                      </w:tabs>
                    </w:pPr>
                    <w:r>
                      <w:fldChar w:fldCharType="begin"/>
                    </w:r>
                    <w:r>
                      <w:instrText xml:space="preserve"> PAGE  \* Arabic  \* MERGEFORMAT </w:instrText>
                    </w:r>
                    <w:r>
                      <w:fldChar w:fldCharType="separate"/>
                    </w:r>
                    <w:r w:rsidR="00387CE8">
                      <w:rPr>
                        <w:noProof/>
                      </w:rPr>
                      <w:t>16</w:t>
                    </w:r>
                    <w:r>
                      <w:fldChar w:fldCharType="end"/>
                    </w:r>
                    <w:r>
                      <w:tab/>
                      <w:t>Chapter 2</w:t>
                    </w:r>
                    <w:r>
                      <w:tab/>
                      <w:t>2015</w:t>
                    </w:r>
                    <w:r>
                      <w:noBreakHyphen/>
                      <w:t>16 Mid</w:t>
                    </w:r>
                    <w:r>
                      <w:noBreakHyphen/>
                    </w:r>
                    <w:r w:rsidRPr="00C01852">
                      <w:t>Year Financial Report</w:t>
                    </w:r>
                  </w:p>
                </w:txbxContent>
              </v:textbox>
              <w10:wrap anchorx="page" anchory="page"/>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Default="00A120C4">
    <w:pPr>
      <w:pStyle w:val="Header"/>
    </w:pPr>
    <w:r>
      <w:rPr>
        <w:noProof/>
        <w:lang w:eastAsia="en-AU"/>
      </w:rPr>
      <mc:AlternateContent>
        <mc:Choice Requires="wps">
          <w:drawing>
            <wp:anchor distT="0" distB="0" distL="114300" distR="114300" simplePos="0" relativeHeight="251660288" behindDoc="0" locked="0" layoutInCell="0" allowOverlap="1" wp14:anchorId="1E532462" wp14:editId="76A78755">
              <wp:simplePos x="0" y="0"/>
              <wp:positionH relativeFrom="page">
                <wp:posOffset>342265</wp:posOffset>
              </wp:positionH>
              <wp:positionV relativeFrom="page">
                <wp:posOffset>702310</wp:posOffset>
              </wp:positionV>
              <wp:extent cx="392400" cy="619200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392400" cy="619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0C4" w:rsidRDefault="00A120C4" w:rsidP="003E6750">
                          <w:pPr>
                            <w:pStyle w:val="OddFooterLandscape"/>
                            <w:tabs>
                              <w:tab w:val="clear" w:pos="5947"/>
                              <w:tab w:val="center" w:pos="6492"/>
                            </w:tabs>
                          </w:pPr>
                          <w:r>
                            <w:t>2015</w:t>
                          </w:r>
                          <w:r>
                            <w:noBreakHyphen/>
                          </w:r>
                          <w:r w:rsidRPr="001E48B1">
                            <w:t>16 Mid</w:t>
                          </w:r>
                          <w:r>
                            <w:noBreakHyphen/>
                          </w:r>
                          <w:r w:rsidRPr="001E48B1">
                            <w:t>Year Financial Report</w:t>
                          </w:r>
                          <w:r>
                            <w:tab/>
                            <w:t>Chapter 2</w:t>
                          </w:r>
                          <w:r>
                            <w:tab/>
                          </w:r>
                          <w:r>
                            <w:fldChar w:fldCharType="begin"/>
                          </w:r>
                          <w:r>
                            <w:instrText xml:space="preserve"> PAGE  \* Arabic  \* MERGEFORMAT </w:instrText>
                          </w:r>
                          <w:r>
                            <w:fldChar w:fldCharType="separate"/>
                          </w:r>
                          <w:r w:rsidR="00387CE8">
                            <w:rPr>
                              <w:noProof/>
                            </w:rPr>
                            <w:t>15</w:t>
                          </w:r>
                          <w:r>
                            <w:fldChar w:fldCharType="end"/>
                          </w:r>
                        </w:p>
                      </w:txbxContent>
                    </wps:txbx>
                    <wps:bodyPr rot="0" vert="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id="_x0000_s1027" style="position:absolute;margin-left:26.95pt;margin-top:55.3pt;width:30.9pt;height:487.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" o:allowincell="f" filled="f" stroked="f">
              <v:textbox style="layout-flow:vertical">
                <w:txbxContent>
                  <w:p w:rsidR="00A120C4" w:rsidRDefault="00A120C4" w:rsidP="003E6750">
                    <w:pPr>
                      <w:pStyle w:val="OddFooterLandscape"/>
                      <w:tabs>
                        <w:tab w:val="clear" w:pos="5947"/>
                        <w:tab w:val="center" w:pos="6492"/>
                      </w:tabs>
                    </w:pPr>
                    <w:r>
                      <w:t>2015</w:t>
                    </w:r>
                    <w:r>
                      <w:noBreakHyphen/>
                    </w:r>
                    <w:r w:rsidRPr="001E48B1">
                      <w:t>16 Mid</w:t>
                    </w:r>
                    <w:r>
                      <w:noBreakHyphen/>
                    </w:r>
                    <w:r w:rsidRPr="001E48B1">
                      <w:t>Year Financial Report</w:t>
                    </w:r>
                    <w:r>
                      <w:tab/>
                      <w:t>Chapter 2</w:t>
                    </w:r>
                    <w:r>
                      <w:tab/>
                    </w:r>
                    <w:r>
                      <w:fldChar w:fldCharType="begin"/>
                    </w:r>
                    <w:r>
                      <w:instrText xml:space="preserve"> PAGE  \* Arabic  \* MERGEFORMAT </w:instrText>
                    </w:r>
                    <w:r>
                      <w:fldChar w:fldCharType="separate"/>
                    </w:r>
                    <w:r w:rsidR="00387CE8">
                      <w:rPr>
                        <w:noProof/>
                      </w:rPr>
                      <w:t>15</w:t>
                    </w:r>
                    <w:r>
                      <w:fldChar w:fldCharType="end"/>
                    </w:r>
                  </w:p>
                </w:txbxContent>
              </v:textbox>
              <w10:wrap anchorx="page" anchory="page"/>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C4" w:rsidRDefault="00A120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826D50"/>
    <w:lvl w:ilvl="0">
      <w:start w:val="1"/>
      <w:numFmt w:val="decimal"/>
      <w:lvlText w:val="%1."/>
      <w:lvlJc w:val="left"/>
      <w:pPr>
        <w:tabs>
          <w:tab w:val="num" w:pos="1492"/>
        </w:tabs>
        <w:ind w:left="1492" w:hanging="360"/>
      </w:pPr>
    </w:lvl>
  </w:abstractNum>
  <w:abstractNum w:abstractNumId="1">
    <w:nsid w:val="FFFFFF7D"/>
    <w:multiLevelType w:val="singleLevel"/>
    <w:tmpl w:val="00922794"/>
    <w:lvl w:ilvl="0">
      <w:start w:val="1"/>
      <w:numFmt w:val="decimal"/>
      <w:lvlText w:val="%1."/>
      <w:lvlJc w:val="left"/>
      <w:pPr>
        <w:tabs>
          <w:tab w:val="num" w:pos="1209"/>
        </w:tabs>
        <w:ind w:left="1209" w:hanging="360"/>
      </w:pPr>
    </w:lvl>
  </w:abstractNum>
  <w:abstractNum w:abstractNumId="2">
    <w:nsid w:val="FFFFFF7E"/>
    <w:multiLevelType w:val="singleLevel"/>
    <w:tmpl w:val="53508342"/>
    <w:lvl w:ilvl="0">
      <w:start w:val="1"/>
      <w:numFmt w:val="decimal"/>
      <w:lvlText w:val="%1."/>
      <w:lvlJc w:val="left"/>
      <w:pPr>
        <w:tabs>
          <w:tab w:val="num" w:pos="926"/>
        </w:tabs>
        <w:ind w:left="926" w:hanging="360"/>
      </w:pPr>
    </w:lvl>
  </w:abstractNum>
  <w:abstractNum w:abstractNumId="3">
    <w:nsid w:val="FFFFFF7F"/>
    <w:multiLevelType w:val="singleLevel"/>
    <w:tmpl w:val="D6C248FC"/>
    <w:lvl w:ilvl="0">
      <w:start w:val="1"/>
      <w:numFmt w:val="decimal"/>
      <w:lvlText w:val="%1."/>
      <w:lvlJc w:val="left"/>
      <w:pPr>
        <w:tabs>
          <w:tab w:val="num" w:pos="643"/>
        </w:tabs>
        <w:ind w:left="643" w:hanging="360"/>
      </w:pPr>
    </w:lvl>
  </w:abstractNum>
  <w:abstractNum w:abstractNumId="4">
    <w:nsid w:val="FFFFFF80"/>
    <w:multiLevelType w:val="singleLevel"/>
    <w:tmpl w:val="311A16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BE44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369B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6FCE2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06B156"/>
    <w:lvl w:ilvl="0">
      <w:start w:val="1"/>
      <w:numFmt w:val="decimal"/>
      <w:lvlText w:val="%1."/>
      <w:lvlJc w:val="left"/>
      <w:pPr>
        <w:tabs>
          <w:tab w:val="num" w:pos="360"/>
        </w:tabs>
        <w:ind w:left="360" w:hanging="360"/>
      </w:pPr>
    </w:lvl>
  </w:abstractNum>
  <w:abstractNum w:abstractNumId="9">
    <w:nsid w:val="FFFFFF89"/>
    <w:multiLevelType w:val="singleLevel"/>
    <w:tmpl w:val="0C2EB262"/>
    <w:lvl w:ilvl="0">
      <w:start w:val="1"/>
      <w:numFmt w:val="bullet"/>
      <w:lvlText w:val=""/>
      <w:lvlJc w:val="left"/>
      <w:pPr>
        <w:tabs>
          <w:tab w:val="num" w:pos="360"/>
        </w:tabs>
        <w:ind w:left="360" w:hanging="360"/>
      </w:pPr>
      <w:rPr>
        <w:rFonts w:ascii="Symbol" w:hAnsi="Symbol" w:hint="default"/>
      </w:rPr>
    </w:lvl>
  </w:abstractNum>
  <w:abstractNum w:abstractNumId="10">
    <w:nsid w:val="03CA09F2"/>
    <w:multiLevelType w:val="singleLevel"/>
    <w:tmpl w:val="3AE00BBA"/>
    <w:lvl w:ilvl="0">
      <w:start w:val="1"/>
      <w:numFmt w:val="bullet"/>
      <w:pStyle w:val="OGBullet"/>
      <w:lvlText w:val=""/>
      <w:lvlJc w:val="left"/>
      <w:pPr>
        <w:tabs>
          <w:tab w:val="num" w:pos="360"/>
        </w:tabs>
        <w:ind w:left="360" w:hanging="360"/>
      </w:pPr>
      <w:rPr>
        <w:rFonts w:ascii="Symbol" w:hAnsi="Symbol" w:hint="default"/>
        <w:sz w:val="16"/>
      </w:rPr>
    </w:lvl>
  </w:abstractNum>
  <w:abstractNum w:abstractNumId="11">
    <w:nsid w:val="0A7B4952"/>
    <w:multiLevelType w:val="multilevel"/>
    <w:tmpl w:val="CFA0AB76"/>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CE9098C"/>
    <w:multiLevelType w:val="multilevel"/>
    <w:tmpl w:val="F8FC7B5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1367AAC"/>
    <w:multiLevelType w:val="hybridMultilevel"/>
    <w:tmpl w:val="3DD44E62"/>
    <w:lvl w:ilvl="0" w:tplc="85D82D52">
      <w:start w:val="1"/>
      <w:numFmt w:val="bullet"/>
      <w:pStyle w:val="OGTabBullet"/>
      <w:lvlText w:val=""/>
      <w:lvlJc w:val="left"/>
      <w:pPr>
        <w:tabs>
          <w:tab w:val="num" w:pos="605"/>
        </w:tabs>
        <w:ind w:left="605"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297112"/>
    <w:multiLevelType w:val="multilevel"/>
    <w:tmpl w:val="E66C4E04"/>
    <w:lvl w:ilvl="0">
      <w:start w:val="1"/>
      <w:numFmt w:val="bullet"/>
      <w:lvlText w:val=""/>
      <w:lvlJc w:val="left"/>
      <w:pPr>
        <w:tabs>
          <w:tab w:val="num" w:pos="86"/>
        </w:tabs>
        <w:ind w:left="446" w:firstLine="0"/>
      </w:pPr>
      <w:rPr>
        <w:rFonts w:ascii="Symbol" w:hAnsi="Symbol"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3494EDF"/>
    <w:multiLevelType w:val="multilevel"/>
    <w:tmpl w:val="812C00D2"/>
    <w:lvl w:ilvl="0">
      <w:start w:val="1"/>
      <w:numFmt w:val="upperLetter"/>
      <w:lvlText w:val="(%1)"/>
      <w:lvlJc w:val="left"/>
      <w:pPr>
        <w:tabs>
          <w:tab w:val="num" w:pos="86"/>
        </w:tabs>
        <w:ind w:left="720" w:hanging="720"/>
      </w:pPr>
      <w:rPr>
        <w:rFonts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46A3D1C"/>
    <w:multiLevelType w:val="multilevel"/>
    <w:tmpl w:val="D4CE75F8"/>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6A54181"/>
    <w:multiLevelType w:val="singleLevel"/>
    <w:tmpl w:val="22D246C6"/>
    <w:lvl w:ilvl="0">
      <w:start w:val="1"/>
      <w:numFmt w:val="bullet"/>
      <w:lvlText w:val=""/>
      <w:lvlJc w:val="left"/>
      <w:pPr>
        <w:tabs>
          <w:tab w:val="num" w:pos="360"/>
        </w:tabs>
        <w:ind w:left="360" w:hanging="360"/>
      </w:pPr>
      <w:rPr>
        <w:rFonts w:ascii="Symbol" w:hAnsi="Symbol" w:hint="default"/>
        <w:sz w:val="16"/>
      </w:rPr>
    </w:lvl>
  </w:abstractNum>
  <w:abstractNum w:abstractNumId="18">
    <w:nsid w:val="283B293C"/>
    <w:multiLevelType w:val="hybridMultilevel"/>
    <w:tmpl w:val="B540C8D6"/>
    <w:lvl w:ilvl="0" w:tplc="BF24713E">
      <w:start w:val="1"/>
      <w:numFmt w:val="bullet"/>
      <w:pStyle w:val="VAGOBullet"/>
      <w:lvlText w:val=""/>
      <w:lvlJc w:val="left"/>
      <w:pPr>
        <w:tabs>
          <w:tab w:val="num" w:pos="426"/>
        </w:tabs>
        <w:ind w:left="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85C08AE"/>
    <w:multiLevelType w:val="multilevel"/>
    <w:tmpl w:val="86BA075E"/>
    <w:lvl w:ilvl="0">
      <w:start w:val="1"/>
      <w:numFmt w:val="bullet"/>
      <w:pStyle w:val="BulletText"/>
      <w:lvlText w:val=""/>
      <w:lvlJc w:val="left"/>
      <w:pPr>
        <w:tabs>
          <w:tab w:val="num" w:pos="360"/>
        </w:tabs>
        <w:ind w:left="360" w:hanging="360"/>
      </w:pPr>
      <w:rPr>
        <w:rFonts w:ascii="Symbol" w:hAnsi="Symbol" w:hint="default"/>
        <w:sz w:val="18"/>
        <w:szCs w:val="18"/>
      </w:rPr>
    </w:lvl>
    <w:lvl w:ilvl="1">
      <w:start w:val="1"/>
      <w:numFmt w:val="bullet"/>
      <w:pStyle w:val="DashText"/>
      <w:lvlText w:val=""/>
      <w:lvlJc w:val="left"/>
      <w:pPr>
        <w:tabs>
          <w:tab w:val="num" w:pos="720"/>
        </w:tabs>
        <w:ind w:left="72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0">
    <w:nsid w:val="3CFC52E9"/>
    <w:multiLevelType w:val="hybridMultilevel"/>
    <w:tmpl w:val="7A70A7C0"/>
    <w:lvl w:ilvl="0" w:tplc="065C69C8">
      <w:start w:val="1"/>
      <w:numFmt w:val="bullet"/>
      <w:pStyle w:val="NotesDash"/>
      <w:lvlText w:val="–"/>
      <w:lvlJc w:val="left"/>
      <w:pPr>
        <w:tabs>
          <w:tab w:val="num" w:pos="922"/>
        </w:tabs>
        <w:ind w:left="922" w:hanging="468"/>
      </w:pPr>
      <w:rPr>
        <w:rFonts w:ascii="Times New Roman" w:hAnsi="Times New Roman"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BB94889"/>
    <w:multiLevelType w:val="hybridMultilevel"/>
    <w:tmpl w:val="CFA0AB76"/>
    <w:lvl w:ilvl="0" w:tplc="6052C808">
      <w:start w:val="1"/>
      <w:numFmt w:val="upperLetter"/>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52DF7E7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9E64D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6FB2E0B"/>
    <w:multiLevelType w:val="hybridMultilevel"/>
    <w:tmpl w:val="EDCE7868"/>
    <w:lvl w:ilvl="0" w:tplc="69205F3C">
      <w:start w:val="1"/>
      <w:numFmt w:val="bullet"/>
      <w:pStyle w:val="HighlightBox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25">
    <w:nsid w:val="6E661EC9"/>
    <w:multiLevelType w:val="hybridMultilevel"/>
    <w:tmpl w:val="BC361348"/>
    <w:lvl w:ilvl="0" w:tplc="164E2324">
      <w:start w:val="1"/>
      <w:numFmt w:val="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26">
    <w:nsid w:val="6EE34E10"/>
    <w:multiLevelType w:val="multilevel"/>
    <w:tmpl w:val="D9F407CA"/>
    <w:lvl w:ilvl="0">
      <w:start w:val="1"/>
      <w:numFmt w:val="upperLetter"/>
      <w:pStyle w:val="Heading3Numbering"/>
      <w:lvlText w:val="(%1)"/>
      <w:lvlJc w:val="left"/>
      <w:pPr>
        <w:tabs>
          <w:tab w:val="num" w:pos="720"/>
        </w:tabs>
        <w:ind w:left="720" w:hanging="720"/>
      </w:pPr>
      <w:rPr>
        <w:rFonts w:ascii="Calibri" w:hAnsi="Calibri"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2806EAF"/>
    <w:multiLevelType w:val="hybridMultilevel"/>
    <w:tmpl w:val="2F58BF86"/>
    <w:lvl w:ilvl="0" w:tplc="EBB04D60">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3502477"/>
    <w:multiLevelType w:val="multilevel"/>
    <w:tmpl w:val="2D149DDA"/>
    <w:lvl w:ilvl="0">
      <w:start w:val="1"/>
      <w:numFmt w:val="upperLetter"/>
      <w:lvlText w:val="(%1)"/>
      <w:lvlJc w:val="left"/>
      <w:pPr>
        <w:tabs>
          <w:tab w:val="num" w:pos="720"/>
        </w:tabs>
        <w:ind w:left="720" w:hanging="720"/>
      </w:pPr>
      <w:rPr>
        <w:rFonts w:ascii="AvantGarde Bk BT" w:hAnsi="AvantGarde Bk BT"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78441FB3"/>
    <w:multiLevelType w:val="hybridMultilevel"/>
    <w:tmpl w:val="F39674F4"/>
    <w:lvl w:ilvl="0" w:tplc="3EEC34DA">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92603EA"/>
    <w:multiLevelType w:val="singleLevel"/>
    <w:tmpl w:val="9DB0D9C8"/>
    <w:lvl w:ilvl="0">
      <w:start w:val="1"/>
      <w:numFmt w:val="bullet"/>
      <w:lvlText w:val=""/>
      <w:lvlJc w:val="left"/>
      <w:pPr>
        <w:tabs>
          <w:tab w:val="num" w:pos="360"/>
        </w:tabs>
        <w:ind w:left="360" w:hanging="360"/>
      </w:pPr>
      <w:rPr>
        <w:rFonts w:ascii="Symbol" w:hAnsi="Symbol" w:hint="default"/>
        <w:sz w:val="20"/>
      </w:rPr>
    </w:lvl>
  </w:abstractNum>
  <w:num w:numId="1">
    <w:abstractNumId w:val="17"/>
  </w:num>
  <w:num w:numId="2">
    <w:abstractNumId w:val="30"/>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14"/>
  </w:num>
  <w:num w:numId="16">
    <w:abstractNumId w:val="24"/>
  </w:num>
  <w:num w:numId="17">
    <w:abstractNumId w:val="21"/>
  </w:num>
  <w:num w:numId="18">
    <w:abstractNumId w:val="11"/>
  </w:num>
  <w:num w:numId="19">
    <w:abstractNumId w:val="26"/>
  </w:num>
  <w:num w:numId="20">
    <w:abstractNumId w:val="15"/>
  </w:num>
  <w:num w:numId="21">
    <w:abstractNumId w:val="27"/>
  </w:num>
  <w:num w:numId="22">
    <w:abstractNumId w:val="12"/>
  </w:num>
  <w:num w:numId="23">
    <w:abstractNumId w:val="29"/>
  </w:num>
  <w:num w:numId="24">
    <w:abstractNumId w:val="16"/>
  </w:num>
  <w:num w:numId="25">
    <w:abstractNumId w:val="19"/>
  </w:num>
  <w:num w:numId="26">
    <w:abstractNumId w:val="22"/>
  </w:num>
  <w:num w:numId="27">
    <w:abstractNumId w:val="20"/>
  </w:num>
  <w:num w:numId="28">
    <w:abstractNumId w:val="19"/>
  </w:num>
  <w:num w:numId="29">
    <w:abstractNumId w:val="19"/>
  </w:num>
  <w:num w:numId="30">
    <w:abstractNumId w:val="26"/>
  </w:num>
  <w:num w:numId="31">
    <w:abstractNumId w:val="24"/>
  </w:num>
  <w:num w:numId="32">
    <w:abstractNumId w:val="20"/>
  </w:num>
  <w:num w:numId="33">
    <w:abstractNumId w:val="10"/>
  </w:num>
  <w:num w:numId="34">
    <w:abstractNumId w:val="10"/>
  </w:num>
  <w:num w:numId="35">
    <w:abstractNumId w:val="26"/>
  </w:num>
  <w:num w:numId="36">
    <w:abstractNumId w:val="28"/>
  </w:num>
  <w:num w:numId="37">
    <w:abstractNumId w:val="19"/>
  </w:num>
  <w:num w:numId="38">
    <w:abstractNumId w:val="19"/>
  </w:num>
  <w:num w:numId="39">
    <w:abstractNumId w:val="26"/>
  </w:num>
  <w:num w:numId="40">
    <w:abstractNumId w:val="26"/>
  </w:num>
  <w:num w:numId="41">
    <w:abstractNumId w:val="24"/>
  </w:num>
  <w:num w:numId="42">
    <w:abstractNumId w:val="20"/>
  </w:num>
  <w:num w:numId="43">
    <w:abstractNumId w:val="10"/>
  </w:num>
  <w:num w:numId="44">
    <w:abstractNumId w:val="10"/>
  </w:num>
  <w:num w:numId="45">
    <w:abstractNumId w:val="18"/>
  </w:num>
  <w:num w:numId="46">
    <w:abstractNumId w:val="13"/>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nforcement="0"/>
  <w:autoFormatOverride/>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963"/>
    <w:rsid w:val="00006F06"/>
    <w:rsid w:val="00007ABB"/>
    <w:rsid w:val="00021CE5"/>
    <w:rsid w:val="000357A6"/>
    <w:rsid w:val="0004119A"/>
    <w:rsid w:val="000557B1"/>
    <w:rsid w:val="00057EE3"/>
    <w:rsid w:val="000701E0"/>
    <w:rsid w:val="00076F6A"/>
    <w:rsid w:val="000771C1"/>
    <w:rsid w:val="00087089"/>
    <w:rsid w:val="000B1105"/>
    <w:rsid w:val="000B2895"/>
    <w:rsid w:val="000C1027"/>
    <w:rsid w:val="000D652A"/>
    <w:rsid w:val="000E435C"/>
    <w:rsid w:val="000F4C88"/>
    <w:rsid w:val="000F532A"/>
    <w:rsid w:val="0013022C"/>
    <w:rsid w:val="00131B8B"/>
    <w:rsid w:val="001368DE"/>
    <w:rsid w:val="001425EC"/>
    <w:rsid w:val="0014342C"/>
    <w:rsid w:val="001438DF"/>
    <w:rsid w:val="00176D29"/>
    <w:rsid w:val="00186B75"/>
    <w:rsid w:val="001D18E7"/>
    <w:rsid w:val="001D5D99"/>
    <w:rsid w:val="001E39DC"/>
    <w:rsid w:val="001F322E"/>
    <w:rsid w:val="001F36BA"/>
    <w:rsid w:val="00206EB5"/>
    <w:rsid w:val="00245DCF"/>
    <w:rsid w:val="00246993"/>
    <w:rsid w:val="002733B3"/>
    <w:rsid w:val="00281929"/>
    <w:rsid w:val="00284FC9"/>
    <w:rsid w:val="00285253"/>
    <w:rsid w:val="002C1D55"/>
    <w:rsid w:val="002D0858"/>
    <w:rsid w:val="002D4015"/>
    <w:rsid w:val="002E31A2"/>
    <w:rsid w:val="002E5C62"/>
    <w:rsid w:val="002F3CB5"/>
    <w:rsid w:val="00322DD7"/>
    <w:rsid w:val="003233E0"/>
    <w:rsid w:val="003251BD"/>
    <w:rsid w:val="00341734"/>
    <w:rsid w:val="00346A68"/>
    <w:rsid w:val="003502C8"/>
    <w:rsid w:val="003511F8"/>
    <w:rsid w:val="0035439A"/>
    <w:rsid w:val="00355792"/>
    <w:rsid w:val="00387CE8"/>
    <w:rsid w:val="003926C8"/>
    <w:rsid w:val="003A1B60"/>
    <w:rsid w:val="003C3AAE"/>
    <w:rsid w:val="003E29DB"/>
    <w:rsid w:val="003E4C1F"/>
    <w:rsid w:val="003E6750"/>
    <w:rsid w:val="00401171"/>
    <w:rsid w:val="00402B50"/>
    <w:rsid w:val="00410A6C"/>
    <w:rsid w:val="00410D51"/>
    <w:rsid w:val="0041227C"/>
    <w:rsid w:val="0042339E"/>
    <w:rsid w:val="00430D83"/>
    <w:rsid w:val="00432E5D"/>
    <w:rsid w:val="00443963"/>
    <w:rsid w:val="00452B29"/>
    <w:rsid w:val="00455F51"/>
    <w:rsid w:val="00465985"/>
    <w:rsid w:val="00477003"/>
    <w:rsid w:val="00480ADD"/>
    <w:rsid w:val="004854E5"/>
    <w:rsid w:val="00494AD7"/>
    <w:rsid w:val="004A258D"/>
    <w:rsid w:val="004C3F0D"/>
    <w:rsid w:val="004D54D7"/>
    <w:rsid w:val="004E43BF"/>
    <w:rsid w:val="004F6BAB"/>
    <w:rsid w:val="00503A10"/>
    <w:rsid w:val="005040D7"/>
    <w:rsid w:val="00531A3D"/>
    <w:rsid w:val="00531B2B"/>
    <w:rsid w:val="005429ED"/>
    <w:rsid w:val="005545C0"/>
    <w:rsid w:val="005659B1"/>
    <w:rsid w:val="00586A0F"/>
    <w:rsid w:val="005936CC"/>
    <w:rsid w:val="00594D72"/>
    <w:rsid w:val="005A32A3"/>
    <w:rsid w:val="005A6BE2"/>
    <w:rsid w:val="005A6FB4"/>
    <w:rsid w:val="005A7A10"/>
    <w:rsid w:val="005B4DC5"/>
    <w:rsid w:val="005B5BD0"/>
    <w:rsid w:val="005D2193"/>
    <w:rsid w:val="00606A43"/>
    <w:rsid w:val="006231F8"/>
    <w:rsid w:val="00630FB1"/>
    <w:rsid w:val="00642BF1"/>
    <w:rsid w:val="00645124"/>
    <w:rsid w:val="0066770B"/>
    <w:rsid w:val="006707CE"/>
    <w:rsid w:val="006736CC"/>
    <w:rsid w:val="00674721"/>
    <w:rsid w:val="00675356"/>
    <w:rsid w:val="0068731F"/>
    <w:rsid w:val="00690C84"/>
    <w:rsid w:val="006A2C7F"/>
    <w:rsid w:val="006A7B84"/>
    <w:rsid w:val="006C67F5"/>
    <w:rsid w:val="006D3D90"/>
    <w:rsid w:val="006D5090"/>
    <w:rsid w:val="006D6A13"/>
    <w:rsid w:val="006D7F71"/>
    <w:rsid w:val="0071751D"/>
    <w:rsid w:val="007178C7"/>
    <w:rsid w:val="00732D14"/>
    <w:rsid w:val="0073515A"/>
    <w:rsid w:val="0074008B"/>
    <w:rsid w:val="00742218"/>
    <w:rsid w:val="007703C5"/>
    <w:rsid w:val="00787428"/>
    <w:rsid w:val="007B4258"/>
    <w:rsid w:val="007C41A8"/>
    <w:rsid w:val="007D3406"/>
    <w:rsid w:val="007F5292"/>
    <w:rsid w:val="00803B55"/>
    <w:rsid w:val="008047B2"/>
    <w:rsid w:val="00817DBF"/>
    <w:rsid w:val="00836249"/>
    <w:rsid w:val="00842014"/>
    <w:rsid w:val="00842AFB"/>
    <w:rsid w:val="00873DA7"/>
    <w:rsid w:val="00887F89"/>
    <w:rsid w:val="00897890"/>
    <w:rsid w:val="008A5FE9"/>
    <w:rsid w:val="008B7B8A"/>
    <w:rsid w:val="008C2408"/>
    <w:rsid w:val="008D5D2B"/>
    <w:rsid w:val="008E6731"/>
    <w:rsid w:val="00901E03"/>
    <w:rsid w:val="009025F1"/>
    <w:rsid w:val="00904A16"/>
    <w:rsid w:val="00912FF2"/>
    <w:rsid w:val="00923AD5"/>
    <w:rsid w:val="0092470F"/>
    <w:rsid w:val="0093166C"/>
    <w:rsid w:val="00943855"/>
    <w:rsid w:val="00943D46"/>
    <w:rsid w:val="0096304A"/>
    <w:rsid w:val="0097206F"/>
    <w:rsid w:val="00973A41"/>
    <w:rsid w:val="009942D2"/>
    <w:rsid w:val="00995570"/>
    <w:rsid w:val="009A2BC2"/>
    <w:rsid w:val="009A3179"/>
    <w:rsid w:val="009B59AB"/>
    <w:rsid w:val="009C5731"/>
    <w:rsid w:val="009D1CA9"/>
    <w:rsid w:val="009D58BD"/>
    <w:rsid w:val="009F0F12"/>
    <w:rsid w:val="009F2577"/>
    <w:rsid w:val="009F534D"/>
    <w:rsid w:val="00A02B1B"/>
    <w:rsid w:val="00A120C4"/>
    <w:rsid w:val="00A1268C"/>
    <w:rsid w:val="00A167C1"/>
    <w:rsid w:val="00A22BE1"/>
    <w:rsid w:val="00A251B1"/>
    <w:rsid w:val="00A30094"/>
    <w:rsid w:val="00A33547"/>
    <w:rsid w:val="00A426C4"/>
    <w:rsid w:val="00A5588D"/>
    <w:rsid w:val="00A576F6"/>
    <w:rsid w:val="00A6247C"/>
    <w:rsid w:val="00A62AFB"/>
    <w:rsid w:val="00A71163"/>
    <w:rsid w:val="00A74AB1"/>
    <w:rsid w:val="00A74CBC"/>
    <w:rsid w:val="00A9005B"/>
    <w:rsid w:val="00A93514"/>
    <w:rsid w:val="00A945A3"/>
    <w:rsid w:val="00AA6337"/>
    <w:rsid w:val="00AC25A6"/>
    <w:rsid w:val="00AC5693"/>
    <w:rsid w:val="00B022A5"/>
    <w:rsid w:val="00B0624D"/>
    <w:rsid w:val="00B1409D"/>
    <w:rsid w:val="00B203B9"/>
    <w:rsid w:val="00B208AA"/>
    <w:rsid w:val="00B229F1"/>
    <w:rsid w:val="00B27782"/>
    <w:rsid w:val="00B361AD"/>
    <w:rsid w:val="00B527F0"/>
    <w:rsid w:val="00B55816"/>
    <w:rsid w:val="00B742C7"/>
    <w:rsid w:val="00B8249B"/>
    <w:rsid w:val="00B8605D"/>
    <w:rsid w:val="00BA1D5C"/>
    <w:rsid w:val="00BB1DDE"/>
    <w:rsid w:val="00BB3860"/>
    <w:rsid w:val="00BB67AF"/>
    <w:rsid w:val="00BB71EC"/>
    <w:rsid w:val="00BC61E2"/>
    <w:rsid w:val="00BC768E"/>
    <w:rsid w:val="00BF7248"/>
    <w:rsid w:val="00C017D4"/>
    <w:rsid w:val="00C04DD7"/>
    <w:rsid w:val="00C05DC9"/>
    <w:rsid w:val="00C2380B"/>
    <w:rsid w:val="00C24FB1"/>
    <w:rsid w:val="00C35791"/>
    <w:rsid w:val="00C36C4E"/>
    <w:rsid w:val="00C419DE"/>
    <w:rsid w:val="00C4543A"/>
    <w:rsid w:val="00C46316"/>
    <w:rsid w:val="00C61389"/>
    <w:rsid w:val="00C723F1"/>
    <w:rsid w:val="00C75D0E"/>
    <w:rsid w:val="00C974AC"/>
    <w:rsid w:val="00CA1E44"/>
    <w:rsid w:val="00CB3C8A"/>
    <w:rsid w:val="00CB5C08"/>
    <w:rsid w:val="00CC69F7"/>
    <w:rsid w:val="00CC73D9"/>
    <w:rsid w:val="00CD0577"/>
    <w:rsid w:val="00CD351B"/>
    <w:rsid w:val="00CF0F98"/>
    <w:rsid w:val="00CF1D10"/>
    <w:rsid w:val="00CF25B1"/>
    <w:rsid w:val="00D10D3E"/>
    <w:rsid w:val="00D12656"/>
    <w:rsid w:val="00D20424"/>
    <w:rsid w:val="00D50064"/>
    <w:rsid w:val="00D56B84"/>
    <w:rsid w:val="00D64BF8"/>
    <w:rsid w:val="00D7758B"/>
    <w:rsid w:val="00D87204"/>
    <w:rsid w:val="00D95D7D"/>
    <w:rsid w:val="00DA4D63"/>
    <w:rsid w:val="00DA6CAB"/>
    <w:rsid w:val="00DB3187"/>
    <w:rsid w:val="00DB7B76"/>
    <w:rsid w:val="00DD79E9"/>
    <w:rsid w:val="00DE1D28"/>
    <w:rsid w:val="00E233B0"/>
    <w:rsid w:val="00E36A49"/>
    <w:rsid w:val="00E41446"/>
    <w:rsid w:val="00E666B8"/>
    <w:rsid w:val="00E940C8"/>
    <w:rsid w:val="00E96351"/>
    <w:rsid w:val="00EA5B44"/>
    <w:rsid w:val="00EC2ADF"/>
    <w:rsid w:val="00ED5830"/>
    <w:rsid w:val="00ED5AFD"/>
    <w:rsid w:val="00EE2363"/>
    <w:rsid w:val="00EE4554"/>
    <w:rsid w:val="00EF122D"/>
    <w:rsid w:val="00EF59EA"/>
    <w:rsid w:val="00F16359"/>
    <w:rsid w:val="00F17676"/>
    <w:rsid w:val="00F2325A"/>
    <w:rsid w:val="00F35817"/>
    <w:rsid w:val="00F44A2E"/>
    <w:rsid w:val="00F5014D"/>
    <w:rsid w:val="00F560E7"/>
    <w:rsid w:val="00F7426B"/>
    <w:rsid w:val="00F76062"/>
    <w:rsid w:val="00FA2033"/>
    <w:rsid w:val="00FA5601"/>
    <w:rsid w:val="00FA5CC9"/>
    <w:rsid w:val="00FC21A7"/>
    <w:rsid w:val="00FD4CF6"/>
    <w:rsid w:val="00FE1306"/>
    <w:rsid w:val="00FF1527"/>
    <w:rsid w:val="00FF6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3" w:semiHidden="1"/>
    <w:lsdException w:name="index 4" w:semiHidden="1"/>
    <w:lsdException w:name="index 5" w:semiHidden="1"/>
    <w:lsdException w:name="index 6" w:locked="1" w:semiHidden="1"/>
    <w:lsdException w:name="index 7" w:locked="1" w:semiHidden="1"/>
    <w:lsdException w:name="index 8" w:locked="1" w:semiHidden="1"/>
    <w:lsdException w:name="index 9" w:locked="1" w:semiHidden="1"/>
    <w:lsdException w:name="toc 1" w:uiPriority="39"/>
    <w:lsdException w:name="toc 2" w:uiPriority="39"/>
    <w:lsdException w:name="toc 4" w:uiPriority="39"/>
    <w:lsdException w:name="toc 6" w:locked="1" w:semiHidden="1"/>
    <w:lsdException w:name="toc 7" w:locked="1" w:semiHidden="1"/>
    <w:lsdException w:name="toc 8" w:locked="1" w:semiHidden="1"/>
    <w:lsdException w:name="toc 9" w:locked="1" w:semiHidden="1"/>
    <w:lsdException w:name="Normal Indent" w:locked="1"/>
    <w:lsdException w:name="footnote text" w:locked="1"/>
    <w:lsdException w:name="annotation text" w:locked="1" w:semiHidden="1"/>
    <w:lsdException w:name="caption" w:locked="1" w:semiHidden="1" w:unhideWhenUsed="1" w:qFormat="1"/>
    <w:lsdException w:name="table of figures" w:qFormat="1"/>
    <w:lsdException w:name="envelope address" w:locked="1" w:semiHidden="1"/>
    <w:lsdException w:name="envelope return" w:locked="1" w:semiHidden="1"/>
    <w:lsdException w:name="footnote reference" w:locked="1"/>
    <w:lsdException w:name="annotation reference" w:locked="1" w:semiHidden="1"/>
    <w:lsdException w:name="line number" w:locked="1" w:semiHidden="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locked="1" w:semiHidden="1"/>
    <w:lsdException w:name="Closing" w:locked="1" w:semiHidden="1"/>
    <w:lsdException w:name="Signature" w:locked="1" w:semiHidden="1"/>
    <w:lsdException w:name="Body Text" w:locked="1" w:semiHidden="1"/>
    <w:lsdException w:name="Body Text Indent" w:locked="1" w:semiHidden="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locked="1" w:semiHidden="1"/>
    <w:lsdException w:name="Salutation" w:locked="1" w:semiHidden="1"/>
    <w:lsdException w:name="Date" w:locked="1" w:semiHidden="1"/>
    <w:lsdException w:name="Body Text First Indent" w:locked="1" w:semiHidden="1"/>
    <w:lsdException w:name="Body Text First Indent 2"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locked="1" w:uiPriority="99"/>
    <w:lsdException w:name="FollowedHyperlink" w:locked="1" w:semiHidden="1"/>
    <w:lsdException w:name="Strong" w:locked="1" w:semiHidden="1"/>
    <w:lsdException w:name="Emphasis" w:locked="1" w:semiHidden="1"/>
    <w:lsdException w:name="Document Map" w:locked="1" w:semiHidden="1"/>
    <w:lsdException w:name="Plain Text" w:locked="1" w:semiHidden="1"/>
    <w:lsdException w:name="E-mail Signature" w:locked="1" w:semiHidden="1"/>
    <w:lsdException w:name="Normal (Web)" w:locked="1" w:semiHidden="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annotation subject" w:locked="1" w:semiHidden="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uiPriority w:val="1"/>
    <w:qFormat/>
    <w:rsid w:val="00A9005B"/>
    <w:pPr>
      <w:spacing w:after="120"/>
    </w:pPr>
    <w:rPr>
      <w:rFonts w:ascii="Garamond" w:hAnsi="Garamond"/>
      <w:sz w:val="24"/>
      <w:lang w:eastAsia="en-US"/>
    </w:rPr>
  </w:style>
  <w:style w:type="paragraph" w:styleId="Heading1">
    <w:name w:val="heading 1"/>
    <w:basedOn w:val="Normal"/>
    <w:next w:val="Normal"/>
    <w:qFormat/>
    <w:rsid w:val="00BB71EC"/>
    <w:pPr>
      <w:keepNext/>
      <w:spacing w:before="360"/>
      <w:outlineLvl w:val="0"/>
    </w:pPr>
    <w:rPr>
      <w:rFonts w:ascii="Calibri" w:hAnsi="Calibri"/>
      <w:b/>
      <w:caps/>
      <w:sz w:val="28"/>
      <w:szCs w:val="22"/>
    </w:rPr>
  </w:style>
  <w:style w:type="paragraph" w:styleId="Heading2">
    <w:name w:val="heading 2"/>
    <w:basedOn w:val="Normal"/>
    <w:next w:val="Normal"/>
    <w:qFormat/>
    <w:rsid w:val="00BB71EC"/>
    <w:pPr>
      <w:keepNext/>
      <w:spacing w:before="240"/>
      <w:outlineLvl w:val="1"/>
    </w:pPr>
    <w:rPr>
      <w:rFonts w:ascii="Calibri" w:hAnsi="Calibri"/>
      <w:b/>
      <w:kern w:val="28"/>
      <w:sz w:val="28"/>
      <w:szCs w:val="22"/>
    </w:rPr>
  </w:style>
  <w:style w:type="paragraph" w:styleId="Heading3">
    <w:name w:val="heading 3"/>
    <w:basedOn w:val="Normal"/>
    <w:next w:val="Normal"/>
    <w:qFormat/>
    <w:rsid w:val="00BB71EC"/>
    <w:pPr>
      <w:keepNext/>
      <w:spacing w:before="240"/>
      <w:outlineLvl w:val="2"/>
    </w:pPr>
    <w:rPr>
      <w:rFonts w:ascii="Calibri" w:hAnsi="Calibri"/>
      <w:b/>
      <w:i/>
      <w:kern w:val="28"/>
      <w:sz w:val="26"/>
      <w:szCs w:val="22"/>
    </w:rPr>
  </w:style>
  <w:style w:type="paragraph" w:styleId="Heading4">
    <w:name w:val="heading 4"/>
    <w:basedOn w:val="Normal"/>
    <w:next w:val="Normal"/>
    <w:qFormat/>
    <w:rsid w:val="00BB71EC"/>
    <w:pPr>
      <w:keepNext/>
      <w:spacing w:before="240"/>
      <w:outlineLvl w:val="3"/>
    </w:pPr>
    <w:rPr>
      <w:rFonts w:ascii="Calibri" w:hAnsi="Calibri"/>
      <w:i/>
      <w:sz w:val="26"/>
      <w:szCs w:val="22"/>
    </w:rPr>
  </w:style>
  <w:style w:type="paragraph" w:styleId="Heading5">
    <w:name w:val="heading 5"/>
    <w:basedOn w:val="Normal"/>
    <w:next w:val="Normal"/>
    <w:qFormat/>
    <w:rsid w:val="00BB71EC"/>
    <w:pPr>
      <w:keepNext/>
      <w:tabs>
        <w:tab w:val="left" w:pos="504"/>
      </w:tabs>
      <w:spacing w:before="120" w:after="60"/>
      <w:outlineLvl w:val="4"/>
    </w:pPr>
    <w:rPr>
      <w:rFonts w:ascii="Calibri" w:hAnsi="Calibri"/>
      <w:b/>
    </w:rPr>
  </w:style>
  <w:style w:type="paragraph" w:styleId="Heading6">
    <w:name w:val="heading 6"/>
    <w:basedOn w:val="Normal"/>
    <w:next w:val="Normal"/>
    <w:link w:val="Heading6Char"/>
    <w:unhideWhenUsed/>
    <w:qFormat/>
    <w:locked/>
    <w:rsid w:val="00443963"/>
    <w:pPr>
      <w:keepNext/>
      <w:autoSpaceDE w:val="0"/>
      <w:autoSpaceDN w:val="0"/>
      <w:adjustRightInd w:val="0"/>
      <w:spacing w:after="0"/>
      <w:ind w:left="227" w:hanging="227"/>
      <w:outlineLvl w:val="5"/>
    </w:pPr>
    <w:rPr>
      <w:rFonts w:ascii="Calibri" w:eastAsiaTheme="minorEastAsia" w:hAnsi="Calibri" w:cs="Calibri"/>
      <w:b/>
      <w:bCs/>
      <w:color w:val="000000"/>
      <w:sz w:val="22"/>
      <w:szCs w:val="22"/>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690C84"/>
    <w:pPr>
      <w:spacing w:after="0"/>
      <w:jc w:val="center"/>
    </w:pPr>
    <w:rPr>
      <w:rFonts w:ascii="Calibri" w:hAnsi="Calibri"/>
      <w:i/>
      <w:sz w:val="20"/>
      <w:szCs w:val="18"/>
    </w:rPr>
  </w:style>
  <w:style w:type="paragraph" w:styleId="TableofFigures">
    <w:name w:val="table of figures"/>
    <w:basedOn w:val="Normal"/>
    <w:next w:val="Normal"/>
    <w:link w:val="TableofFiguresChar"/>
    <w:qFormat/>
    <w:rsid w:val="0093166C"/>
    <w:pPr>
      <w:spacing w:after="0"/>
      <w:jc w:val="right"/>
    </w:pPr>
    <w:rPr>
      <w:rFonts w:ascii="Calibri" w:hAnsi="Calibri"/>
      <w:sz w:val="22"/>
      <w:szCs w:val="18"/>
    </w:rPr>
  </w:style>
  <w:style w:type="paragraph" w:customStyle="1" w:styleId="BIP1Figures">
    <w:name w:val="BIP1 Figures"/>
    <w:basedOn w:val="TableofFigures"/>
    <w:semiHidden/>
    <w:rsid w:val="00901E03"/>
    <w:pPr>
      <w:spacing w:after="20"/>
    </w:pPr>
  </w:style>
  <w:style w:type="paragraph" w:customStyle="1" w:styleId="Tabletextheading">
    <w:name w:val="Table text heading"/>
    <w:basedOn w:val="TableofFigures"/>
    <w:link w:val="TabletextheadingChar"/>
    <w:qFormat/>
    <w:rsid w:val="00901E03"/>
    <w:rPr>
      <w:i/>
    </w:rPr>
  </w:style>
  <w:style w:type="paragraph" w:customStyle="1" w:styleId="BIP1headingr">
    <w:name w:val="BIP1 heading r"/>
    <w:basedOn w:val="Tabletextheading"/>
    <w:semiHidden/>
    <w:rsid w:val="00901E03"/>
  </w:style>
  <w:style w:type="paragraph" w:customStyle="1" w:styleId="BIP1headingl">
    <w:name w:val="BIP1 heading l"/>
    <w:basedOn w:val="BIP1headingr"/>
    <w:semiHidden/>
    <w:rsid w:val="00901E03"/>
    <w:pPr>
      <w:jc w:val="left"/>
    </w:pPr>
  </w:style>
  <w:style w:type="paragraph" w:customStyle="1" w:styleId="Tabletext">
    <w:name w:val="Table text"/>
    <w:basedOn w:val="TableofFigures"/>
    <w:link w:val="TabletextChar"/>
    <w:qFormat/>
    <w:rsid w:val="00901E03"/>
    <w:pPr>
      <w:ind w:left="180" w:hanging="180"/>
      <w:jc w:val="left"/>
    </w:pPr>
  </w:style>
  <w:style w:type="paragraph" w:customStyle="1" w:styleId="BIP1tabletext">
    <w:name w:val="BIP1 table text"/>
    <w:basedOn w:val="Tabletext"/>
    <w:semiHidden/>
    <w:rsid w:val="00901E03"/>
    <w:pPr>
      <w:spacing w:after="20"/>
      <w:ind w:left="72" w:hanging="72"/>
    </w:pPr>
  </w:style>
  <w:style w:type="paragraph" w:customStyle="1" w:styleId="Tableheading">
    <w:name w:val="Table heading"/>
    <w:basedOn w:val="Normal"/>
    <w:link w:val="TableheadingChar"/>
    <w:qFormat/>
    <w:rsid w:val="00BB71EC"/>
    <w:pPr>
      <w:keepNext/>
      <w:spacing w:before="240"/>
      <w:ind w:left="1152" w:hanging="1152"/>
    </w:pPr>
    <w:rPr>
      <w:rFonts w:ascii="Calibri" w:hAnsi="Calibri"/>
      <w:b/>
      <w:sz w:val="25"/>
    </w:rPr>
  </w:style>
  <w:style w:type="table" w:styleId="TableGrid">
    <w:name w:val="Table Grid"/>
    <w:basedOn w:val="TableNormal"/>
    <w:locked/>
    <w:rsid w:val="00EF122D"/>
    <w:pPr>
      <w:spacing w:before="20" w:after="20"/>
      <w:ind w:left="170" w:hanging="170"/>
      <w:jc w:val="right"/>
    </w:pPr>
    <w:rPr>
      <w:rFonts w:ascii="Calibri" w:eastAsiaTheme="minorHAnsi" w:hAnsi="Calibri" w:cstheme="minorBidi"/>
      <w:spacing w:val="2"/>
      <w:sz w:val="18"/>
      <w:szCs w:val="21"/>
      <w:lang w:eastAsia="en-US"/>
    </w:rPr>
    <w:tblPr>
      <w:tblStyleColBandSize w:val="1"/>
      <w:tblInd w:w="28" w:type="dxa"/>
      <w:tblBorders>
        <w:bottom w:val="single" w:sz="6" w:space="0" w:color="auto"/>
      </w:tblBorders>
      <w:tblCellMar>
        <w:left w:w="57" w:type="dxa"/>
        <w:right w:w="57" w:type="dxa"/>
      </w:tblCellMar>
    </w:tblPr>
    <w:trPr>
      <w:cantSplit/>
    </w:trPr>
    <w:tblStylePr w:type="firstRow">
      <w:pPr>
        <w:keepNext/>
        <w:keepLines/>
        <w:widowControl/>
        <w:wordWrap/>
        <w:jc w:val="right"/>
      </w:pPr>
      <w:rPr>
        <w:i/>
        <w:color w:val="auto"/>
      </w:rPr>
      <w:tblPr/>
      <w:tcPr>
        <w:shd w:val="clear" w:color="auto" w:fill="000000" w:themeFill="text1"/>
        <w:vAlign w:val="bottom"/>
      </w:tcPr>
    </w:tblStylePr>
    <w:tblStylePr w:type="lastRow">
      <w:rPr>
        <w:b/>
      </w:rPr>
      <w:tblPr/>
      <w:tcPr>
        <w:tcBorders>
          <w:top w:val="single" w:sz="6" w:space="0" w:color="000000" w:themeColor="text1"/>
          <w:bottom w:val="single" w:sz="12" w:space="0" w:color="000000" w:themeColor="text1"/>
        </w:tcBorders>
      </w:tcPr>
    </w:tblStylePr>
    <w:tblStylePr w:type="firstCol">
      <w:pPr>
        <w:wordWrap/>
        <w:ind w:leftChars="0" w:left="170" w:rightChars="0" w:right="0" w:firstLineChars="0" w:hanging="170"/>
        <w:jc w:val="left"/>
      </w:pPr>
    </w:tblStylePr>
    <w:tblStylePr w:type="band1Vert">
      <w:pPr>
        <w:jc w:val="right"/>
      </w:pPr>
    </w:tblStylePr>
    <w:tblStylePr w:type="band2Vert">
      <w:pPr>
        <w:jc w:val="right"/>
      </w:pPr>
    </w:tblStylePr>
  </w:style>
  <w:style w:type="paragraph" w:customStyle="1" w:styleId="BulletText">
    <w:name w:val="Bullet Text"/>
    <w:basedOn w:val="Normal"/>
    <w:rsid w:val="00901E03"/>
    <w:pPr>
      <w:numPr>
        <w:numId w:val="38"/>
      </w:numPr>
    </w:pPr>
  </w:style>
  <w:style w:type="paragraph" w:customStyle="1" w:styleId="ChapterHeading">
    <w:name w:val="Chapter Heading"/>
    <w:basedOn w:val="Normal"/>
    <w:next w:val="Heading1"/>
    <w:qFormat/>
    <w:rsid w:val="0013022C"/>
    <w:pPr>
      <w:keepNext/>
      <w:pBdr>
        <w:bottom w:val="single" w:sz="12" w:space="7" w:color="auto"/>
      </w:pBdr>
      <w:spacing w:before="1440" w:after="360"/>
    </w:pPr>
    <w:rPr>
      <w:rFonts w:ascii="Calibri" w:hAnsi="Calibri"/>
      <w:b/>
      <w:caps/>
      <w:sz w:val="38"/>
      <w:szCs w:val="28"/>
    </w:rPr>
  </w:style>
  <w:style w:type="paragraph" w:customStyle="1" w:styleId="Chartheading">
    <w:name w:val="Chart heading"/>
    <w:basedOn w:val="Tableheading"/>
    <w:next w:val="Normal"/>
    <w:qFormat/>
    <w:rsid w:val="00901E03"/>
  </w:style>
  <w:style w:type="paragraph" w:styleId="Footer">
    <w:name w:val="footer"/>
    <w:basedOn w:val="Normal"/>
    <w:rsid w:val="002D4015"/>
    <w:pPr>
      <w:pBdr>
        <w:top w:val="single" w:sz="6" w:space="1" w:color="auto"/>
      </w:pBdr>
      <w:tabs>
        <w:tab w:val="right" w:pos="7085"/>
      </w:tabs>
    </w:pPr>
    <w:rPr>
      <w:rFonts w:ascii="Calibri" w:hAnsi="Calibri"/>
      <w:sz w:val="22"/>
      <w:szCs w:val="18"/>
    </w:rPr>
  </w:style>
  <w:style w:type="paragraph" w:styleId="Header">
    <w:name w:val="header"/>
    <w:basedOn w:val="Footer"/>
    <w:rsid w:val="00901E03"/>
    <w:pPr>
      <w:pBdr>
        <w:top w:val="none" w:sz="0" w:space="0" w:color="auto"/>
      </w:pBdr>
      <w:tabs>
        <w:tab w:val="clear" w:pos="7085"/>
      </w:tabs>
    </w:pPr>
  </w:style>
  <w:style w:type="paragraph" w:customStyle="1" w:styleId="Heading2Notes">
    <w:name w:val="Heading 2 Notes"/>
    <w:basedOn w:val="Heading2"/>
    <w:rsid w:val="00901E03"/>
    <w:pPr>
      <w:tabs>
        <w:tab w:val="left" w:pos="1152"/>
      </w:tabs>
      <w:ind w:left="1152" w:hanging="1152"/>
    </w:pPr>
  </w:style>
  <w:style w:type="paragraph" w:customStyle="1" w:styleId="Notes">
    <w:name w:val="Notes"/>
    <w:basedOn w:val="Normal"/>
    <w:qFormat/>
    <w:rsid w:val="00BB71EC"/>
    <w:pPr>
      <w:tabs>
        <w:tab w:val="left" w:pos="454"/>
      </w:tabs>
      <w:spacing w:after="0"/>
      <w:ind w:left="461" w:hanging="461"/>
    </w:pPr>
    <w:rPr>
      <w:rFonts w:ascii="Calibri" w:hAnsi="Calibri"/>
      <w:i/>
      <w:sz w:val="16"/>
    </w:rPr>
  </w:style>
  <w:style w:type="paragraph" w:customStyle="1" w:styleId="OGBullet">
    <w:name w:val="OGBullet"/>
    <w:basedOn w:val="Normal"/>
    <w:semiHidden/>
    <w:rsid w:val="00BB71EC"/>
    <w:pPr>
      <w:numPr>
        <w:numId w:val="44"/>
      </w:numPr>
    </w:pPr>
    <w:rPr>
      <w:rFonts w:ascii="Calibri" w:hAnsi="Calibri"/>
      <w:sz w:val="22"/>
      <w:szCs w:val="18"/>
    </w:rPr>
  </w:style>
  <w:style w:type="paragraph" w:customStyle="1" w:styleId="OGHeading1">
    <w:name w:val="OGHeading1"/>
    <w:basedOn w:val="Normal"/>
    <w:semiHidden/>
    <w:rsid w:val="00BB71EC"/>
    <w:rPr>
      <w:rFonts w:ascii="Calibri" w:hAnsi="Calibri"/>
      <w:b/>
      <w:sz w:val="34"/>
      <w:szCs w:val="28"/>
    </w:rPr>
  </w:style>
  <w:style w:type="paragraph" w:customStyle="1" w:styleId="OGHeading2">
    <w:name w:val="OGHeading2"/>
    <w:basedOn w:val="Normal"/>
    <w:link w:val="OGHeading2Char"/>
    <w:semiHidden/>
    <w:rsid w:val="00BB71EC"/>
    <w:pPr>
      <w:keepNext/>
      <w:spacing w:before="60"/>
    </w:pPr>
    <w:rPr>
      <w:rFonts w:ascii="Calibri" w:hAnsi="Calibri"/>
      <w:b/>
      <w:sz w:val="30"/>
      <w:szCs w:val="24"/>
    </w:rPr>
  </w:style>
  <w:style w:type="paragraph" w:customStyle="1" w:styleId="OGTabHead">
    <w:name w:val="OGTabHead"/>
    <w:basedOn w:val="Normal"/>
    <w:semiHidden/>
    <w:rsid w:val="00BB71EC"/>
    <w:pPr>
      <w:keepNext/>
      <w:keepLines/>
      <w:spacing w:before="30" w:after="30"/>
    </w:pPr>
    <w:rPr>
      <w:rFonts w:ascii="Calibri" w:hAnsi="Calibri"/>
      <w:i/>
      <w:sz w:val="22"/>
      <w:szCs w:val="18"/>
    </w:rPr>
  </w:style>
  <w:style w:type="paragraph" w:customStyle="1" w:styleId="OGTabText">
    <w:name w:val="OGTabText"/>
    <w:basedOn w:val="Normal"/>
    <w:link w:val="OGTabTextChar"/>
    <w:semiHidden/>
    <w:rsid w:val="00BB71EC"/>
    <w:pPr>
      <w:spacing w:before="30" w:after="30"/>
      <w:ind w:left="144"/>
    </w:pPr>
    <w:rPr>
      <w:rFonts w:ascii="Calibri" w:hAnsi="Calibri"/>
      <w:sz w:val="22"/>
      <w:szCs w:val="18"/>
    </w:rPr>
  </w:style>
  <w:style w:type="paragraph" w:customStyle="1" w:styleId="OGText">
    <w:name w:val="OGText"/>
    <w:basedOn w:val="Normal"/>
    <w:link w:val="OGTextChar"/>
    <w:semiHidden/>
    <w:rsid w:val="00BB71EC"/>
    <w:pPr>
      <w:keepNext/>
      <w:spacing w:before="40"/>
    </w:pPr>
    <w:rPr>
      <w:rFonts w:ascii="Calibri" w:hAnsi="Calibri"/>
      <w:sz w:val="22"/>
      <w:szCs w:val="18"/>
    </w:rPr>
  </w:style>
  <w:style w:type="character" w:styleId="PageNumber">
    <w:name w:val="page number"/>
    <w:rsid w:val="00BB71EC"/>
    <w:rPr>
      <w:rFonts w:ascii="Calibri" w:hAnsi="Calibri"/>
      <w:sz w:val="22"/>
    </w:rPr>
  </w:style>
  <w:style w:type="paragraph" w:customStyle="1" w:styleId="Source">
    <w:name w:val="Source"/>
    <w:basedOn w:val="Normal"/>
    <w:next w:val="Normal"/>
    <w:link w:val="SourceChar"/>
    <w:qFormat/>
    <w:locked/>
    <w:rsid w:val="00BB71EC"/>
    <w:rPr>
      <w:rFonts w:ascii="Calibri" w:hAnsi="Calibri"/>
      <w:i/>
      <w:sz w:val="16"/>
    </w:rPr>
  </w:style>
  <w:style w:type="paragraph" w:customStyle="1" w:styleId="TableofContentsheading">
    <w:name w:val="Table of Contents heading"/>
    <w:basedOn w:val="ChapterHeading"/>
    <w:next w:val="Normal"/>
    <w:rsid w:val="00901E03"/>
  </w:style>
  <w:style w:type="paragraph" w:customStyle="1" w:styleId="Heading2NotesContd">
    <w:name w:val="Heading 2 Notes Cont'd"/>
    <w:basedOn w:val="Heading2Notes"/>
    <w:rsid w:val="00901E03"/>
  </w:style>
  <w:style w:type="paragraph" w:customStyle="1" w:styleId="HighlightBoxText">
    <w:name w:val="Highlight Box Text"/>
    <w:basedOn w:val="HighlightBoxBullet"/>
    <w:qFormat/>
    <w:rsid w:val="00901E03"/>
    <w:pPr>
      <w:numPr>
        <w:numId w:val="0"/>
      </w:numPr>
    </w:pPr>
  </w:style>
  <w:style w:type="paragraph" w:styleId="TOC1">
    <w:name w:val="toc 1"/>
    <w:basedOn w:val="Normal"/>
    <w:next w:val="Normal"/>
    <w:uiPriority w:val="39"/>
    <w:rsid w:val="0035439A"/>
    <w:pPr>
      <w:tabs>
        <w:tab w:val="right" w:leader="dot" w:pos="9531"/>
      </w:tabs>
      <w:spacing w:before="40" w:after="40"/>
      <w:ind w:right="422"/>
    </w:pPr>
    <w:rPr>
      <w:rFonts w:ascii="Calibri" w:hAnsi="Calibri"/>
      <w:b/>
    </w:rPr>
  </w:style>
  <w:style w:type="paragraph" w:styleId="TOC2">
    <w:name w:val="toc 2"/>
    <w:basedOn w:val="Normal"/>
    <w:next w:val="Normal"/>
    <w:uiPriority w:val="39"/>
    <w:rsid w:val="0035439A"/>
    <w:pPr>
      <w:tabs>
        <w:tab w:val="right" w:leader="dot" w:pos="9531"/>
      </w:tabs>
      <w:spacing w:after="0"/>
      <w:ind w:left="288" w:right="422"/>
    </w:pPr>
    <w:rPr>
      <w:rFonts w:ascii="Calibri" w:hAnsi="Calibri"/>
      <w:sz w:val="22"/>
    </w:rPr>
  </w:style>
  <w:style w:type="paragraph" w:styleId="TOC3">
    <w:name w:val="toc 3"/>
    <w:basedOn w:val="Normal"/>
    <w:next w:val="Normal"/>
    <w:rsid w:val="00BB71EC"/>
    <w:pPr>
      <w:tabs>
        <w:tab w:val="right" w:leader="dot" w:pos="7830"/>
      </w:tabs>
      <w:spacing w:after="0"/>
      <w:ind w:left="432" w:right="422"/>
    </w:pPr>
    <w:rPr>
      <w:rFonts w:ascii="Calibri" w:hAnsi="Calibri"/>
      <w:i/>
      <w:sz w:val="22"/>
    </w:rPr>
  </w:style>
  <w:style w:type="paragraph" w:styleId="TOC4">
    <w:name w:val="toc 4"/>
    <w:basedOn w:val="TOC1"/>
    <w:next w:val="Normal"/>
    <w:uiPriority w:val="39"/>
    <w:rsid w:val="00742218"/>
    <w:pPr>
      <w:tabs>
        <w:tab w:val="clear" w:pos="9531"/>
        <w:tab w:val="right" w:leader="dot" w:pos="9533"/>
      </w:tabs>
      <w:spacing w:after="0"/>
      <w:ind w:left="1152" w:hanging="1152"/>
    </w:pPr>
    <w:rPr>
      <w:b w:val="0"/>
      <w:sz w:val="22"/>
    </w:rPr>
  </w:style>
  <w:style w:type="paragraph" w:styleId="TOC5">
    <w:name w:val="toc 5"/>
    <w:basedOn w:val="TOC1"/>
    <w:next w:val="Normal"/>
    <w:rsid w:val="00742218"/>
    <w:rPr>
      <w:b w:val="0"/>
      <w:sz w:val="22"/>
    </w:rPr>
  </w:style>
  <w:style w:type="paragraph" w:customStyle="1" w:styleId="Tableheadingcontinued">
    <w:name w:val="Table heading continued"/>
    <w:basedOn w:val="Tableheading"/>
    <w:rsid w:val="00901E03"/>
  </w:style>
  <w:style w:type="paragraph" w:customStyle="1" w:styleId="TableTextCentred">
    <w:name w:val="Table Text Centred"/>
    <w:basedOn w:val="Tabletext"/>
    <w:rsid w:val="00901E03"/>
    <w:pPr>
      <w:ind w:left="0" w:firstLine="0"/>
      <w:jc w:val="center"/>
    </w:pPr>
  </w:style>
  <w:style w:type="paragraph" w:customStyle="1" w:styleId="Heading3Numbering">
    <w:name w:val="Heading 3 Numbering"/>
    <w:basedOn w:val="Heading3"/>
    <w:rsid w:val="00901E03"/>
    <w:pPr>
      <w:numPr>
        <w:numId w:val="40"/>
      </w:numPr>
      <w:tabs>
        <w:tab w:val="left" w:pos="504"/>
      </w:tabs>
    </w:pPr>
  </w:style>
  <w:style w:type="paragraph" w:customStyle="1" w:styleId="Heading5a">
    <w:name w:val="Heading 5a"/>
    <w:basedOn w:val="Heading5"/>
    <w:rsid w:val="00BB71EC"/>
    <w:pPr>
      <w:tabs>
        <w:tab w:val="clear" w:pos="504"/>
      </w:tabs>
    </w:pPr>
    <w:rPr>
      <w:b w:val="0"/>
      <w:i/>
      <w:sz w:val="23"/>
    </w:rPr>
  </w:style>
  <w:style w:type="character" w:customStyle="1" w:styleId="OGTabBulletChar">
    <w:name w:val="OGTabBullet Char"/>
    <w:link w:val="OGTabBullet"/>
    <w:rsid w:val="000F532A"/>
    <w:rPr>
      <w:rFonts w:ascii="Calibri" w:hAnsi="Calibri"/>
      <w:sz w:val="22"/>
      <w:szCs w:val="18"/>
      <w:lang w:val="en-AU" w:eastAsia="en-AU" w:bidi="ar-SA"/>
    </w:rPr>
  </w:style>
  <w:style w:type="paragraph" w:customStyle="1" w:styleId="OGTabBullet">
    <w:name w:val="OGTabBullet"/>
    <w:basedOn w:val="OGBullet"/>
    <w:link w:val="OGTabBulletChar"/>
    <w:semiHidden/>
    <w:rsid w:val="000F532A"/>
    <w:pPr>
      <w:numPr>
        <w:numId w:val="46"/>
      </w:numPr>
      <w:spacing w:before="30" w:after="30"/>
    </w:pPr>
    <w:rPr>
      <w:lang w:eastAsia="en-AU"/>
    </w:rPr>
  </w:style>
  <w:style w:type="paragraph" w:customStyle="1" w:styleId="TabletextheadingCentred">
    <w:name w:val="Table text heading Centred"/>
    <w:basedOn w:val="Tabletextheading"/>
    <w:link w:val="TabletextheadingCentredChar"/>
    <w:rsid w:val="00901E03"/>
    <w:pPr>
      <w:jc w:val="center"/>
    </w:pPr>
  </w:style>
  <w:style w:type="paragraph" w:customStyle="1" w:styleId="DashText">
    <w:name w:val="Dash Text"/>
    <w:basedOn w:val="Normal"/>
    <w:qFormat/>
    <w:rsid w:val="00901E03"/>
    <w:pPr>
      <w:numPr>
        <w:ilvl w:val="1"/>
        <w:numId w:val="38"/>
      </w:numPr>
    </w:pPr>
  </w:style>
  <w:style w:type="paragraph" w:styleId="BalloonText">
    <w:name w:val="Balloon Text"/>
    <w:basedOn w:val="Normal"/>
    <w:link w:val="BalloonTextChar"/>
    <w:locked/>
    <w:rsid w:val="000357A6"/>
    <w:pPr>
      <w:spacing w:after="0"/>
    </w:pPr>
    <w:rPr>
      <w:rFonts w:ascii="Tahoma" w:hAnsi="Tahoma" w:cs="Tahoma"/>
      <w:sz w:val="16"/>
      <w:szCs w:val="16"/>
    </w:rPr>
  </w:style>
  <w:style w:type="character" w:customStyle="1" w:styleId="BalloonTextChar">
    <w:name w:val="Balloon Text Char"/>
    <w:basedOn w:val="DefaultParagraphFont"/>
    <w:link w:val="BalloonText"/>
    <w:rsid w:val="000357A6"/>
    <w:rPr>
      <w:rFonts w:ascii="Tahoma" w:hAnsi="Tahoma" w:cs="Tahoma"/>
      <w:sz w:val="16"/>
      <w:szCs w:val="16"/>
      <w:lang w:eastAsia="en-US"/>
    </w:rPr>
  </w:style>
  <w:style w:type="paragraph" w:customStyle="1" w:styleId="NotesIndent">
    <w:name w:val="NotesIndent"/>
    <w:basedOn w:val="Notes"/>
    <w:rsid w:val="00901E03"/>
    <w:pPr>
      <w:ind w:left="915"/>
    </w:pPr>
  </w:style>
  <w:style w:type="paragraph" w:customStyle="1" w:styleId="NotesDash">
    <w:name w:val="NotesDash"/>
    <w:basedOn w:val="NotesIndent"/>
    <w:rsid w:val="005B5BD0"/>
    <w:pPr>
      <w:numPr>
        <w:numId w:val="42"/>
      </w:numPr>
      <w:tabs>
        <w:tab w:val="clear" w:pos="454"/>
        <w:tab w:val="clear" w:pos="922"/>
        <w:tab w:val="left" w:pos="749"/>
      </w:tabs>
      <w:ind w:left="749" w:hanging="288"/>
    </w:pPr>
  </w:style>
  <w:style w:type="paragraph" w:customStyle="1" w:styleId="VAGOText">
    <w:name w:val="VAGOText"/>
    <w:basedOn w:val="Normal"/>
    <w:semiHidden/>
    <w:rsid w:val="00901E03"/>
    <w:pPr>
      <w:spacing w:before="120"/>
    </w:pPr>
    <w:rPr>
      <w:rFonts w:ascii="Arial" w:hAnsi="Arial" w:cs="Arial"/>
      <w:sz w:val="16"/>
      <w:szCs w:val="16"/>
    </w:rPr>
  </w:style>
  <w:style w:type="paragraph" w:customStyle="1" w:styleId="VAGOHeading2">
    <w:name w:val="VAGOHeading2"/>
    <w:basedOn w:val="Normal"/>
    <w:semiHidden/>
    <w:rsid w:val="00901E03"/>
    <w:rPr>
      <w:rFonts w:ascii="Arial" w:hAnsi="Arial" w:cs="Arial"/>
      <w:b/>
      <w:sz w:val="16"/>
      <w:szCs w:val="16"/>
    </w:rPr>
  </w:style>
  <w:style w:type="paragraph" w:customStyle="1" w:styleId="VAGOHeading1">
    <w:name w:val="VAGOHeading1"/>
    <w:basedOn w:val="Normal"/>
    <w:semiHidden/>
    <w:rsid w:val="00901E03"/>
    <w:pPr>
      <w:jc w:val="center"/>
    </w:pPr>
    <w:rPr>
      <w:rFonts w:ascii="Arial" w:hAnsi="Arial" w:cs="Arial"/>
      <w:b/>
      <w:sz w:val="17"/>
      <w:szCs w:val="17"/>
    </w:rPr>
  </w:style>
  <w:style w:type="paragraph" w:customStyle="1" w:styleId="VAGOHeading3">
    <w:name w:val="VAGOHeading3"/>
    <w:basedOn w:val="VAGOHeading2"/>
    <w:semiHidden/>
    <w:rsid w:val="00901E03"/>
    <w:rPr>
      <w:b w:val="0"/>
      <w:i/>
    </w:rPr>
  </w:style>
  <w:style w:type="character" w:customStyle="1" w:styleId="TableheadingChar">
    <w:name w:val="Table heading Char"/>
    <w:link w:val="Tableheading"/>
    <w:rsid w:val="00AC5693"/>
    <w:rPr>
      <w:rFonts w:ascii="Calibri" w:hAnsi="Calibri"/>
      <w:b/>
      <w:sz w:val="25"/>
      <w:lang w:eastAsia="en-US"/>
    </w:rPr>
  </w:style>
  <w:style w:type="paragraph" w:customStyle="1" w:styleId="TabletextheadingLeft">
    <w:name w:val="Table text heading Left"/>
    <w:basedOn w:val="Tabletextheading"/>
    <w:rsid w:val="00901E03"/>
    <w:pPr>
      <w:jc w:val="left"/>
    </w:pPr>
  </w:style>
  <w:style w:type="paragraph" w:customStyle="1" w:styleId="Chartpara">
    <w:name w:val="Chart para"/>
    <w:basedOn w:val="Normal"/>
    <w:semiHidden/>
    <w:rsid w:val="00901E03"/>
    <w:pPr>
      <w:spacing w:after="0"/>
    </w:pPr>
  </w:style>
  <w:style w:type="paragraph" w:customStyle="1" w:styleId="FrontPage">
    <w:name w:val="Front Page"/>
    <w:basedOn w:val="Normal"/>
    <w:semiHidden/>
    <w:rsid w:val="00C2380B"/>
    <w:pPr>
      <w:jc w:val="center"/>
    </w:pPr>
    <w:rPr>
      <w:rFonts w:ascii="Calibri" w:hAnsi="Calibri"/>
      <w:b/>
      <w:sz w:val="54"/>
      <w:szCs w:val="52"/>
    </w:rPr>
  </w:style>
  <w:style w:type="paragraph" w:customStyle="1" w:styleId="FrontPage2">
    <w:name w:val="Front Page 2"/>
    <w:basedOn w:val="FrontPage"/>
    <w:semiHidden/>
    <w:rsid w:val="00901E03"/>
    <w:pPr>
      <w:pBdr>
        <w:bottom w:val="single" w:sz="12" w:space="1" w:color="auto"/>
      </w:pBdr>
    </w:pPr>
  </w:style>
  <w:style w:type="paragraph" w:customStyle="1" w:styleId="FrontPage3">
    <w:name w:val="Front Page 3"/>
    <w:basedOn w:val="Normal"/>
    <w:semiHidden/>
    <w:rsid w:val="00C2380B"/>
    <w:pPr>
      <w:jc w:val="center"/>
    </w:pPr>
    <w:rPr>
      <w:rFonts w:ascii="Calibri" w:hAnsi="Calibri"/>
      <w:sz w:val="30"/>
      <w:szCs w:val="28"/>
    </w:rPr>
  </w:style>
  <w:style w:type="paragraph" w:customStyle="1" w:styleId="FrontPageBP">
    <w:name w:val="Front Page BP"/>
    <w:basedOn w:val="Normal"/>
    <w:semiHidden/>
    <w:rsid w:val="00C2380B"/>
    <w:pPr>
      <w:jc w:val="center"/>
    </w:pPr>
    <w:rPr>
      <w:rFonts w:ascii="Calibri" w:hAnsi="Calibri"/>
      <w:b/>
      <w:sz w:val="34"/>
      <w:szCs w:val="32"/>
    </w:rPr>
  </w:style>
  <w:style w:type="paragraph" w:customStyle="1" w:styleId="FrontPageHon">
    <w:name w:val="Front Page Hon"/>
    <w:basedOn w:val="Normal"/>
    <w:semiHidden/>
    <w:rsid w:val="00C2380B"/>
    <w:pPr>
      <w:jc w:val="center"/>
    </w:pPr>
    <w:rPr>
      <w:rFonts w:ascii="Calibri" w:hAnsi="Calibri"/>
      <w:sz w:val="32"/>
      <w:szCs w:val="30"/>
    </w:rPr>
  </w:style>
  <w:style w:type="paragraph" w:customStyle="1" w:styleId="FrontPageMin">
    <w:name w:val="Front Page Min"/>
    <w:basedOn w:val="Normal"/>
    <w:semiHidden/>
    <w:rsid w:val="00C2380B"/>
    <w:pPr>
      <w:jc w:val="center"/>
    </w:pPr>
    <w:rPr>
      <w:rFonts w:ascii="Calibri" w:hAnsi="Calibri"/>
      <w:sz w:val="36"/>
      <w:szCs w:val="36"/>
    </w:rPr>
  </w:style>
  <w:style w:type="paragraph" w:customStyle="1" w:styleId="Heading2NotesQtrly">
    <w:name w:val="Heading 2 Notes Qtrly"/>
    <w:basedOn w:val="Heading2Notes"/>
    <w:rsid w:val="00901E03"/>
  </w:style>
  <w:style w:type="paragraph" w:customStyle="1" w:styleId="Heading3NumberingBP4">
    <w:name w:val="Heading 3 Numbering BP4"/>
    <w:basedOn w:val="Heading3Numbering"/>
    <w:semiHidden/>
    <w:rsid w:val="00901E03"/>
    <w:pPr>
      <w:numPr>
        <w:numId w:val="0"/>
      </w:numPr>
    </w:pPr>
  </w:style>
  <w:style w:type="paragraph" w:customStyle="1" w:styleId="HighlightBoxBullet">
    <w:name w:val="Highlight Box Bullet"/>
    <w:basedOn w:val="Normal"/>
    <w:qFormat/>
    <w:rsid w:val="00477003"/>
    <w:pPr>
      <w:numPr>
        <w:numId w:val="41"/>
      </w:numPr>
      <w:shd w:val="pct10" w:color="auto" w:fill="FFFFFF"/>
      <w:ind w:left="360"/>
    </w:pPr>
  </w:style>
  <w:style w:type="paragraph" w:customStyle="1" w:styleId="HighlightBoxHeading">
    <w:name w:val="Highlight Box Heading"/>
    <w:basedOn w:val="Heading5a"/>
    <w:qFormat/>
    <w:rsid w:val="00901E03"/>
    <w:pPr>
      <w:shd w:val="clear" w:color="auto" w:fill="E6E6E6"/>
    </w:pPr>
  </w:style>
  <w:style w:type="paragraph" w:styleId="Index1">
    <w:name w:val="index 1"/>
    <w:basedOn w:val="Normal"/>
    <w:next w:val="Normal"/>
    <w:autoRedefine/>
    <w:semiHidden/>
    <w:rsid w:val="00901E03"/>
    <w:pPr>
      <w:spacing w:after="0"/>
      <w:ind w:left="220" w:hanging="220"/>
    </w:pPr>
    <w:rPr>
      <w:sz w:val="18"/>
      <w:szCs w:val="18"/>
    </w:rPr>
  </w:style>
  <w:style w:type="paragraph" w:styleId="Index2">
    <w:name w:val="index 2"/>
    <w:basedOn w:val="Normal"/>
    <w:next w:val="Normal"/>
    <w:autoRedefine/>
    <w:semiHidden/>
    <w:rsid w:val="00901E03"/>
    <w:pPr>
      <w:spacing w:after="0"/>
      <w:ind w:left="440" w:hanging="220"/>
    </w:pPr>
    <w:rPr>
      <w:sz w:val="18"/>
      <w:szCs w:val="18"/>
    </w:rPr>
  </w:style>
  <w:style w:type="paragraph" w:styleId="IndexHeading">
    <w:name w:val="index heading"/>
    <w:basedOn w:val="Normal"/>
    <w:next w:val="Index1"/>
    <w:semiHidden/>
    <w:rsid w:val="00901E03"/>
    <w:pPr>
      <w:spacing w:before="240"/>
      <w:jc w:val="center"/>
    </w:pPr>
    <w:rPr>
      <w:b/>
      <w:bCs/>
      <w:sz w:val="26"/>
      <w:szCs w:val="26"/>
    </w:rPr>
  </w:style>
  <w:style w:type="paragraph" w:styleId="NormalIndent">
    <w:name w:val="Normal Indent"/>
    <w:basedOn w:val="Normal"/>
    <w:semiHidden/>
    <w:locked/>
    <w:rsid w:val="00901E03"/>
    <w:pPr>
      <w:ind w:left="360"/>
    </w:pPr>
  </w:style>
  <w:style w:type="character" w:customStyle="1" w:styleId="OGHeading2Char">
    <w:name w:val="OGHeading2 Char"/>
    <w:link w:val="OGHeading2"/>
    <w:rsid w:val="00BB71EC"/>
    <w:rPr>
      <w:rFonts w:ascii="Calibri" w:hAnsi="Calibri"/>
      <w:b/>
      <w:sz w:val="30"/>
      <w:szCs w:val="24"/>
      <w:lang w:val="en-AU" w:eastAsia="en-US" w:bidi="ar-SA"/>
    </w:rPr>
  </w:style>
  <w:style w:type="paragraph" w:customStyle="1" w:styleId="OGNotes">
    <w:name w:val="OGNotes"/>
    <w:basedOn w:val="NotesIndent"/>
    <w:semiHidden/>
    <w:rsid w:val="00901E03"/>
    <w:pPr>
      <w:tabs>
        <w:tab w:val="clear" w:pos="454"/>
      </w:tabs>
      <w:spacing w:after="60"/>
      <w:ind w:left="360" w:right="115" w:firstLine="0"/>
    </w:pPr>
    <w:rPr>
      <w:lang w:eastAsia="en-AU"/>
    </w:rPr>
  </w:style>
  <w:style w:type="paragraph" w:customStyle="1" w:styleId="OGNotesIndent">
    <w:name w:val="OGNotesIndent"/>
    <w:basedOn w:val="OGNotes"/>
    <w:semiHidden/>
    <w:rsid w:val="00901E03"/>
    <w:pPr>
      <w:ind w:left="720" w:hanging="360"/>
    </w:pPr>
  </w:style>
  <w:style w:type="paragraph" w:customStyle="1" w:styleId="OGUoM">
    <w:name w:val="OGUoM"/>
    <w:basedOn w:val="TableTextCentred"/>
    <w:semiHidden/>
    <w:rsid w:val="00901E03"/>
    <w:pPr>
      <w:spacing w:before="30" w:after="30"/>
    </w:pPr>
  </w:style>
  <w:style w:type="paragraph" w:customStyle="1" w:styleId="OGTabColCentred">
    <w:name w:val="OGTabColCentred"/>
    <w:basedOn w:val="OGUoM"/>
    <w:semiHidden/>
    <w:rsid w:val="00901E03"/>
    <w:rPr>
      <w:b/>
      <w:lang w:eastAsia="en-AU"/>
    </w:rPr>
  </w:style>
  <w:style w:type="paragraph" w:customStyle="1" w:styleId="OGTableofFigures">
    <w:name w:val="OGTable of Figures"/>
    <w:basedOn w:val="TableofFigures"/>
    <w:semiHidden/>
    <w:rsid w:val="00901E03"/>
    <w:pPr>
      <w:spacing w:before="30" w:after="30"/>
    </w:pPr>
  </w:style>
  <w:style w:type="paragraph" w:customStyle="1" w:styleId="OGTabColRight">
    <w:name w:val="OGTabColRight"/>
    <w:basedOn w:val="OGTableofFigures"/>
    <w:semiHidden/>
    <w:rsid w:val="00901E03"/>
    <w:rPr>
      <w:b/>
    </w:rPr>
  </w:style>
  <w:style w:type="paragraph" w:customStyle="1" w:styleId="OGTabColLeft">
    <w:name w:val="OGTabColLeft"/>
    <w:basedOn w:val="OGTabColRight"/>
    <w:semiHidden/>
    <w:rsid w:val="00901E03"/>
    <w:pPr>
      <w:jc w:val="left"/>
    </w:pPr>
    <w:rPr>
      <w:lang w:eastAsia="en-AU"/>
    </w:rPr>
  </w:style>
  <w:style w:type="character" w:customStyle="1" w:styleId="OGTabTextChar">
    <w:name w:val="OGTabText Char"/>
    <w:link w:val="OGTabText"/>
    <w:rsid w:val="00BB71EC"/>
    <w:rPr>
      <w:rFonts w:ascii="Calibri" w:hAnsi="Calibri"/>
      <w:sz w:val="22"/>
      <w:szCs w:val="18"/>
      <w:lang w:val="en-AU" w:eastAsia="en-US" w:bidi="ar-SA"/>
    </w:rPr>
  </w:style>
  <w:style w:type="character" w:customStyle="1" w:styleId="OGTextChar">
    <w:name w:val="OGText Char"/>
    <w:link w:val="OGText"/>
    <w:rsid w:val="00BB71EC"/>
    <w:rPr>
      <w:rFonts w:ascii="Calibri" w:hAnsi="Calibri"/>
      <w:sz w:val="22"/>
      <w:szCs w:val="18"/>
      <w:lang w:val="en-AU" w:eastAsia="en-US" w:bidi="ar-SA"/>
    </w:rPr>
  </w:style>
  <w:style w:type="paragraph" w:customStyle="1" w:styleId="TableofContentscontinued">
    <w:name w:val="Table of Contents continued"/>
    <w:basedOn w:val="Normal"/>
    <w:rsid w:val="00BB71EC"/>
    <w:pPr>
      <w:keepNext/>
      <w:tabs>
        <w:tab w:val="left" w:pos="1152"/>
      </w:tabs>
      <w:spacing w:before="240"/>
      <w:ind w:left="1152" w:hanging="1152"/>
      <w:outlineLvl w:val="1"/>
    </w:pPr>
    <w:rPr>
      <w:rFonts w:ascii="Calibri" w:hAnsi="Calibri"/>
      <w:b/>
      <w:kern w:val="28"/>
      <w:sz w:val="28"/>
      <w:szCs w:val="22"/>
    </w:rPr>
  </w:style>
  <w:style w:type="character" w:customStyle="1" w:styleId="TableofFiguresChar">
    <w:name w:val="Table of Figures Char"/>
    <w:link w:val="TableofFigures"/>
    <w:rsid w:val="00AC5693"/>
    <w:rPr>
      <w:rFonts w:ascii="Calibri" w:hAnsi="Calibri"/>
      <w:sz w:val="22"/>
      <w:szCs w:val="18"/>
      <w:lang w:eastAsia="en-US"/>
    </w:rPr>
  </w:style>
  <w:style w:type="paragraph" w:customStyle="1" w:styleId="TableTextindent">
    <w:name w:val="Table Text indent"/>
    <w:basedOn w:val="Tabletext"/>
    <w:rsid w:val="00901E03"/>
    <w:pPr>
      <w:ind w:left="360" w:firstLine="0"/>
    </w:pPr>
  </w:style>
  <w:style w:type="paragraph" w:customStyle="1" w:styleId="TableTextindent2">
    <w:name w:val="Table Text indent 2"/>
    <w:basedOn w:val="TableTextindent"/>
    <w:rsid w:val="00901E03"/>
    <w:pPr>
      <w:ind w:left="720"/>
    </w:pPr>
  </w:style>
  <w:style w:type="paragraph" w:customStyle="1" w:styleId="VAGOBullet">
    <w:name w:val="VAGOBullet"/>
    <w:basedOn w:val="VAGOText"/>
    <w:semiHidden/>
    <w:rsid w:val="00901E03"/>
    <w:pPr>
      <w:numPr>
        <w:numId w:val="45"/>
      </w:numPr>
      <w:ind w:right="-51"/>
    </w:pPr>
    <w:rPr>
      <w:iCs/>
    </w:rPr>
  </w:style>
  <w:style w:type="character" w:customStyle="1" w:styleId="TabletextChar">
    <w:name w:val="Table text Char"/>
    <w:link w:val="Tabletext"/>
    <w:rsid w:val="00AC5693"/>
    <w:rPr>
      <w:rFonts w:ascii="Calibri" w:hAnsi="Calibri"/>
      <w:sz w:val="22"/>
      <w:szCs w:val="18"/>
      <w:lang w:eastAsia="en-US"/>
    </w:rPr>
  </w:style>
  <w:style w:type="character" w:customStyle="1" w:styleId="millionChar">
    <w:name w:val="$million Char"/>
    <w:link w:val="million"/>
    <w:rsid w:val="00AC5693"/>
    <w:rPr>
      <w:rFonts w:ascii="Calibri" w:hAnsi="Calibri"/>
      <w:i/>
      <w:szCs w:val="18"/>
      <w:lang w:eastAsia="en-US"/>
    </w:rPr>
  </w:style>
  <w:style w:type="character" w:customStyle="1" w:styleId="TabletextheadingChar">
    <w:name w:val="Table text heading Char"/>
    <w:link w:val="Tabletextheading"/>
    <w:locked/>
    <w:rsid w:val="00AC5693"/>
    <w:rPr>
      <w:rFonts w:ascii="Calibri" w:hAnsi="Calibri"/>
      <w:i/>
      <w:sz w:val="22"/>
      <w:szCs w:val="18"/>
      <w:lang w:eastAsia="en-US"/>
    </w:rPr>
  </w:style>
  <w:style w:type="character" w:customStyle="1" w:styleId="SourceChar">
    <w:name w:val="Source Char"/>
    <w:link w:val="Source"/>
    <w:locked/>
    <w:rsid w:val="00AC5693"/>
    <w:rPr>
      <w:rFonts w:ascii="Calibri" w:hAnsi="Calibri"/>
      <w:i/>
      <w:sz w:val="16"/>
      <w:lang w:eastAsia="en-US"/>
    </w:rPr>
  </w:style>
  <w:style w:type="character" w:customStyle="1" w:styleId="TabletextheadingCentredChar">
    <w:name w:val="Table text heading Centred Char"/>
    <w:link w:val="TabletextheadingCentred"/>
    <w:locked/>
    <w:rsid w:val="00AC5693"/>
    <w:rPr>
      <w:rFonts w:ascii="Calibri" w:hAnsi="Calibri"/>
      <w:i/>
      <w:sz w:val="22"/>
      <w:szCs w:val="18"/>
      <w:lang w:eastAsia="en-US"/>
    </w:rPr>
  </w:style>
  <w:style w:type="table" w:customStyle="1" w:styleId="TableDTFfinancialcompact">
    <w:name w:val="Table DTF financial (compact)"/>
    <w:basedOn w:val="TableNormal"/>
    <w:uiPriority w:val="99"/>
    <w:rsid w:val="00EF122D"/>
    <w:pPr>
      <w:spacing w:before="20" w:after="20"/>
      <w:ind w:left="170" w:hanging="170"/>
      <w:jc w:val="right"/>
    </w:pPr>
    <w:rPr>
      <w:rFonts w:asciiTheme="minorHAnsi" w:eastAsiaTheme="minorHAnsi" w:hAnsiTheme="minorHAnsi" w:cstheme="minorBidi"/>
      <w:spacing w:val="2"/>
      <w:sz w:val="14"/>
      <w:szCs w:val="21"/>
      <w:lang w:eastAsia="en-US"/>
    </w:rPr>
    <w:tblPr>
      <w:tblInd w:w="28" w:type="dxa"/>
      <w:tblBorders>
        <w:bottom w:val="single" w:sz="6" w:space="0" w:color="auto"/>
      </w:tblBorders>
      <w:tblCellMar>
        <w:left w:w="57" w:type="dxa"/>
        <w:right w:w="57" w:type="dxa"/>
      </w:tblCellMar>
    </w:tblPr>
    <w:trPr>
      <w:cantSplit/>
    </w:trPr>
    <w:tblStylePr w:type="firstRow">
      <w:pPr>
        <w:keepNext/>
        <w:keepLines/>
        <w:widowControl/>
        <w:wordWrap/>
        <w:jc w:val="right"/>
      </w:pPr>
      <w:rPr>
        <w:i/>
      </w:rPr>
      <w:tblPr/>
      <w:trPr>
        <w:tblHeader/>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ind w:leftChars="0" w:left="170" w:rightChars="0" w:right="0" w:firstLineChars="0" w:hanging="170"/>
        <w:jc w:val="left"/>
      </w:pPr>
    </w:tblStylePr>
  </w:style>
  <w:style w:type="table" w:customStyle="1" w:styleId="TableDTFGeneral">
    <w:name w:val="Table DTF General"/>
    <w:basedOn w:val="TableNormal"/>
    <w:uiPriority w:val="99"/>
    <w:rsid w:val="00EF122D"/>
    <w:pPr>
      <w:spacing w:before="20" w:after="20" w:line="264" w:lineRule="auto"/>
      <w:ind w:left="170" w:hanging="170"/>
    </w:pPr>
    <w:rPr>
      <w:rFonts w:asciiTheme="minorHAnsi" w:eastAsiaTheme="minorHAnsi" w:hAnsiTheme="minorHAnsi" w:cstheme="minorBidi"/>
      <w:spacing w:val="4"/>
      <w:sz w:val="17"/>
      <w:szCs w:val="21"/>
      <w:lang w:eastAsia="en-US"/>
    </w:rPr>
    <w:tblPr>
      <w:tblInd w:w="28" w:type="dxa"/>
      <w:tblBorders>
        <w:bottom w:val="single" w:sz="6" w:space="0" w:color="auto"/>
      </w:tblBorders>
      <w:tblCellMar>
        <w:left w:w="57" w:type="dxa"/>
        <w:right w:w="57" w:type="dxa"/>
      </w:tblCellMar>
    </w:tblPr>
    <w:trPr>
      <w:cantSplit/>
    </w:trPr>
    <w:tblStylePr w:type="firstRow">
      <w:rPr>
        <w:i/>
      </w:rPr>
      <w:tblPr/>
      <w:tcPr>
        <w:shd w:val="clear" w:color="auto" w:fill="000000" w:themeFill="text1"/>
      </w:tcPr>
    </w:tblStylePr>
    <w:tblStylePr w:type="lastRow">
      <w:tblPr/>
      <w:tcPr>
        <w:tcBorders>
          <w:top w:val="nil"/>
          <w:left w:val="nil"/>
          <w:bottom w:val="single" w:sz="12" w:space="0" w:color="000000" w:themeColor="text1"/>
          <w:right w:val="nil"/>
          <w:insideH w:val="nil"/>
          <w:insideV w:val="nil"/>
          <w:tl2br w:val="nil"/>
          <w:tr2bl w:val="nil"/>
        </w:tcBorders>
      </w:tcPr>
    </w:tblStylePr>
    <w:tblStylePr w:type="firstCol">
      <w:pPr>
        <w:wordWrap/>
        <w:ind w:leftChars="0" w:left="170" w:rightChars="0" w:right="0" w:firstLineChars="0" w:hanging="170"/>
      </w:pPr>
    </w:tblStylePr>
  </w:style>
  <w:style w:type="paragraph" w:customStyle="1" w:styleId="VersionTableText">
    <w:name w:val="VersionTableText"/>
    <w:basedOn w:val="Normal"/>
    <w:rsid w:val="00443963"/>
    <w:pPr>
      <w:spacing w:after="0"/>
      <w:jc w:val="center"/>
    </w:pPr>
    <w:rPr>
      <w:rFonts w:ascii="Calibri" w:hAnsi="Calibri"/>
      <w:sz w:val="22"/>
    </w:rPr>
  </w:style>
  <w:style w:type="paragraph" w:customStyle="1" w:styleId="VersionTableHeading">
    <w:name w:val="VersionTableHeading"/>
    <w:basedOn w:val="Normal"/>
    <w:rsid w:val="00443963"/>
    <w:pPr>
      <w:spacing w:after="0"/>
      <w:jc w:val="center"/>
    </w:pPr>
    <w:rPr>
      <w:rFonts w:ascii="Calibri" w:hAnsi="Calibri"/>
      <w:b/>
      <w:sz w:val="22"/>
    </w:rPr>
  </w:style>
  <w:style w:type="character" w:customStyle="1" w:styleId="Heading6Char">
    <w:name w:val="Heading 6 Char"/>
    <w:basedOn w:val="DefaultParagraphFont"/>
    <w:link w:val="Heading6"/>
    <w:rsid w:val="00443963"/>
    <w:rPr>
      <w:rFonts w:ascii="Calibri" w:eastAsiaTheme="minorEastAsia" w:hAnsi="Calibri" w:cs="Calibri"/>
      <w:b/>
      <w:bCs/>
      <w:color w:val="000000"/>
      <w:sz w:val="22"/>
      <w:szCs w:val="22"/>
    </w:rPr>
  </w:style>
  <w:style w:type="character" w:styleId="Hyperlink">
    <w:name w:val="Hyperlink"/>
    <w:basedOn w:val="DefaultParagraphFont"/>
    <w:uiPriority w:val="99"/>
    <w:unhideWhenUsed/>
    <w:locked/>
    <w:rsid w:val="00443963"/>
    <w:rPr>
      <w:color w:val="0000FF" w:themeColor="hyperlink"/>
      <w:u w:val="single"/>
    </w:rPr>
  </w:style>
  <w:style w:type="paragraph" w:customStyle="1" w:styleId="OddFooterLandscape">
    <w:name w:val="OddFooterLandscape"/>
    <w:basedOn w:val="Footer"/>
    <w:qFormat/>
    <w:rsid w:val="00443963"/>
    <w:pPr>
      <w:pBdr>
        <w:top w:val="single" w:sz="6" w:space="0" w:color="auto"/>
      </w:pBdr>
      <w:tabs>
        <w:tab w:val="clear" w:pos="7085"/>
        <w:tab w:val="center" w:pos="5947"/>
        <w:tab w:val="right" w:pos="9634"/>
      </w:tabs>
    </w:pPr>
  </w:style>
  <w:style w:type="paragraph" w:styleId="ListParagraph">
    <w:name w:val="List Paragraph"/>
    <w:basedOn w:val="Normal"/>
    <w:uiPriority w:val="34"/>
    <w:rsid w:val="009139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3" w:semiHidden="1"/>
    <w:lsdException w:name="index 4" w:semiHidden="1"/>
    <w:lsdException w:name="index 5" w:semiHidden="1"/>
    <w:lsdException w:name="index 6" w:locked="1" w:semiHidden="1"/>
    <w:lsdException w:name="index 7" w:locked="1" w:semiHidden="1"/>
    <w:lsdException w:name="index 8" w:locked="1" w:semiHidden="1"/>
    <w:lsdException w:name="index 9" w:locked="1" w:semiHidden="1"/>
    <w:lsdException w:name="toc 1" w:uiPriority="39"/>
    <w:lsdException w:name="toc 2" w:uiPriority="39"/>
    <w:lsdException w:name="toc 4" w:uiPriority="39"/>
    <w:lsdException w:name="toc 6" w:locked="1" w:semiHidden="1"/>
    <w:lsdException w:name="toc 7" w:locked="1" w:semiHidden="1"/>
    <w:lsdException w:name="toc 8" w:locked="1" w:semiHidden="1"/>
    <w:lsdException w:name="toc 9" w:locked="1" w:semiHidden="1"/>
    <w:lsdException w:name="Normal Indent" w:locked="1"/>
    <w:lsdException w:name="footnote text" w:locked="1"/>
    <w:lsdException w:name="annotation text" w:locked="1" w:semiHidden="1"/>
    <w:lsdException w:name="caption" w:locked="1" w:semiHidden="1" w:unhideWhenUsed="1" w:qFormat="1"/>
    <w:lsdException w:name="table of figures" w:qFormat="1"/>
    <w:lsdException w:name="envelope address" w:locked="1" w:semiHidden="1"/>
    <w:lsdException w:name="envelope return" w:locked="1" w:semiHidden="1"/>
    <w:lsdException w:name="footnote reference" w:locked="1"/>
    <w:lsdException w:name="annotation reference" w:locked="1" w:semiHidden="1"/>
    <w:lsdException w:name="line number" w:locked="1" w:semiHidden="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locked="1" w:semiHidden="1"/>
    <w:lsdException w:name="Closing" w:locked="1" w:semiHidden="1"/>
    <w:lsdException w:name="Signature" w:locked="1" w:semiHidden="1"/>
    <w:lsdException w:name="Body Text" w:locked="1" w:semiHidden="1"/>
    <w:lsdException w:name="Body Text Indent" w:locked="1" w:semiHidden="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locked="1" w:semiHidden="1"/>
    <w:lsdException w:name="Salutation" w:locked="1" w:semiHidden="1"/>
    <w:lsdException w:name="Date" w:locked="1" w:semiHidden="1"/>
    <w:lsdException w:name="Body Text First Indent" w:locked="1" w:semiHidden="1"/>
    <w:lsdException w:name="Body Text First Indent 2"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locked="1" w:uiPriority="99"/>
    <w:lsdException w:name="FollowedHyperlink" w:locked="1" w:semiHidden="1"/>
    <w:lsdException w:name="Strong" w:locked="1" w:semiHidden="1"/>
    <w:lsdException w:name="Emphasis" w:locked="1" w:semiHidden="1"/>
    <w:lsdException w:name="Document Map" w:locked="1" w:semiHidden="1"/>
    <w:lsdException w:name="Plain Text" w:locked="1" w:semiHidden="1"/>
    <w:lsdException w:name="E-mail Signature" w:locked="1" w:semiHidden="1"/>
    <w:lsdException w:name="Normal (Web)" w:locked="1" w:semiHidden="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annotation subject" w:locked="1" w:semiHidden="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uiPriority w:val="1"/>
    <w:qFormat/>
    <w:rsid w:val="00A9005B"/>
    <w:pPr>
      <w:spacing w:after="120"/>
    </w:pPr>
    <w:rPr>
      <w:rFonts w:ascii="Garamond" w:hAnsi="Garamond"/>
      <w:sz w:val="24"/>
      <w:lang w:eastAsia="en-US"/>
    </w:rPr>
  </w:style>
  <w:style w:type="paragraph" w:styleId="Heading1">
    <w:name w:val="heading 1"/>
    <w:basedOn w:val="Normal"/>
    <w:next w:val="Normal"/>
    <w:qFormat/>
    <w:rsid w:val="00BB71EC"/>
    <w:pPr>
      <w:keepNext/>
      <w:spacing w:before="360"/>
      <w:outlineLvl w:val="0"/>
    </w:pPr>
    <w:rPr>
      <w:rFonts w:ascii="Calibri" w:hAnsi="Calibri"/>
      <w:b/>
      <w:caps/>
      <w:sz w:val="28"/>
      <w:szCs w:val="22"/>
    </w:rPr>
  </w:style>
  <w:style w:type="paragraph" w:styleId="Heading2">
    <w:name w:val="heading 2"/>
    <w:basedOn w:val="Normal"/>
    <w:next w:val="Normal"/>
    <w:qFormat/>
    <w:rsid w:val="00BB71EC"/>
    <w:pPr>
      <w:keepNext/>
      <w:spacing w:before="240"/>
      <w:outlineLvl w:val="1"/>
    </w:pPr>
    <w:rPr>
      <w:rFonts w:ascii="Calibri" w:hAnsi="Calibri"/>
      <w:b/>
      <w:kern w:val="28"/>
      <w:sz w:val="28"/>
      <w:szCs w:val="22"/>
    </w:rPr>
  </w:style>
  <w:style w:type="paragraph" w:styleId="Heading3">
    <w:name w:val="heading 3"/>
    <w:basedOn w:val="Normal"/>
    <w:next w:val="Normal"/>
    <w:qFormat/>
    <w:rsid w:val="00BB71EC"/>
    <w:pPr>
      <w:keepNext/>
      <w:spacing w:before="240"/>
      <w:outlineLvl w:val="2"/>
    </w:pPr>
    <w:rPr>
      <w:rFonts w:ascii="Calibri" w:hAnsi="Calibri"/>
      <w:b/>
      <w:i/>
      <w:kern w:val="28"/>
      <w:sz w:val="26"/>
      <w:szCs w:val="22"/>
    </w:rPr>
  </w:style>
  <w:style w:type="paragraph" w:styleId="Heading4">
    <w:name w:val="heading 4"/>
    <w:basedOn w:val="Normal"/>
    <w:next w:val="Normal"/>
    <w:qFormat/>
    <w:rsid w:val="00BB71EC"/>
    <w:pPr>
      <w:keepNext/>
      <w:spacing w:before="240"/>
      <w:outlineLvl w:val="3"/>
    </w:pPr>
    <w:rPr>
      <w:rFonts w:ascii="Calibri" w:hAnsi="Calibri"/>
      <w:i/>
      <w:sz w:val="26"/>
      <w:szCs w:val="22"/>
    </w:rPr>
  </w:style>
  <w:style w:type="paragraph" w:styleId="Heading5">
    <w:name w:val="heading 5"/>
    <w:basedOn w:val="Normal"/>
    <w:next w:val="Normal"/>
    <w:qFormat/>
    <w:rsid w:val="00BB71EC"/>
    <w:pPr>
      <w:keepNext/>
      <w:tabs>
        <w:tab w:val="left" w:pos="504"/>
      </w:tabs>
      <w:spacing w:before="120" w:after="60"/>
      <w:outlineLvl w:val="4"/>
    </w:pPr>
    <w:rPr>
      <w:rFonts w:ascii="Calibri" w:hAnsi="Calibri"/>
      <w:b/>
    </w:rPr>
  </w:style>
  <w:style w:type="paragraph" w:styleId="Heading6">
    <w:name w:val="heading 6"/>
    <w:basedOn w:val="Normal"/>
    <w:next w:val="Normal"/>
    <w:link w:val="Heading6Char"/>
    <w:unhideWhenUsed/>
    <w:qFormat/>
    <w:locked/>
    <w:rsid w:val="00443963"/>
    <w:pPr>
      <w:keepNext/>
      <w:autoSpaceDE w:val="0"/>
      <w:autoSpaceDN w:val="0"/>
      <w:adjustRightInd w:val="0"/>
      <w:spacing w:after="0"/>
      <w:ind w:left="227" w:hanging="227"/>
      <w:outlineLvl w:val="5"/>
    </w:pPr>
    <w:rPr>
      <w:rFonts w:ascii="Calibri" w:eastAsiaTheme="minorEastAsia" w:hAnsi="Calibri" w:cs="Calibri"/>
      <w:b/>
      <w:bCs/>
      <w:color w:val="000000"/>
      <w:sz w:val="22"/>
      <w:szCs w:val="22"/>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690C84"/>
    <w:pPr>
      <w:spacing w:after="0"/>
      <w:jc w:val="center"/>
    </w:pPr>
    <w:rPr>
      <w:rFonts w:ascii="Calibri" w:hAnsi="Calibri"/>
      <w:i/>
      <w:sz w:val="20"/>
      <w:szCs w:val="18"/>
    </w:rPr>
  </w:style>
  <w:style w:type="paragraph" w:styleId="TableofFigures">
    <w:name w:val="table of figures"/>
    <w:basedOn w:val="Normal"/>
    <w:next w:val="Normal"/>
    <w:link w:val="TableofFiguresChar"/>
    <w:qFormat/>
    <w:rsid w:val="0093166C"/>
    <w:pPr>
      <w:spacing w:after="0"/>
      <w:jc w:val="right"/>
    </w:pPr>
    <w:rPr>
      <w:rFonts w:ascii="Calibri" w:hAnsi="Calibri"/>
      <w:sz w:val="22"/>
      <w:szCs w:val="18"/>
    </w:rPr>
  </w:style>
  <w:style w:type="paragraph" w:customStyle="1" w:styleId="BIP1Figures">
    <w:name w:val="BIP1 Figures"/>
    <w:basedOn w:val="TableofFigures"/>
    <w:semiHidden/>
    <w:rsid w:val="00901E03"/>
    <w:pPr>
      <w:spacing w:after="20"/>
    </w:pPr>
  </w:style>
  <w:style w:type="paragraph" w:customStyle="1" w:styleId="Tabletextheading">
    <w:name w:val="Table text heading"/>
    <w:basedOn w:val="TableofFigures"/>
    <w:link w:val="TabletextheadingChar"/>
    <w:qFormat/>
    <w:rsid w:val="00901E03"/>
    <w:rPr>
      <w:i/>
    </w:rPr>
  </w:style>
  <w:style w:type="paragraph" w:customStyle="1" w:styleId="BIP1headingr">
    <w:name w:val="BIP1 heading r"/>
    <w:basedOn w:val="Tabletextheading"/>
    <w:semiHidden/>
    <w:rsid w:val="00901E03"/>
  </w:style>
  <w:style w:type="paragraph" w:customStyle="1" w:styleId="BIP1headingl">
    <w:name w:val="BIP1 heading l"/>
    <w:basedOn w:val="BIP1headingr"/>
    <w:semiHidden/>
    <w:rsid w:val="00901E03"/>
    <w:pPr>
      <w:jc w:val="left"/>
    </w:pPr>
  </w:style>
  <w:style w:type="paragraph" w:customStyle="1" w:styleId="Tabletext">
    <w:name w:val="Table text"/>
    <w:basedOn w:val="TableofFigures"/>
    <w:link w:val="TabletextChar"/>
    <w:qFormat/>
    <w:rsid w:val="00901E03"/>
    <w:pPr>
      <w:ind w:left="180" w:hanging="180"/>
      <w:jc w:val="left"/>
    </w:pPr>
  </w:style>
  <w:style w:type="paragraph" w:customStyle="1" w:styleId="BIP1tabletext">
    <w:name w:val="BIP1 table text"/>
    <w:basedOn w:val="Tabletext"/>
    <w:semiHidden/>
    <w:rsid w:val="00901E03"/>
    <w:pPr>
      <w:spacing w:after="20"/>
      <w:ind w:left="72" w:hanging="72"/>
    </w:pPr>
  </w:style>
  <w:style w:type="paragraph" w:customStyle="1" w:styleId="Tableheading">
    <w:name w:val="Table heading"/>
    <w:basedOn w:val="Normal"/>
    <w:link w:val="TableheadingChar"/>
    <w:qFormat/>
    <w:rsid w:val="00BB71EC"/>
    <w:pPr>
      <w:keepNext/>
      <w:spacing w:before="240"/>
      <w:ind w:left="1152" w:hanging="1152"/>
    </w:pPr>
    <w:rPr>
      <w:rFonts w:ascii="Calibri" w:hAnsi="Calibri"/>
      <w:b/>
      <w:sz w:val="25"/>
    </w:rPr>
  </w:style>
  <w:style w:type="table" w:styleId="TableGrid">
    <w:name w:val="Table Grid"/>
    <w:basedOn w:val="TableNormal"/>
    <w:locked/>
    <w:rsid w:val="00EF122D"/>
    <w:pPr>
      <w:spacing w:before="20" w:after="20"/>
      <w:ind w:left="170" w:hanging="170"/>
      <w:jc w:val="right"/>
    </w:pPr>
    <w:rPr>
      <w:rFonts w:ascii="Calibri" w:eastAsiaTheme="minorHAnsi" w:hAnsi="Calibri" w:cstheme="minorBidi"/>
      <w:spacing w:val="2"/>
      <w:sz w:val="18"/>
      <w:szCs w:val="21"/>
      <w:lang w:eastAsia="en-US"/>
    </w:rPr>
    <w:tblPr>
      <w:tblStyleColBandSize w:val="1"/>
      <w:tblInd w:w="28" w:type="dxa"/>
      <w:tblBorders>
        <w:bottom w:val="single" w:sz="6" w:space="0" w:color="auto"/>
      </w:tblBorders>
      <w:tblCellMar>
        <w:left w:w="57" w:type="dxa"/>
        <w:right w:w="57" w:type="dxa"/>
      </w:tblCellMar>
    </w:tblPr>
    <w:trPr>
      <w:cantSplit/>
    </w:trPr>
    <w:tblStylePr w:type="firstRow">
      <w:pPr>
        <w:keepNext/>
        <w:keepLines/>
        <w:widowControl/>
        <w:wordWrap/>
        <w:jc w:val="right"/>
      </w:pPr>
      <w:rPr>
        <w:i/>
        <w:color w:val="auto"/>
      </w:rPr>
      <w:tblPr/>
      <w:tcPr>
        <w:shd w:val="clear" w:color="auto" w:fill="000000" w:themeFill="text1"/>
        <w:vAlign w:val="bottom"/>
      </w:tcPr>
    </w:tblStylePr>
    <w:tblStylePr w:type="lastRow">
      <w:rPr>
        <w:b/>
      </w:rPr>
      <w:tblPr/>
      <w:tcPr>
        <w:tcBorders>
          <w:top w:val="single" w:sz="6" w:space="0" w:color="000000" w:themeColor="text1"/>
          <w:bottom w:val="single" w:sz="12" w:space="0" w:color="000000" w:themeColor="text1"/>
        </w:tcBorders>
      </w:tcPr>
    </w:tblStylePr>
    <w:tblStylePr w:type="firstCol">
      <w:pPr>
        <w:wordWrap/>
        <w:ind w:leftChars="0" w:left="170" w:rightChars="0" w:right="0" w:firstLineChars="0" w:hanging="170"/>
        <w:jc w:val="left"/>
      </w:pPr>
    </w:tblStylePr>
    <w:tblStylePr w:type="band1Vert">
      <w:pPr>
        <w:jc w:val="right"/>
      </w:pPr>
    </w:tblStylePr>
    <w:tblStylePr w:type="band2Vert">
      <w:pPr>
        <w:jc w:val="right"/>
      </w:pPr>
    </w:tblStylePr>
  </w:style>
  <w:style w:type="paragraph" w:customStyle="1" w:styleId="BulletText">
    <w:name w:val="Bullet Text"/>
    <w:basedOn w:val="Normal"/>
    <w:rsid w:val="00901E03"/>
    <w:pPr>
      <w:numPr>
        <w:numId w:val="38"/>
      </w:numPr>
    </w:pPr>
  </w:style>
  <w:style w:type="paragraph" w:customStyle="1" w:styleId="ChapterHeading">
    <w:name w:val="Chapter Heading"/>
    <w:basedOn w:val="Normal"/>
    <w:next w:val="Heading1"/>
    <w:qFormat/>
    <w:rsid w:val="0013022C"/>
    <w:pPr>
      <w:keepNext/>
      <w:pBdr>
        <w:bottom w:val="single" w:sz="12" w:space="7" w:color="auto"/>
      </w:pBdr>
      <w:spacing w:before="1440" w:after="360"/>
    </w:pPr>
    <w:rPr>
      <w:rFonts w:ascii="Calibri" w:hAnsi="Calibri"/>
      <w:b/>
      <w:caps/>
      <w:sz w:val="38"/>
      <w:szCs w:val="28"/>
    </w:rPr>
  </w:style>
  <w:style w:type="paragraph" w:customStyle="1" w:styleId="Chartheading">
    <w:name w:val="Chart heading"/>
    <w:basedOn w:val="Tableheading"/>
    <w:next w:val="Normal"/>
    <w:qFormat/>
    <w:rsid w:val="00901E03"/>
  </w:style>
  <w:style w:type="paragraph" w:styleId="Footer">
    <w:name w:val="footer"/>
    <w:basedOn w:val="Normal"/>
    <w:rsid w:val="002D4015"/>
    <w:pPr>
      <w:pBdr>
        <w:top w:val="single" w:sz="6" w:space="1" w:color="auto"/>
      </w:pBdr>
      <w:tabs>
        <w:tab w:val="right" w:pos="7085"/>
      </w:tabs>
    </w:pPr>
    <w:rPr>
      <w:rFonts w:ascii="Calibri" w:hAnsi="Calibri"/>
      <w:sz w:val="22"/>
      <w:szCs w:val="18"/>
    </w:rPr>
  </w:style>
  <w:style w:type="paragraph" w:styleId="Header">
    <w:name w:val="header"/>
    <w:basedOn w:val="Footer"/>
    <w:rsid w:val="00901E03"/>
    <w:pPr>
      <w:pBdr>
        <w:top w:val="none" w:sz="0" w:space="0" w:color="auto"/>
      </w:pBdr>
      <w:tabs>
        <w:tab w:val="clear" w:pos="7085"/>
      </w:tabs>
    </w:pPr>
  </w:style>
  <w:style w:type="paragraph" w:customStyle="1" w:styleId="Heading2Notes">
    <w:name w:val="Heading 2 Notes"/>
    <w:basedOn w:val="Heading2"/>
    <w:rsid w:val="00901E03"/>
    <w:pPr>
      <w:tabs>
        <w:tab w:val="left" w:pos="1152"/>
      </w:tabs>
      <w:ind w:left="1152" w:hanging="1152"/>
    </w:pPr>
  </w:style>
  <w:style w:type="paragraph" w:customStyle="1" w:styleId="Notes">
    <w:name w:val="Notes"/>
    <w:basedOn w:val="Normal"/>
    <w:qFormat/>
    <w:rsid w:val="00BB71EC"/>
    <w:pPr>
      <w:tabs>
        <w:tab w:val="left" w:pos="454"/>
      </w:tabs>
      <w:spacing w:after="0"/>
      <w:ind w:left="461" w:hanging="461"/>
    </w:pPr>
    <w:rPr>
      <w:rFonts w:ascii="Calibri" w:hAnsi="Calibri"/>
      <w:i/>
      <w:sz w:val="16"/>
    </w:rPr>
  </w:style>
  <w:style w:type="paragraph" w:customStyle="1" w:styleId="OGBullet">
    <w:name w:val="OGBullet"/>
    <w:basedOn w:val="Normal"/>
    <w:semiHidden/>
    <w:rsid w:val="00BB71EC"/>
    <w:pPr>
      <w:numPr>
        <w:numId w:val="44"/>
      </w:numPr>
    </w:pPr>
    <w:rPr>
      <w:rFonts w:ascii="Calibri" w:hAnsi="Calibri"/>
      <w:sz w:val="22"/>
      <w:szCs w:val="18"/>
    </w:rPr>
  </w:style>
  <w:style w:type="paragraph" w:customStyle="1" w:styleId="OGHeading1">
    <w:name w:val="OGHeading1"/>
    <w:basedOn w:val="Normal"/>
    <w:semiHidden/>
    <w:rsid w:val="00BB71EC"/>
    <w:rPr>
      <w:rFonts w:ascii="Calibri" w:hAnsi="Calibri"/>
      <w:b/>
      <w:sz w:val="34"/>
      <w:szCs w:val="28"/>
    </w:rPr>
  </w:style>
  <w:style w:type="paragraph" w:customStyle="1" w:styleId="OGHeading2">
    <w:name w:val="OGHeading2"/>
    <w:basedOn w:val="Normal"/>
    <w:link w:val="OGHeading2Char"/>
    <w:semiHidden/>
    <w:rsid w:val="00BB71EC"/>
    <w:pPr>
      <w:keepNext/>
      <w:spacing w:before="60"/>
    </w:pPr>
    <w:rPr>
      <w:rFonts w:ascii="Calibri" w:hAnsi="Calibri"/>
      <w:b/>
      <w:sz w:val="30"/>
      <w:szCs w:val="24"/>
    </w:rPr>
  </w:style>
  <w:style w:type="paragraph" w:customStyle="1" w:styleId="OGTabHead">
    <w:name w:val="OGTabHead"/>
    <w:basedOn w:val="Normal"/>
    <w:semiHidden/>
    <w:rsid w:val="00BB71EC"/>
    <w:pPr>
      <w:keepNext/>
      <w:keepLines/>
      <w:spacing w:before="30" w:after="30"/>
    </w:pPr>
    <w:rPr>
      <w:rFonts w:ascii="Calibri" w:hAnsi="Calibri"/>
      <w:i/>
      <w:sz w:val="22"/>
      <w:szCs w:val="18"/>
    </w:rPr>
  </w:style>
  <w:style w:type="paragraph" w:customStyle="1" w:styleId="OGTabText">
    <w:name w:val="OGTabText"/>
    <w:basedOn w:val="Normal"/>
    <w:link w:val="OGTabTextChar"/>
    <w:semiHidden/>
    <w:rsid w:val="00BB71EC"/>
    <w:pPr>
      <w:spacing w:before="30" w:after="30"/>
      <w:ind w:left="144"/>
    </w:pPr>
    <w:rPr>
      <w:rFonts w:ascii="Calibri" w:hAnsi="Calibri"/>
      <w:sz w:val="22"/>
      <w:szCs w:val="18"/>
    </w:rPr>
  </w:style>
  <w:style w:type="paragraph" w:customStyle="1" w:styleId="OGText">
    <w:name w:val="OGText"/>
    <w:basedOn w:val="Normal"/>
    <w:link w:val="OGTextChar"/>
    <w:semiHidden/>
    <w:rsid w:val="00BB71EC"/>
    <w:pPr>
      <w:keepNext/>
      <w:spacing w:before="40"/>
    </w:pPr>
    <w:rPr>
      <w:rFonts w:ascii="Calibri" w:hAnsi="Calibri"/>
      <w:sz w:val="22"/>
      <w:szCs w:val="18"/>
    </w:rPr>
  </w:style>
  <w:style w:type="character" w:styleId="PageNumber">
    <w:name w:val="page number"/>
    <w:rsid w:val="00BB71EC"/>
    <w:rPr>
      <w:rFonts w:ascii="Calibri" w:hAnsi="Calibri"/>
      <w:sz w:val="22"/>
    </w:rPr>
  </w:style>
  <w:style w:type="paragraph" w:customStyle="1" w:styleId="Source">
    <w:name w:val="Source"/>
    <w:basedOn w:val="Normal"/>
    <w:next w:val="Normal"/>
    <w:link w:val="SourceChar"/>
    <w:qFormat/>
    <w:locked/>
    <w:rsid w:val="00BB71EC"/>
    <w:rPr>
      <w:rFonts w:ascii="Calibri" w:hAnsi="Calibri"/>
      <w:i/>
      <w:sz w:val="16"/>
    </w:rPr>
  </w:style>
  <w:style w:type="paragraph" w:customStyle="1" w:styleId="TableofContentsheading">
    <w:name w:val="Table of Contents heading"/>
    <w:basedOn w:val="ChapterHeading"/>
    <w:next w:val="Normal"/>
    <w:rsid w:val="00901E03"/>
  </w:style>
  <w:style w:type="paragraph" w:customStyle="1" w:styleId="Heading2NotesContd">
    <w:name w:val="Heading 2 Notes Cont'd"/>
    <w:basedOn w:val="Heading2Notes"/>
    <w:rsid w:val="00901E03"/>
  </w:style>
  <w:style w:type="paragraph" w:customStyle="1" w:styleId="HighlightBoxText">
    <w:name w:val="Highlight Box Text"/>
    <w:basedOn w:val="HighlightBoxBullet"/>
    <w:qFormat/>
    <w:rsid w:val="00901E03"/>
    <w:pPr>
      <w:numPr>
        <w:numId w:val="0"/>
      </w:numPr>
    </w:pPr>
  </w:style>
  <w:style w:type="paragraph" w:styleId="TOC1">
    <w:name w:val="toc 1"/>
    <w:basedOn w:val="Normal"/>
    <w:next w:val="Normal"/>
    <w:uiPriority w:val="39"/>
    <w:rsid w:val="0035439A"/>
    <w:pPr>
      <w:tabs>
        <w:tab w:val="right" w:leader="dot" w:pos="9531"/>
      </w:tabs>
      <w:spacing w:before="40" w:after="40"/>
      <w:ind w:right="422"/>
    </w:pPr>
    <w:rPr>
      <w:rFonts w:ascii="Calibri" w:hAnsi="Calibri"/>
      <w:b/>
    </w:rPr>
  </w:style>
  <w:style w:type="paragraph" w:styleId="TOC2">
    <w:name w:val="toc 2"/>
    <w:basedOn w:val="Normal"/>
    <w:next w:val="Normal"/>
    <w:uiPriority w:val="39"/>
    <w:rsid w:val="0035439A"/>
    <w:pPr>
      <w:tabs>
        <w:tab w:val="right" w:leader="dot" w:pos="9531"/>
      </w:tabs>
      <w:spacing w:after="0"/>
      <w:ind w:left="288" w:right="422"/>
    </w:pPr>
    <w:rPr>
      <w:rFonts w:ascii="Calibri" w:hAnsi="Calibri"/>
      <w:sz w:val="22"/>
    </w:rPr>
  </w:style>
  <w:style w:type="paragraph" w:styleId="TOC3">
    <w:name w:val="toc 3"/>
    <w:basedOn w:val="Normal"/>
    <w:next w:val="Normal"/>
    <w:rsid w:val="00BB71EC"/>
    <w:pPr>
      <w:tabs>
        <w:tab w:val="right" w:leader="dot" w:pos="7830"/>
      </w:tabs>
      <w:spacing w:after="0"/>
      <w:ind w:left="432" w:right="422"/>
    </w:pPr>
    <w:rPr>
      <w:rFonts w:ascii="Calibri" w:hAnsi="Calibri"/>
      <w:i/>
      <w:sz w:val="22"/>
    </w:rPr>
  </w:style>
  <w:style w:type="paragraph" w:styleId="TOC4">
    <w:name w:val="toc 4"/>
    <w:basedOn w:val="TOC1"/>
    <w:next w:val="Normal"/>
    <w:uiPriority w:val="39"/>
    <w:rsid w:val="00742218"/>
    <w:pPr>
      <w:tabs>
        <w:tab w:val="clear" w:pos="9531"/>
        <w:tab w:val="right" w:leader="dot" w:pos="9533"/>
      </w:tabs>
      <w:spacing w:after="0"/>
      <w:ind w:left="1152" w:hanging="1152"/>
    </w:pPr>
    <w:rPr>
      <w:b w:val="0"/>
      <w:sz w:val="22"/>
    </w:rPr>
  </w:style>
  <w:style w:type="paragraph" w:styleId="TOC5">
    <w:name w:val="toc 5"/>
    <w:basedOn w:val="TOC1"/>
    <w:next w:val="Normal"/>
    <w:rsid w:val="00742218"/>
    <w:rPr>
      <w:b w:val="0"/>
      <w:sz w:val="22"/>
    </w:rPr>
  </w:style>
  <w:style w:type="paragraph" w:customStyle="1" w:styleId="Tableheadingcontinued">
    <w:name w:val="Table heading continued"/>
    <w:basedOn w:val="Tableheading"/>
    <w:rsid w:val="00901E03"/>
  </w:style>
  <w:style w:type="paragraph" w:customStyle="1" w:styleId="TableTextCentred">
    <w:name w:val="Table Text Centred"/>
    <w:basedOn w:val="Tabletext"/>
    <w:rsid w:val="00901E03"/>
    <w:pPr>
      <w:ind w:left="0" w:firstLine="0"/>
      <w:jc w:val="center"/>
    </w:pPr>
  </w:style>
  <w:style w:type="paragraph" w:customStyle="1" w:styleId="Heading3Numbering">
    <w:name w:val="Heading 3 Numbering"/>
    <w:basedOn w:val="Heading3"/>
    <w:rsid w:val="00901E03"/>
    <w:pPr>
      <w:numPr>
        <w:numId w:val="40"/>
      </w:numPr>
      <w:tabs>
        <w:tab w:val="left" w:pos="504"/>
      </w:tabs>
    </w:pPr>
  </w:style>
  <w:style w:type="paragraph" w:customStyle="1" w:styleId="Heading5a">
    <w:name w:val="Heading 5a"/>
    <w:basedOn w:val="Heading5"/>
    <w:rsid w:val="00BB71EC"/>
    <w:pPr>
      <w:tabs>
        <w:tab w:val="clear" w:pos="504"/>
      </w:tabs>
    </w:pPr>
    <w:rPr>
      <w:b w:val="0"/>
      <w:i/>
      <w:sz w:val="23"/>
    </w:rPr>
  </w:style>
  <w:style w:type="character" w:customStyle="1" w:styleId="OGTabBulletChar">
    <w:name w:val="OGTabBullet Char"/>
    <w:link w:val="OGTabBullet"/>
    <w:rsid w:val="000F532A"/>
    <w:rPr>
      <w:rFonts w:ascii="Calibri" w:hAnsi="Calibri"/>
      <w:sz w:val="22"/>
      <w:szCs w:val="18"/>
      <w:lang w:val="en-AU" w:eastAsia="en-AU" w:bidi="ar-SA"/>
    </w:rPr>
  </w:style>
  <w:style w:type="paragraph" w:customStyle="1" w:styleId="OGTabBullet">
    <w:name w:val="OGTabBullet"/>
    <w:basedOn w:val="OGBullet"/>
    <w:link w:val="OGTabBulletChar"/>
    <w:semiHidden/>
    <w:rsid w:val="000F532A"/>
    <w:pPr>
      <w:numPr>
        <w:numId w:val="46"/>
      </w:numPr>
      <w:spacing w:before="30" w:after="30"/>
    </w:pPr>
    <w:rPr>
      <w:lang w:eastAsia="en-AU"/>
    </w:rPr>
  </w:style>
  <w:style w:type="paragraph" w:customStyle="1" w:styleId="TabletextheadingCentred">
    <w:name w:val="Table text heading Centred"/>
    <w:basedOn w:val="Tabletextheading"/>
    <w:link w:val="TabletextheadingCentredChar"/>
    <w:rsid w:val="00901E03"/>
    <w:pPr>
      <w:jc w:val="center"/>
    </w:pPr>
  </w:style>
  <w:style w:type="paragraph" w:customStyle="1" w:styleId="DashText">
    <w:name w:val="Dash Text"/>
    <w:basedOn w:val="Normal"/>
    <w:qFormat/>
    <w:rsid w:val="00901E03"/>
    <w:pPr>
      <w:numPr>
        <w:ilvl w:val="1"/>
        <w:numId w:val="38"/>
      </w:numPr>
    </w:pPr>
  </w:style>
  <w:style w:type="paragraph" w:styleId="BalloonText">
    <w:name w:val="Balloon Text"/>
    <w:basedOn w:val="Normal"/>
    <w:link w:val="BalloonTextChar"/>
    <w:locked/>
    <w:rsid w:val="000357A6"/>
    <w:pPr>
      <w:spacing w:after="0"/>
    </w:pPr>
    <w:rPr>
      <w:rFonts w:ascii="Tahoma" w:hAnsi="Tahoma" w:cs="Tahoma"/>
      <w:sz w:val="16"/>
      <w:szCs w:val="16"/>
    </w:rPr>
  </w:style>
  <w:style w:type="character" w:customStyle="1" w:styleId="BalloonTextChar">
    <w:name w:val="Balloon Text Char"/>
    <w:basedOn w:val="DefaultParagraphFont"/>
    <w:link w:val="BalloonText"/>
    <w:rsid w:val="000357A6"/>
    <w:rPr>
      <w:rFonts w:ascii="Tahoma" w:hAnsi="Tahoma" w:cs="Tahoma"/>
      <w:sz w:val="16"/>
      <w:szCs w:val="16"/>
      <w:lang w:eastAsia="en-US"/>
    </w:rPr>
  </w:style>
  <w:style w:type="paragraph" w:customStyle="1" w:styleId="NotesIndent">
    <w:name w:val="NotesIndent"/>
    <w:basedOn w:val="Notes"/>
    <w:rsid w:val="00901E03"/>
    <w:pPr>
      <w:ind w:left="915"/>
    </w:pPr>
  </w:style>
  <w:style w:type="paragraph" w:customStyle="1" w:styleId="NotesDash">
    <w:name w:val="NotesDash"/>
    <w:basedOn w:val="NotesIndent"/>
    <w:rsid w:val="005B5BD0"/>
    <w:pPr>
      <w:numPr>
        <w:numId w:val="42"/>
      </w:numPr>
      <w:tabs>
        <w:tab w:val="clear" w:pos="454"/>
        <w:tab w:val="clear" w:pos="922"/>
        <w:tab w:val="left" w:pos="749"/>
      </w:tabs>
      <w:ind w:left="749" w:hanging="288"/>
    </w:pPr>
  </w:style>
  <w:style w:type="paragraph" w:customStyle="1" w:styleId="VAGOText">
    <w:name w:val="VAGOText"/>
    <w:basedOn w:val="Normal"/>
    <w:semiHidden/>
    <w:rsid w:val="00901E03"/>
    <w:pPr>
      <w:spacing w:before="120"/>
    </w:pPr>
    <w:rPr>
      <w:rFonts w:ascii="Arial" w:hAnsi="Arial" w:cs="Arial"/>
      <w:sz w:val="16"/>
      <w:szCs w:val="16"/>
    </w:rPr>
  </w:style>
  <w:style w:type="paragraph" w:customStyle="1" w:styleId="VAGOHeading2">
    <w:name w:val="VAGOHeading2"/>
    <w:basedOn w:val="Normal"/>
    <w:semiHidden/>
    <w:rsid w:val="00901E03"/>
    <w:rPr>
      <w:rFonts w:ascii="Arial" w:hAnsi="Arial" w:cs="Arial"/>
      <w:b/>
      <w:sz w:val="16"/>
      <w:szCs w:val="16"/>
    </w:rPr>
  </w:style>
  <w:style w:type="paragraph" w:customStyle="1" w:styleId="VAGOHeading1">
    <w:name w:val="VAGOHeading1"/>
    <w:basedOn w:val="Normal"/>
    <w:semiHidden/>
    <w:rsid w:val="00901E03"/>
    <w:pPr>
      <w:jc w:val="center"/>
    </w:pPr>
    <w:rPr>
      <w:rFonts w:ascii="Arial" w:hAnsi="Arial" w:cs="Arial"/>
      <w:b/>
      <w:sz w:val="17"/>
      <w:szCs w:val="17"/>
    </w:rPr>
  </w:style>
  <w:style w:type="paragraph" w:customStyle="1" w:styleId="VAGOHeading3">
    <w:name w:val="VAGOHeading3"/>
    <w:basedOn w:val="VAGOHeading2"/>
    <w:semiHidden/>
    <w:rsid w:val="00901E03"/>
    <w:rPr>
      <w:b w:val="0"/>
      <w:i/>
    </w:rPr>
  </w:style>
  <w:style w:type="character" w:customStyle="1" w:styleId="TableheadingChar">
    <w:name w:val="Table heading Char"/>
    <w:link w:val="Tableheading"/>
    <w:rsid w:val="00AC5693"/>
    <w:rPr>
      <w:rFonts w:ascii="Calibri" w:hAnsi="Calibri"/>
      <w:b/>
      <w:sz w:val="25"/>
      <w:lang w:eastAsia="en-US"/>
    </w:rPr>
  </w:style>
  <w:style w:type="paragraph" w:customStyle="1" w:styleId="TabletextheadingLeft">
    <w:name w:val="Table text heading Left"/>
    <w:basedOn w:val="Tabletextheading"/>
    <w:rsid w:val="00901E03"/>
    <w:pPr>
      <w:jc w:val="left"/>
    </w:pPr>
  </w:style>
  <w:style w:type="paragraph" w:customStyle="1" w:styleId="Chartpara">
    <w:name w:val="Chart para"/>
    <w:basedOn w:val="Normal"/>
    <w:semiHidden/>
    <w:rsid w:val="00901E03"/>
    <w:pPr>
      <w:spacing w:after="0"/>
    </w:pPr>
  </w:style>
  <w:style w:type="paragraph" w:customStyle="1" w:styleId="FrontPage">
    <w:name w:val="Front Page"/>
    <w:basedOn w:val="Normal"/>
    <w:semiHidden/>
    <w:rsid w:val="00C2380B"/>
    <w:pPr>
      <w:jc w:val="center"/>
    </w:pPr>
    <w:rPr>
      <w:rFonts w:ascii="Calibri" w:hAnsi="Calibri"/>
      <w:b/>
      <w:sz w:val="54"/>
      <w:szCs w:val="52"/>
    </w:rPr>
  </w:style>
  <w:style w:type="paragraph" w:customStyle="1" w:styleId="FrontPage2">
    <w:name w:val="Front Page 2"/>
    <w:basedOn w:val="FrontPage"/>
    <w:semiHidden/>
    <w:rsid w:val="00901E03"/>
    <w:pPr>
      <w:pBdr>
        <w:bottom w:val="single" w:sz="12" w:space="1" w:color="auto"/>
      </w:pBdr>
    </w:pPr>
  </w:style>
  <w:style w:type="paragraph" w:customStyle="1" w:styleId="FrontPage3">
    <w:name w:val="Front Page 3"/>
    <w:basedOn w:val="Normal"/>
    <w:semiHidden/>
    <w:rsid w:val="00C2380B"/>
    <w:pPr>
      <w:jc w:val="center"/>
    </w:pPr>
    <w:rPr>
      <w:rFonts w:ascii="Calibri" w:hAnsi="Calibri"/>
      <w:sz w:val="30"/>
      <w:szCs w:val="28"/>
    </w:rPr>
  </w:style>
  <w:style w:type="paragraph" w:customStyle="1" w:styleId="FrontPageBP">
    <w:name w:val="Front Page BP"/>
    <w:basedOn w:val="Normal"/>
    <w:semiHidden/>
    <w:rsid w:val="00C2380B"/>
    <w:pPr>
      <w:jc w:val="center"/>
    </w:pPr>
    <w:rPr>
      <w:rFonts w:ascii="Calibri" w:hAnsi="Calibri"/>
      <w:b/>
      <w:sz w:val="34"/>
      <w:szCs w:val="32"/>
    </w:rPr>
  </w:style>
  <w:style w:type="paragraph" w:customStyle="1" w:styleId="FrontPageHon">
    <w:name w:val="Front Page Hon"/>
    <w:basedOn w:val="Normal"/>
    <w:semiHidden/>
    <w:rsid w:val="00C2380B"/>
    <w:pPr>
      <w:jc w:val="center"/>
    </w:pPr>
    <w:rPr>
      <w:rFonts w:ascii="Calibri" w:hAnsi="Calibri"/>
      <w:sz w:val="32"/>
      <w:szCs w:val="30"/>
    </w:rPr>
  </w:style>
  <w:style w:type="paragraph" w:customStyle="1" w:styleId="FrontPageMin">
    <w:name w:val="Front Page Min"/>
    <w:basedOn w:val="Normal"/>
    <w:semiHidden/>
    <w:rsid w:val="00C2380B"/>
    <w:pPr>
      <w:jc w:val="center"/>
    </w:pPr>
    <w:rPr>
      <w:rFonts w:ascii="Calibri" w:hAnsi="Calibri"/>
      <w:sz w:val="36"/>
      <w:szCs w:val="36"/>
    </w:rPr>
  </w:style>
  <w:style w:type="paragraph" w:customStyle="1" w:styleId="Heading2NotesQtrly">
    <w:name w:val="Heading 2 Notes Qtrly"/>
    <w:basedOn w:val="Heading2Notes"/>
    <w:rsid w:val="00901E03"/>
  </w:style>
  <w:style w:type="paragraph" w:customStyle="1" w:styleId="Heading3NumberingBP4">
    <w:name w:val="Heading 3 Numbering BP4"/>
    <w:basedOn w:val="Heading3Numbering"/>
    <w:semiHidden/>
    <w:rsid w:val="00901E03"/>
    <w:pPr>
      <w:numPr>
        <w:numId w:val="0"/>
      </w:numPr>
    </w:pPr>
  </w:style>
  <w:style w:type="paragraph" w:customStyle="1" w:styleId="HighlightBoxBullet">
    <w:name w:val="Highlight Box Bullet"/>
    <w:basedOn w:val="Normal"/>
    <w:qFormat/>
    <w:rsid w:val="00477003"/>
    <w:pPr>
      <w:numPr>
        <w:numId w:val="41"/>
      </w:numPr>
      <w:shd w:val="pct10" w:color="auto" w:fill="FFFFFF"/>
      <w:ind w:left="360"/>
    </w:pPr>
  </w:style>
  <w:style w:type="paragraph" w:customStyle="1" w:styleId="HighlightBoxHeading">
    <w:name w:val="Highlight Box Heading"/>
    <w:basedOn w:val="Heading5a"/>
    <w:qFormat/>
    <w:rsid w:val="00901E03"/>
    <w:pPr>
      <w:shd w:val="clear" w:color="auto" w:fill="E6E6E6"/>
    </w:pPr>
  </w:style>
  <w:style w:type="paragraph" w:styleId="Index1">
    <w:name w:val="index 1"/>
    <w:basedOn w:val="Normal"/>
    <w:next w:val="Normal"/>
    <w:autoRedefine/>
    <w:semiHidden/>
    <w:rsid w:val="00901E03"/>
    <w:pPr>
      <w:spacing w:after="0"/>
      <w:ind w:left="220" w:hanging="220"/>
    </w:pPr>
    <w:rPr>
      <w:sz w:val="18"/>
      <w:szCs w:val="18"/>
    </w:rPr>
  </w:style>
  <w:style w:type="paragraph" w:styleId="Index2">
    <w:name w:val="index 2"/>
    <w:basedOn w:val="Normal"/>
    <w:next w:val="Normal"/>
    <w:autoRedefine/>
    <w:semiHidden/>
    <w:rsid w:val="00901E03"/>
    <w:pPr>
      <w:spacing w:after="0"/>
      <w:ind w:left="440" w:hanging="220"/>
    </w:pPr>
    <w:rPr>
      <w:sz w:val="18"/>
      <w:szCs w:val="18"/>
    </w:rPr>
  </w:style>
  <w:style w:type="paragraph" w:styleId="IndexHeading">
    <w:name w:val="index heading"/>
    <w:basedOn w:val="Normal"/>
    <w:next w:val="Index1"/>
    <w:semiHidden/>
    <w:rsid w:val="00901E03"/>
    <w:pPr>
      <w:spacing w:before="240"/>
      <w:jc w:val="center"/>
    </w:pPr>
    <w:rPr>
      <w:b/>
      <w:bCs/>
      <w:sz w:val="26"/>
      <w:szCs w:val="26"/>
    </w:rPr>
  </w:style>
  <w:style w:type="paragraph" w:styleId="NormalIndent">
    <w:name w:val="Normal Indent"/>
    <w:basedOn w:val="Normal"/>
    <w:semiHidden/>
    <w:locked/>
    <w:rsid w:val="00901E03"/>
    <w:pPr>
      <w:ind w:left="360"/>
    </w:pPr>
  </w:style>
  <w:style w:type="character" w:customStyle="1" w:styleId="OGHeading2Char">
    <w:name w:val="OGHeading2 Char"/>
    <w:link w:val="OGHeading2"/>
    <w:rsid w:val="00BB71EC"/>
    <w:rPr>
      <w:rFonts w:ascii="Calibri" w:hAnsi="Calibri"/>
      <w:b/>
      <w:sz w:val="30"/>
      <w:szCs w:val="24"/>
      <w:lang w:val="en-AU" w:eastAsia="en-US" w:bidi="ar-SA"/>
    </w:rPr>
  </w:style>
  <w:style w:type="paragraph" w:customStyle="1" w:styleId="OGNotes">
    <w:name w:val="OGNotes"/>
    <w:basedOn w:val="NotesIndent"/>
    <w:semiHidden/>
    <w:rsid w:val="00901E03"/>
    <w:pPr>
      <w:tabs>
        <w:tab w:val="clear" w:pos="454"/>
      </w:tabs>
      <w:spacing w:after="60"/>
      <w:ind w:left="360" w:right="115" w:firstLine="0"/>
    </w:pPr>
    <w:rPr>
      <w:lang w:eastAsia="en-AU"/>
    </w:rPr>
  </w:style>
  <w:style w:type="paragraph" w:customStyle="1" w:styleId="OGNotesIndent">
    <w:name w:val="OGNotesIndent"/>
    <w:basedOn w:val="OGNotes"/>
    <w:semiHidden/>
    <w:rsid w:val="00901E03"/>
    <w:pPr>
      <w:ind w:left="720" w:hanging="360"/>
    </w:pPr>
  </w:style>
  <w:style w:type="paragraph" w:customStyle="1" w:styleId="OGUoM">
    <w:name w:val="OGUoM"/>
    <w:basedOn w:val="TableTextCentred"/>
    <w:semiHidden/>
    <w:rsid w:val="00901E03"/>
    <w:pPr>
      <w:spacing w:before="30" w:after="30"/>
    </w:pPr>
  </w:style>
  <w:style w:type="paragraph" w:customStyle="1" w:styleId="OGTabColCentred">
    <w:name w:val="OGTabColCentred"/>
    <w:basedOn w:val="OGUoM"/>
    <w:semiHidden/>
    <w:rsid w:val="00901E03"/>
    <w:rPr>
      <w:b/>
      <w:lang w:eastAsia="en-AU"/>
    </w:rPr>
  </w:style>
  <w:style w:type="paragraph" w:customStyle="1" w:styleId="OGTableofFigures">
    <w:name w:val="OGTable of Figures"/>
    <w:basedOn w:val="TableofFigures"/>
    <w:semiHidden/>
    <w:rsid w:val="00901E03"/>
    <w:pPr>
      <w:spacing w:before="30" w:after="30"/>
    </w:pPr>
  </w:style>
  <w:style w:type="paragraph" w:customStyle="1" w:styleId="OGTabColRight">
    <w:name w:val="OGTabColRight"/>
    <w:basedOn w:val="OGTableofFigures"/>
    <w:semiHidden/>
    <w:rsid w:val="00901E03"/>
    <w:rPr>
      <w:b/>
    </w:rPr>
  </w:style>
  <w:style w:type="paragraph" w:customStyle="1" w:styleId="OGTabColLeft">
    <w:name w:val="OGTabColLeft"/>
    <w:basedOn w:val="OGTabColRight"/>
    <w:semiHidden/>
    <w:rsid w:val="00901E03"/>
    <w:pPr>
      <w:jc w:val="left"/>
    </w:pPr>
    <w:rPr>
      <w:lang w:eastAsia="en-AU"/>
    </w:rPr>
  </w:style>
  <w:style w:type="character" w:customStyle="1" w:styleId="OGTabTextChar">
    <w:name w:val="OGTabText Char"/>
    <w:link w:val="OGTabText"/>
    <w:rsid w:val="00BB71EC"/>
    <w:rPr>
      <w:rFonts w:ascii="Calibri" w:hAnsi="Calibri"/>
      <w:sz w:val="22"/>
      <w:szCs w:val="18"/>
      <w:lang w:val="en-AU" w:eastAsia="en-US" w:bidi="ar-SA"/>
    </w:rPr>
  </w:style>
  <w:style w:type="character" w:customStyle="1" w:styleId="OGTextChar">
    <w:name w:val="OGText Char"/>
    <w:link w:val="OGText"/>
    <w:rsid w:val="00BB71EC"/>
    <w:rPr>
      <w:rFonts w:ascii="Calibri" w:hAnsi="Calibri"/>
      <w:sz w:val="22"/>
      <w:szCs w:val="18"/>
      <w:lang w:val="en-AU" w:eastAsia="en-US" w:bidi="ar-SA"/>
    </w:rPr>
  </w:style>
  <w:style w:type="paragraph" w:customStyle="1" w:styleId="TableofContentscontinued">
    <w:name w:val="Table of Contents continued"/>
    <w:basedOn w:val="Normal"/>
    <w:rsid w:val="00BB71EC"/>
    <w:pPr>
      <w:keepNext/>
      <w:tabs>
        <w:tab w:val="left" w:pos="1152"/>
      </w:tabs>
      <w:spacing w:before="240"/>
      <w:ind w:left="1152" w:hanging="1152"/>
      <w:outlineLvl w:val="1"/>
    </w:pPr>
    <w:rPr>
      <w:rFonts w:ascii="Calibri" w:hAnsi="Calibri"/>
      <w:b/>
      <w:kern w:val="28"/>
      <w:sz w:val="28"/>
      <w:szCs w:val="22"/>
    </w:rPr>
  </w:style>
  <w:style w:type="character" w:customStyle="1" w:styleId="TableofFiguresChar">
    <w:name w:val="Table of Figures Char"/>
    <w:link w:val="TableofFigures"/>
    <w:rsid w:val="00AC5693"/>
    <w:rPr>
      <w:rFonts w:ascii="Calibri" w:hAnsi="Calibri"/>
      <w:sz w:val="22"/>
      <w:szCs w:val="18"/>
      <w:lang w:eastAsia="en-US"/>
    </w:rPr>
  </w:style>
  <w:style w:type="paragraph" w:customStyle="1" w:styleId="TableTextindent">
    <w:name w:val="Table Text indent"/>
    <w:basedOn w:val="Tabletext"/>
    <w:rsid w:val="00901E03"/>
    <w:pPr>
      <w:ind w:left="360" w:firstLine="0"/>
    </w:pPr>
  </w:style>
  <w:style w:type="paragraph" w:customStyle="1" w:styleId="TableTextindent2">
    <w:name w:val="Table Text indent 2"/>
    <w:basedOn w:val="TableTextindent"/>
    <w:rsid w:val="00901E03"/>
    <w:pPr>
      <w:ind w:left="720"/>
    </w:pPr>
  </w:style>
  <w:style w:type="paragraph" w:customStyle="1" w:styleId="VAGOBullet">
    <w:name w:val="VAGOBullet"/>
    <w:basedOn w:val="VAGOText"/>
    <w:semiHidden/>
    <w:rsid w:val="00901E03"/>
    <w:pPr>
      <w:numPr>
        <w:numId w:val="45"/>
      </w:numPr>
      <w:ind w:right="-51"/>
    </w:pPr>
    <w:rPr>
      <w:iCs/>
    </w:rPr>
  </w:style>
  <w:style w:type="character" w:customStyle="1" w:styleId="TabletextChar">
    <w:name w:val="Table text Char"/>
    <w:link w:val="Tabletext"/>
    <w:rsid w:val="00AC5693"/>
    <w:rPr>
      <w:rFonts w:ascii="Calibri" w:hAnsi="Calibri"/>
      <w:sz w:val="22"/>
      <w:szCs w:val="18"/>
      <w:lang w:eastAsia="en-US"/>
    </w:rPr>
  </w:style>
  <w:style w:type="character" w:customStyle="1" w:styleId="millionChar">
    <w:name w:val="$million Char"/>
    <w:link w:val="million"/>
    <w:rsid w:val="00AC5693"/>
    <w:rPr>
      <w:rFonts w:ascii="Calibri" w:hAnsi="Calibri"/>
      <w:i/>
      <w:szCs w:val="18"/>
      <w:lang w:eastAsia="en-US"/>
    </w:rPr>
  </w:style>
  <w:style w:type="character" w:customStyle="1" w:styleId="TabletextheadingChar">
    <w:name w:val="Table text heading Char"/>
    <w:link w:val="Tabletextheading"/>
    <w:locked/>
    <w:rsid w:val="00AC5693"/>
    <w:rPr>
      <w:rFonts w:ascii="Calibri" w:hAnsi="Calibri"/>
      <w:i/>
      <w:sz w:val="22"/>
      <w:szCs w:val="18"/>
      <w:lang w:eastAsia="en-US"/>
    </w:rPr>
  </w:style>
  <w:style w:type="character" w:customStyle="1" w:styleId="SourceChar">
    <w:name w:val="Source Char"/>
    <w:link w:val="Source"/>
    <w:locked/>
    <w:rsid w:val="00AC5693"/>
    <w:rPr>
      <w:rFonts w:ascii="Calibri" w:hAnsi="Calibri"/>
      <w:i/>
      <w:sz w:val="16"/>
      <w:lang w:eastAsia="en-US"/>
    </w:rPr>
  </w:style>
  <w:style w:type="character" w:customStyle="1" w:styleId="TabletextheadingCentredChar">
    <w:name w:val="Table text heading Centred Char"/>
    <w:link w:val="TabletextheadingCentred"/>
    <w:locked/>
    <w:rsid w:val="00AC5693"/>
    <w:rPr>
      <w:rFonts w:ascii="Calibri" w:hAnsi="Calibri"/>
      <w:i/>
      <w:sz w:val="22"/>
      <w:szCs w:val="18"/>
      <w:lang w:eastAsia="en-US"/>
    </w:rPr>
  </w:style>
  <w:style w:type="table" w:customStyle="1" w:styleId="TableDTFfinancialcompact">
    <w:name w:val="Table DTF financial (compact)"/>
    <w:basedOn w:val="TableNormal"/>
    <w:uiPriority w:val="99"/>
    <w:rsid w:val="00EF122D"/>
    <w:pPr>
      <w:spacing w:before="20" w:after="20"/>
      <w:ind w:left="170" w:hanging="170"/>
      <w:jc w:val="right"/>
    </w:pPr>
    <w:rPr>
      <w:rFonts w:asciiTheme="minorHAnsi" w:eastAsiaTheme="minorHAnsi" w:hAnsiTheme="minorHAnsi" w:cstheme="minorBidi"/>
      <w:spacing w:val="2"/>
      <w:sz w:val="14"/>
      <w:szCs w:val="21"/>
      <w:lang w:eastAsia="en-US"/>
    </w:rPr>
    <w:tblPr>
      <w:tblInd w:w="28" w:type="dxa"/>
      <w:tblBorders>
        <w:bottom w:val="single" w:sz="6" w:space="0" w:color="auto"/>
      </w:tblBorders>
      <w:tblCellMar>
        <w:left w:w="57" w:type="dxa"/>
        <w:right w:w="57" w:type="dxa"/>
      </w:tblCellMar>
    </w:tblPr>
    <w:trPr>
      <w:cantSplit/>
    </w:trPr>
    <w:tblStylePr w:type="firstRow">
      <w:pPr>
        <w:keepNext/>
        <w:keepLines/>
        <w:widowControl/>
        <w:wordWrap/>
        <w:jc w:val="right"/>
      </w:pPr>
      <w:rPr>
        <w:i/>
      </w:rPr>
      <w:tblPr/>
      <w:trPr>
        <w:tblHeader/>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ind w:leftChars="0" w:left="170" w:rightChars="0" w:right="0" w:firstLineChars="0" w:hanging="170"/>
        <w:jc w:val="left"/>
      </w:pPr>
    </w:tblStylePr>
  </w:style>
  <w:style w:type="table" w:customStyle="1" w:styleId="TableDTFGeneral">
    <w:name w:val="Table DTF General"/>
    <w:basedOn w:val="TableNormal"/>
    <w:uiPriority w:val="99"/>
    <w:rsid w:val="00EF122D"/>
    <w:pPr>
      <w:spacing w:before="20" w:after="20" w:line="264" w:lineRule="auto"/>
      <w:ind w:left="170" w:hanging="170"/>
    </w:pPr>
    <w:rPr>
      <w:rFonts w:asciiTheme="minorHAnsi" w:eastAsiaTheme="minorHAnsi" w:hAnsiTheme="minorHAnsi" w:cstheme="minorBidi"/>
      <w:spacing w:val="4"/>
      <w:sz w:val="17"/>
      <w:szCs w:val="21"/>
      <w:lang w:eastAsia="en-US"/>
    </w:rPr>
    <w:tblPr>
      <w:tblInd w:w="28" w:type="dxa"/>
      <w:tblBorders>
        <w:bottom w:val="single" w:sz="6" w:space="0" w:color="auto"/>
      </w:tblBorders>
      <w:tblCellMar>
        <w:left w:w="57" w:type="dxa"/>
        <w:right w:w="57" w:type="dxa"/>
      </w:tblCellMar>
    </w:tblPr>
    <w:trPr>
      <w:cantSplit/>
    </w:trPr>
    <w:tblStylePr w:type="firstRow">
      <w:rPr>
        <w:i/>
      </w:rPr>
      <w:tblPr/>
      <w:tcPr>
        <w:shd w:val="clear" w:color="auto" w:fill="000000" w:themeFill="text1"/>
      </w:tcPr>
    </w:tblStylePr>
    <w:tblStylePr w:type="lastRow">
      <w:tblPr/>
      <w:tcPr>
        <w:tcBorders>
          <w:top w:val="nil"/>
          <w:left w:val="nil"/>
          <w:bottom w:val="single" w:sz="12" w:space="0" w:color="000000" w:themeColor="text1"/>
          <w:right w:val="nil"/>
          <w:insideH w:val="nil"/>
          <w:insideV w:val="nil"/>
          <w:tl2br w:val="nil"/>
          <w:tr2bl w:val="nil"/>
        </w:tcBorders>
      </w:tcPr>
    </w:tblStylePr>
    <w:tblStylePr w:type="firstCol">
      <w:pPr>
        <w:wordWrap/>
        <w:ind w:leftChars="0" w:left="170" w:rightChars="0" w:right="0" w:firstLineChars="0" w:hanging="170"/>
      </w:pPr>
    </w:tblStylePr>
  </w:style>
  <w:style w:type="paragraph" w:customStyle="1" w:styleId="VersionTableText">
    <w:name w:val="VersionTableText"/>
    <w:basedOn w:val="Normal"/>
    <w:rsid w:val="00443963"/>
    <w:pPr>
      <w:spacing w:after="0"/>
      <w:jc w:val="center"/>
    </w:pPr>
    <w:rPr>
      <w:rFonts w:ascii="Calibri" w:hAnsi="Calibri"/>
      <w:sz w:val="22"/>
    </w:rPr>
  </w:style>
  <w:style w:type="paragraph" w:customStyle="1" w:styleId="VersionTableHeading">
    <w:name w:val="VersionTableHeading"/>
    <w:basedOn w:val="Normal"/>
    <w:rsid w:val="00443963"/>
    <w:pPr>
      <w:spacing w:after="0"/>
      <w:jc w:val="center"/>
    </w:pPr>
    <w:rPr>
      <w:rFonts w:ascii="Calibri" w:hAnsi="Calibri"/>
      <w:b/>
      <w:sz w:val="22"/>
    </w:rPr>
  </w:style>
  <w:style w:type="character" w:customStyle="1" w:styleId="Heading6Char">
    <w:name w:val="Heading 6 Char"/>
    <w:basedOn w:val="DefaultParagraphFont"/>
    <w:link w:val="Heading6"/>
    <w:rsid w:val="00443963"/>
    <w:rPr>
      <w:rFonts w:ascii="Calibri" w:eastAsiaTheme="minorEastAsia" w:hAnsi="Calibri" w:cs="Calibri"/>
      <w:b/>
      <w:bCs/>
      <w:color w:val="000000"/>
      <w:sz w:val="22"/>
      <w:szCs w:val="22"/>
    </w:rPr>
  </w:style>
  <w:style w:type="character" w:styleId="Hyperlink">
    <w:name w:val="Hyperlink"/>
    <w:basedOn w:val="DefaultParagraphFont"/>
    <w:uiPriority w:val="99"/>
    <w:unhideWhenUsed/>
    <w:locked/>
    <w:rsid w:val="00443963"/>
    <w:rPr>
      <w:color w:val="0000FF" w:themeColor="hyperlink"/>
      <w:u w:val="single"/>
    </w:rPr>
  </w:style>
  <w:style w:type="paragraph" w:customStyle="1" w:styleId="OddFooterLandscape">
    <w:name w:val="OddFooterLandscape"/>
    <w:basedOn w:val="Footer"/>
    <w:qFormat/>
    <w:rsid w:val="00443963"/>
    <w:pPr>
      <w:pBdr>
        <w:top w:val="single" w:sz="6" w:space="0" w:color="auto"/>
      </w:pBdr>
      <w:tabs>
        <w:tab w:val="clear" w:pos="7085"/>
        <w:tab w:val="center" w:pos="5947"/>
        <w:tab w:val="right" w:pos="9634"/>
      </w:tabs>
    </w:pPr>
  </w:style>
  <w:style w:type="paragraph" w:styleId="ListParagraph">
    <w:name w:val="List Paragraph"/>
    <w:basedOn w:val="Normal"/>
    <w:uiPriority w:val="34"/>
    <w:rsid w:val="00913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eader" Target="header6.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footer" Target="footer21.xml"/><Relationship Id="rId50" Type="http://schemas.openxmlformats.org/officeDocument/2006/relationships/footer" Target="footer22.xml"/><Relationship Id="rId55" Type="http://schemas.openxmlformats.org/officeDocument/2006/relationships/footer" Target="footer2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header" Target="header8.xml"/><Relationship Id="rId41" Type="http://schemas.openxmlformats.org/officeDocument/2006/relationships/header" Target="header14.xml"/><Relationship Id="rId54" Type="http://schemas.openxmlformats.org/officeDocument/2006/relationships/footer" Target="footer26.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header" Target="header9.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header" Target="header16.xml"/><Relationship Id="rId53" Type="http://schemas.openxmlformats.org/officeDocument/2006/relationships/footer" Target="footer25.xml"/><Relationship Id="rId58" Type="http://schemas.openxmlformats.org/officeDocument/2006/relationships/footer" Target="footer3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11.xml"/><Relationship Id="rId49" Type="http://schemas.openxmlformats.org/officeDocument/2006/relationships/header" Target="header18.xml"/><Relationship Id="rId57" Type="http://schemas.openxmlformats.org/officeDocument/2006/relationships/footer" Target="footer29.xml"/><Relationship Id="rId61"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6.xml"/><Relationship Id="rId31" Type="http://schemas.openxmlformats.org/officeDocument/2006/relationships/footer" Target="footer13.xml"/><Relationship Id="rId44" Type="http://schemas.openxmlformats.org/officeDocument/2006/relationships/header" Target="header15.xml"/><Relationship Id="rId52" Type="http://schemas.openxmlformats.org/officeDocument/2006/relationships/footer" Target="footer24.xml"/><Relationship Id="rId60" Type="http://schemas.openxmlformats.org/officeDocument/2006/relationships/footer" Target="footer3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17.xml"/><Relationship Id="rId56" Type="http://schemas.openxmlformats.org/officeDocument/2006/relationships/footer" Target="footer28.xml"/><Relationship Id="rId8" Type="http://schemas.openxmlformats.org/officeDocument/2006/relationships/endnotes" Target="endnotes.xml"/><Relationship Id="rId51" Type="http://schemas.openxmlformats.org/officeDocument/2006/relationships/footer" Target="footer23.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header" Target="header10.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footer" Target="footer3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Budget_A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A5491-ED09-4AC6-A074-85142C42D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Budget_A4.dotm</Template>
  <TotalTime>134</TotalTime>
  <Pages>68</Pages>
  <Words>20764</Words>
  <Characters>106036</Characters>
  <Application>Microsoft Office Word</Application>
  <DocSecurity>0</DocSecurity>
  <Lines>1309</Lines>
  <Paragraphs>422</Paragraphs>
  <ScaleCrop>false</ScaleCrop>
  <HeadingPairs>
    <vt:vector size="2" baseType="variant">
      <vt:variant>
        <vt:lpstr>Title</vt:lpstr>
      </vt:variant>
      <vt:variant>
        <vt:i4>1</vt:i4>
      </vt:variant>
    </vt:vector>
  </HeadingPairs>
  <TitlesOfParts>
    <vt:vector size="1" baseType="lpstr">
      <vt:lpstr>Mid-Year Financial Report</vt:lpstr>
    </vt:vector>
  </TitlesOfParts>
  <Company>DTF</Company>
  <LinksUpToDate>false</LinksUpToDate>
  <CharactersWithSpaces>126378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Mid-Year Financial Report</dc:title>
  <dc:creator>Department of Treasury and Finance</dc:creator>
  <cp:lastModifiedBy>Leigh Anlezark</cp:lastModifiedBy>
  <cp:revision>24</cp:revision>
  <cp:lastPrinted>2011-05-12T00:54:00Z</cp:lastPrinted>
  <dcterms:created xsi:type="dcterms:W3CDTF">2016-03-08T05:04:00Z</dcterms:created>
  <dcterms:modified xsi:type="dcterms:W3CDTF">2016-03-09T01:13:00Z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a020e31b-4231-42dc-9168-de84561d1b20</vt:lpwstr>
  </property>
  <property fmtid="{D5CDD505-2E9C-101B-9397-08002B2CF9AE}" pid="3" name="PSPFClassification">
    <vt:lpwstr>Do Not Mark</vt:lpwstr>
  </property>
</Properties>
</file>