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77" w:rsidRDefault="00E11977" w:rsidP="00E11977">
      <w:pPr>
        <w:pStyle w:val="Heading2"/>
      </w:pPr>
      <w:bookmarkStart w:id="0" w:name="_Toc442780672"/>
      <w:bookmarkStart w:id="1" w:name="_GoBack"/>
      <w:bookmarkEnd w:id="1"/>
      <w:r w:rsidRPr="00906E8B">
        <w:t>Details of all consultancies and contractors including, consultants/</w:t>
      </w:r>
      <w:r w:rsidR="004B50FD">
        <w:t xml:space="preserve"> </w:t>
      </w:r>
      <w:r w:rsidRPr="00906E8B">
        <w:t>contractors engaged, services provided, and expenditure committed to for each engagement</w:t>
      </w:r>
    </w:p>
    <w:p w:rsidR="00E11977" w:rsidRDefault="00E11977" w:rsidP="00E11977">
      <w:pPr>
        <w:pStyle w:val="Heading3"/>
      </w:pPr>
      <w:r w:rsidRPr="00DC5C21">
        <w:t>Details of individu</w:t>
      </w:r>
      <w:r>
        <w:t xml:space="preserve">al </w:t>
      </w:r>
      <w:r w:rsidRPr="007E3EEA">
        <w:t>consultancies</w:t>
      </w:r>
      <w:r>
        <w:t xml:space="preserve"> (valued at $10 </w:t>
      </w:r>
      <w:r w:rsidRPr="00DC5C21">
        <w:t>000</w:t>
      </w:r>
      <w:r>
        <w:t xml:space="preserve"> </w:t>
      </w:r>
      <w:r w:rsidRPr="004049C6">
        <w:t xml:space="preserve">or </w:t>
      </w:r>
      <w:r>
        <w:t>greater excluding GST)</w:t>
      </w:r>
    </w:p>
    <w:tbl>
      <w:tblPr>
        <w:tblStyle w:val="DTFtexttable"/>
        <w:tblW w:w="9285" w:type="dxa"/>
        <w:tblLayout w:type="fixed"/>
        <w:tblLook w:val="0460" w:firstRow="1" w:lastRow="1" w:firstColumn="0" w:lastColumn="0" w:noHBand="0" w:noVBand="1"/>
      </w:tblPr>
      <w:tblGrid>
        <w:gridCol w:w="2397"/>
        <w:gridCol w:w="3060"/>
        <w:gridCol w:w="1350"/>
        <w:gridCol w:w="1260"/>
        <w:gridCol w:w="1218"/>
      </w:tblGrid>
      <w:tr w:rsidR="00E11977" w:rsidRPr="005F0EFC" w:rsidTr="009E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7" w:type="dxa"/>
          </w:tcPr>
          <w:p w:rsidR="00E11977" w:rsidRPr="009E5CBC" w:rsidRDefault="00E11977" w:rsidP="004B50FD">
            <w:pPr>
              <w:pStyle w:val="Tableheader"/>
            </w:pPr>
            <w:r w:rsidRPr="009E5CBC">
              <w:t>Consultant engaged</w:t>
            </w:r>
          </w:p>
        </w:tc>
        <w:tc>
          <w:tcPr>
            <w:tcW w:w="3060" w:type="dxa"/>
          </w:tcPr>
          <w:p w:rsidR="00E11977" w:rsidRPr="009E5CBC" w:rsidRDefault="00E11977" w:rsidP="004B50FD">
            <w:pPr>
              <w:pStyle w:val="Tableheader"/>
            </w:pPr>
            <w:r w:rsidRPr="009E5CBC">
              <w:t>Purpose of consultancy selected from:</w:t>
            </w:r>
          </w:p>
          <w:p w:rsidR="00E11977" w:rsidRPr="009E5CBC" w:rsidRDefault="00E11977" w:rsidP="009E5CBC">
            <w:pPr>
              <w:pStyle w:val="Tableheaderbullet"/>
            </w:pPr>
            <w:r w:rsidRPr="009E5CBC">
              <w:t>framework development and policy research;</w:t>
            </w:r>
          </w:p>
          <w:p w:rsidR="00E11977" w:rsidRPr="009E5CBC" w:rsidRDefault="00E11977" w:rsidP="009E5CBC">
            <w:pPr>
              <w:pStyle w:val="Tableheaderbullet"/>
            </w:pPr>
            <w:r w:rsidRPr="009E5CBC">
              <w:t>review of structure, process and practice;</w:t>
            </w:r>
          </w:p>
          <w:p w:rsidR="00E11977" w:rsidRPr="009E5CBC" w:rsidRDefault="00E11977" w:rsidP="009E5CBC">
            <w:pPr>
              <w:pStyle w:val="Tableheaderbullet"/>
            </w:pPr>
            <w:r w:rsidRPr="009E5CBC">
              <w:t>business need and system design;</w:t>
            </w:r>
          </w:p>
          <w:p w:rsidR="00E11977" w:rsidRPr="009E5CBC" w:rsidRDefault="00E11977" w:rsidP="009E5CBC">
            <w:pPr>
              <w:pStyle w:val="Tableheaderbullet"/>
            </w:pPr>
            <w:r w:rsidRPr="009E5CBC">
              <w:t>commercial and transaction advice; and</w:t>
            </w:r>
          </w:p>
          <w:p w:rsidR="00E11977" w:rsidRPr="009E5CBC" w:rsidRDefault="00E11977" w:rsidP="009E5CBC">
            <w:pPr>
              <w:pStyle w:val="Tableheaderbullet"/>
            </w:pPr>
            <w:r w:rsidRPr="009E5CBC">
              <w:t>general professional services</w:t>
            </w:r>
          </w:p>
        </w:tc>
        <w:tc>
          <w:tcPr>
            <w:tcW w:w="1350" w:type="dxa"/>
          </w:tcPr>
          <w:p w:rsidR="00E11977" w:rsidRPr="009E5CBC" w:rsidRDefault="00E11977" w:rsidP="00E236B8">
            <w:pPr>
              <w:pStyle w:val="Tableheader"/>
              <w:jc w:val="right"/>
            </w:pPr>
            <w:r w:rsidRPr="009E5CBC">
              <w:t>Total approved project fee (excl. GST)</w:t>
            </w:r>
          </w:p>
        </w:tc>
        <w:tc>
          <w:tcPr>
            <w:tcW w:w="1260" w:type="dxa"/>
          </w:tcPr>
          <w:p w:rsidR="00E11977" w:rsidRPr="009E5CBC" w:rsidRDefault="00E11977" w:rsidP="00E236B8">
            <w:pPr>
              <w:pStyle w:val="Tableheader"/>
              <w:jc w:val="right"/>
            </w:pPr>
            <w:r w:rsidRPr="009E5CBC">
              <w:t>Expenditure 201</w:t>
            </w:r>
            <w:r w:rsidR="004B50FD" w:rsidRPr="009E5CBC">
              <w:t>5</w:t>
            </w:r>
            <w:r w:rsidRPr="009E5CBC">
              <w:noBreakHyphen/>
              <w:t>1</w:t>
            </w:r>
            <w:r w:rsidR="004B50FD" w:rsidRPr="009E5CBC">
              <w:t>6</w:t>
            </w:r>
            <w:r w:rsidRPr="009E5CBC">
              <w:t xml:space="preserve"> (excl. GST)</w:t>
            </w:r>
          </w:p>
        </w:tc>
        <w:tc>
          <w:tcPr>
            <w:tcW w:w="1218" w:type="dxa"/>
          </w:tcPr>
          <w:p w:rsidR="00E11977" w:rsidRPr="005F0EFC" w:rsidRDefault="00E11977" w:rsidP="00E236B8">
            <w:pPr>
              <w:pStyle w:val="Tableheader"/>
              <w:jc w:val="right"/>
            </w:pPr>
            <w:r w:rsidRPr="009E5CBC">
              <w:t>Future expenditure (excl. GST)</w:t>
            </w:r>
          </w:p>
        </w:tc>
      </w:tr>
      <w:tr w:rsidR="00E236B8" w:rsidRPr="006837B9" w:rsidTr="00CA7592"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Advisian Pty Ltd.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Framework development and policy research (Maintenance of social housing assets)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77 272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9 590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Brian Welch Business Consultant P/L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General professional services (Housing affordability policy)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61 045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23 925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CBRE (GCS) Pty Ltd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Commercial and transaction advice (Road projects)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90 273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90 273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Corinna Economic Advisory Pty Ltd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General professional services (Housing affordability policy)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67 472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22 130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Deloitte Touche Tohmatsu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Commercial and transaction advice (Market-led proposals)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48 984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43 891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5 093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Environmental Resources Management Australia Pty Ltd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4 051 265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405 387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1 220 810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Ernst &amp; Young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Commercial and transaction advice (Infrastructure workforce capacity and capability study)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1 122 911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75 000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1 047 911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Ernst &amp; Young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Commercial and transaction advice (Market-led proposals)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58 900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58 900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Ernst &amp; Young</w:t>
            </w:r>
          </w:p>
        </w:tc>
        <w:tc>
          <w:tcPr>
            <w:tcW w:w="3060" w:type="dxa"/>
          </w:tcPr>
          <w:p w:rsidR="00E236B8" w:rsidRPr="00E236B8" w:rsidRDefault="00E236B8" w:rsidP="00E236B8">
            <w:pPr>
              <w:pStyle w:val="Tabletext"/>
            </w:pPr>
            <w:r w:rsidRPr="00E236B8">
              <w:t>Framework development and policy research (Global trends in public private partnerships</w:t>
            </w:r>
            <w:r>
              <w:t xml:space="preserve"> (PPP)</w:t>
            </w:r>
            <w:r w:rsidRPr="00E236B8">
              <w:t>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70 050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18 682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Ernst &amp; Young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Framework development and policy research (Infrastructure workforce capacity and capability study)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90 433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85 433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5 000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Ernst &amp; Young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Framework development and policy research (Interest rate risk evaluation framework on PPPs)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51 305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51 305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Foster Infrastructure P/L</w:t>
            </w:r>
          </w:p>
        </w:tc>
        <w:tc>
          <w:tcPr>
            <w:tcW w:w="3060" w:type="dxa"/>
          </w:tcPr>
          <w:p w:rsidR="00E236B8" w:rsidRDefault="00E236B8" w:rsidP="00E236B8">
            <w:pPr>
              <w:pStyle w:val="Tabletext"/>
            </w:pPr>
            <w:r>
              <w:t>Framework development and policy research (PPP contract management guideline)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73 250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43 313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Grant Thornton Australia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Framework development and policy research (Standing Directions)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109 395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45 467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63 928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Halcrow Pacific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4 393 491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791 895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1 472 406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lastRenderedPageBreak/>
              <w:t>Houston Kemp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1 060 000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37 666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255 000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Jacobs Group (Australia)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Framework development and policy research (Gas exploration and production)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61 500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61 500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Jones Lang LaSalle Australia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903 795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177 173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154 523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KPMG</w:t>
            </w:r>
          </w:p>
        </w:tc>
        <w:tc>
          <w:tcPr>
            <w:tcW w:w="3060" w:type="dxa"/>
          </w:tcPr>
          <w:p w:rsidR="00E236B8" w:rsidRDefault="00E236B8" w:rsidP="00E236B8">
            <w:pPr>
              <w:pStyle w:val="Tabletext"/>
            </w:pPr>
            <w:r>
              <w:t>Business need and system design (Car pool strategy business model)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68 905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68 905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KPMG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Business need and system design (Development of reporting model)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39 936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39 936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KPMG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(Independent review of facilities management invoicing function)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45 412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45 412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KPMG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Review of structure process and practice (Assessment of ACCS and medical panels)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136 363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110 145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Lisa Gray Consulting Services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(Housing affordability policy)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63 522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36 136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Mercator International LLC</w:t>
            </w:r>
            <w:r w:rsidR="00F779FD">
              <w:t xml:space="preserve"> </w:t>
            </w:r>
            <w:r w:rsidR="00F779FD" w:rsidRPr="00F779FD">
              <w:t>and Oxford Economics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600 000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183 035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86 570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Minter Ellison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7 440 000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2 760 320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12 559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NAVIRE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(Market-led proposals)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60 428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55 428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5 000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Outlook Economics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(Model/ database development)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15 400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15 400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PPB Advisory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Review of structure, process and practice (VGPB - Strategic Plan)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38 000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38 000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PricewaterhouseCoopers</w:t>
            </w:r>
            <w:r w:rsidR="00F779FD">
              <w:t xml:space="preserve"> </w:t>
            </w:r>
            <w:r w:rsidR="00F779FD" w:rsidRPr="00F779FD">
              <w:t>Securities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8 845 308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1 926 129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2 979 678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PricewaterhouseCoopers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Framework development and policy research (Asset Management)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37 661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37 661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PricewaterhouseCoopers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Framework development and policy research (Road maintenance procurement)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112 000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8 000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PricewaterhouseCoopers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(Assessment of framework)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52 183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52 183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PricewaterhouseCoopers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(Provision of strategic advice on balance sheet management)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470 230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254 497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5 805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lastRenderedPageBreak/>
              <w:t>PricewaterhouseCoopers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Review of structure, process and practice (Regulatory engagement investigation and intervention)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51 855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51 854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Roboff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(Provision of strategic advice on balance sheet management)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30 000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6 563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Rod Glover Consulting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General professional services (Economic strategy advice)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24 000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24 000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2B1C5A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2B1C5A" w:rsidRPr="00F779FD" w:rsidRDefault="002B1C5A" w:rsidP="00F779FD">
            <w:pPr>
              <w:pStyle w:val="Tabletext"/>
            </w:pPr>
            <w:r w:rsidRPr="002B1C5A">
              <w:t>The Civic Group Holdings and Highchair Pty Ltd</w:t>
            </w:r>
          </w:p>
        </w:tc>
        <w:tc>
          <w:tcPr>
            <w:tcW w:w="3060" w:type="dxa"/>
          </w:tcPr>
          <w:p w:rsidR="002B1C5A" w:rsidRDefault="002B1C5A" w:rsidP="008C33BF">
            <w:pPr>
              <w:pStyle w:val="Tabletext"/>
            </w:pPr>
            <w:r w:rsidRPr="002B1C5A">
              <w:t>General professional services (Port of Melbourne)</w:t>
            </w:r>
          </w:p>
        </w:tc>
        <w:tc>
          <w:tcPr>
            <w:tcW w:w="1350" w:type="dxa"/>
          </w:tcPr>
          <w:p w:rsidR="002B1C5A" w:rsidRDefault="002B1C5A" w:rsidP="002B1C5A">
            <w:pPr>
              <w:pStyle w:val="Tabletextright"/>
            </w:pPr>
            <w:r>
              <w:t>435 </w:t>
            </w:r>
            <w:r w:rsidRPr="002B1C5A">
              <w:t>891</w:t>
            </w:r>
          </w:p>
        </w:tc>
        <w:tc>
          <w:tcPr>
            <w:tcW w:w="1260" w:type="dxa"/>
          </w:tcPr>
          <w:p w:rsidR="002B1C5A" w:rsidRDefault="002B1C5A" w:rsidP="008C33BF">
            <w:pPr>
              <w:pStyle w:val="Tabletextright"/>
            </w:pPr>
            <w:r>
              <w:t>144 </w:t>
            </w:r>
            <w:r w:rsidRPr="002B1C5A">
              <w:t>347</w:t>
            </w:r>
          </w:p>
        </w:tc>
        <w:tc>
          <w:tcPr>
            <w:tcW w:w="1218" w:type="dxa"/>
          </w:tcPr>
          <w:p w:rsidR="002B1C5A" w:rsidRDefault="002B1C5A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Turner &amp; Townsend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(Metro Rail)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144 393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89 170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3D5986" w:rsidRPr="006837B9" w:rsidTr="00015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3D5986" w:rsidRDefault="003D5986" w:rsidP="00015BA4">
            <w:pPr>
              <w:pStyle w:val="Tabletext"/>
            </w:pPr>
            <w:r w:rsidRPr="00F779FD">
              <w:t xml:space="preserve">Willis </w:t>
            </w:r>
            <w:r>
              <w:t>Towers Watson</w:t>
            </w:r>
          </w:p>
        </w:tc>
        <w:tc>
          <w:tcPr>
            <w:tcW w:w="3060" w:type="dxa"/>
          </w:tcPr>
          <w:p w:rsidR="003D5986" w:rsidRDefault="003D5986" w:rsidP="00015BA4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3D5986" w:rsidRDefault="003D5986" w:rsidP="00015BA4">
            <w:pPr>
              <w:pStyle w:val="Tabletextright"/>
            </w:pPr>
            <w:r>
              <w:t>64 613</w:t>
            </w:r>
          </w:p>
        </w:tc>
        <w:tc>
          <w:tcPr>
            <w:tcW w:w="1260" w:type="dxa"/>
          </w:tcPr>
          <w:p w:rsidR="003D5986" w:rsidRDefault="003D5986" w:rsidP="00015BA4">
            <w:pPr>
              <w:pStyle w:val="Tabletextright"/>
            </w:pPr>
            <w:r>
              <w:t>44 068</w:t>
            </w:r>
          </w:p>
        </w:tc>
        <w:tc>
          <w:tcPr>
            <w:tcW w:w="1218" w:type="dxa"/>
          </w:tcPr>
          <w:p w:rsidR="003D5986" w:rsidRDefault="003D5986" w:rsidP="00015BA4">
            <w:pPr>
              <w:pStyle w:val="Tabletextright"/>
            </w:pPr>
            <w:r>
              <w:t>20 545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William I Scales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32 073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32 073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>Wirramurra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 (Port of Melbourne)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106 818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13 495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–</w:t>
            </w:r>
          </w:p>
        </w:tc>
      </w:tr>
      <w:tr w:rsidR="00E236B8" w:rsidRPr="006837B9" w:rsidTr="001F0615">
        <w:tc>
          <w:tcPr>
            <w:tcW w:w="2397" w:type="dxa"/>
          </w:tcPr>
          <w:p w:rsidR="00E236B8" w:rsidRDefault="00E236B8" w:rsidP="008C33BF">
            <w:pPr>
              <w:pStyle w:val="Tabletext"/>
            </w:pPr>
            <w:r>
              <w:t xml:space="preserve">Range of advisers for the Western Distributor project </w:t>
            </w:r>
            <w:r w:rsidRPr="00E236B8">
              <w:rPr>
                <w:vertAlign w:val="superscript"/>
              </w:rPr>
              <w:t>(a)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APP Corporation Pty Ltd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Clayton Utz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Ernst &amp; Young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Firecone Ventures P/L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Macquarie Capital (Australia) Limited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PricewaterhouseCoopers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Rothschild Australia Ltd</w:t>
            </w:r>
          </w:p>
          <w:p w:rsidR="00E236B8" w:rsidRPr="003D43C7" w:rsidRDefault="00E236B8" w:rsidP="008C33BF">
            <w:pPr>
              <w:pStyle w:val="Tablebullet"/>
              <w:contextualSpacing w:val="0"/>
            </w:pPr>
            <w:r w:rsidRPr="003D43C7">
              <w:t>Smedley Technical &amp; Strategic Pty Ltd</w:t>
            </w:r>
          </w:p>
        </w:tc>
        <w:tc>
          <w:tcPr>
            <w:tcW w:w="3060" w:type="dxa"/>
          </w:tcPr>
          <w:p w:rsidR="00E236B8" w:rsidRDefault="00E236B8" w:rsidP="008C33BF">
            <w:pPr>
              <w:pStyle w:val="Tabletext"/>
            </w:pPr>
            <w:r>
              <w:t>Commercial and transaction advice</w:t>
            </w:r>
          </w:p>
        </w:tc>
        <w:tc>
          <w:tcPr>
            <w:tcW w:w="1350" w:type="dxa"/>
          </w:tcPr>
          <w:p w:rsidR="00E236B8" w:rsidRDefault="00E236B8" w:rsidP="008C33BF">
            <w:pPr>
              <w:pStyle w:val="Tabletextright"/>
            </w:pPr>
            <w:r>
              <w:t>16 768 600</w:t>
            </w:r>
          </w:p>
        </w:tc>
        <w:tc>
          <w:tcPr>
            <w:tcW w:w="1260" w:type="dxa"/>
          </w:tcPr>
          <w:p w:rsidR="00E236B8" w:rsidRDefault="00E236B8" w:rsidP="008C33BF">
            <w:pPr>
              <w:pStyle w:val="Tabletextright"/>
            </w:pPr>
            <w:r>
              <w:t>11 069 173</w:t>
            </w:r>
          </w:p>
        </w:tc>
        <w:tc>
          <w:tcPr>
            <w:tcW w:w="1218" w:type="dxa"/>
          </w:tcPr>
          <w:p w:rsidR="00E236B8" w:rsidRDefault="00E236B8" w:rsidP="008C33BF">
            <w:pPr>
              <w:pStyle w:val="Tabletextright"/>
            </w:pPr>
            <w:r>
              <w:t>5 988 144</w:t>
            </w:r>
          </w:p>
        </w:tc>
      </w:tr>
      <w:tr w:rsidR="00E236B8" w:rsidRPr="006837B9" w:rsidTr="001F06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:rsidR="00E236B8" w:rsidRPr="009E5CBC" w:rsidRDefault="00E236B8" w:rsidP="001D0E81">
            <w:pPr>
              <w:pStyle w:val="Tabletext"/>
            </w:pPr>
            <w:bookmarkStart w:id="2" w:name="_Hlk398300388"/>
            <w:r w:rsidRPr="009E5CBC">
              <w:t>Total</w:t>
            </w:r>
          </w:p>
        </w:tc>
        <w:tc>
          <w:tcPr>
            <w:tcW w:w="3060" w:type="dxa"/>
          </w:tcPr>
          <w:p w:rsidR="00E236B8" w:rsidRPr="00723357" w:rsidRDefault="00E236B8" w:rsidP="002B1C5A">
            <w:pPr>
              <w:pStyle w:val="Tabletext"/>
            </w:pPr>
            <w:r>
              <w:t>4</w:t>
            </w:r>
            <w:r w:rsidR="002B1C5A">
              <w:t>8</w:t>
            </w:r>
            <w:r w:rsidRPr="009E5CBC">
              <w:t xml:space="preserve"> </w:t>
            </w:r>
            <w:r>
              <w:t>consultancies</w:t>
            </w:r>
          </w:p>
        </w:tc>
        <w:tc>
          <w:tcPr>
            <w:tcW w:w="1350" w:type="dxa"/>
          </w:tcPr>
          <w:p w:rsidR="00E236B8" w:rsidRPr="00E236B8" w:rsidRDefault="002B1C5A" w:rsidP="00E236B8">
            <w:pPr>
              <w:pStyle w:val="Tabletextright"/>
            </w:pPr>
            <w:r>
              <w:t>48 074 </w:t>
            </w:r>
            <w:r w:rsidRPr="002B1C5A">
              <w:t>932</w:t>
            </w:r>
          </w:p>
        </w:tc>
        <w:tc>
          <w:tcPr>
            <w:tcW w:w="1260" w:type="dxa"/>
          </w:tcPr>
          <w:p w:rsidR="00E236B8" w:rsidRPr="00E236B8" w:rsidRDefault="002B1C5A" w:rsidP="00E236B8">
            <w:pPr>
              <w:pStyle w:val="Tabletextright"/>
            </w:pPr>
            <w:r>
              <w:t>19 147 </w:t>
            </w:r>
            <w:r w:rsidRPr="002B1C5A">
              <w:t>460</w:t>
            </w:r>
          </w:p>
        </w:tc>
        <w:tc>
          <w:tcPr>
            <w:tcW w:w="1218" w:type="dxa"/>
          </w:tcPr>
          <w:p w:rsidR="00E236B8" w:rsidRPr="00E236B8" w:rsidRDefault="00E236B8" w:rsidP="00E236B8">
            <w:pPr>
              <w:pStyle w:val="Tabletextright"/>
            </w:pPr>
            <w:r w:rsidRPr="00E236B8">
              <w:t>13 322 972</w:t>
            </w:r>
          </w:p>
        </w:tc>
      </w:tr>
    </w:tbl>
    <w:bookmarkEnd w:id="2"/>
    <w:p w:rsidR="00E11977" w:rsidRPr="009E5CBC" w:rsidRDefault="009E5CBC" w:rsidP="009E5CBC">
      <w:pPr>
        <w:pStyle w:val="NoteNormal"/>
      </w:pPr>
      <w:r>
        <w:t>Note:</w:t>
      </w:r>
    </w:p>
    <w:p w:rsidR="009E5CBC" w:rsidRPr="00E236B8" w:rsidRDefault="009E5CBC" w:rsidP="00E236B8">
      <w:pPr>
        <w:pStyle w:val="NoteNormal"/>
      </w:pPr>
      <w:r w:rsidRPr="00F813B1">
        <w:t xml:space="preserve">(a) </w:t>
      </w:r>
      <w:r w:rsidR="00E236B8" w:rsidRPr="00F813B1">
        <w:t>For 201</w:t>
      </w:r>
      <w:r w:rsidR="00E236B8">
        <w:t>5</w:t>
      </w:r>
      <w:r w:rsidR="00E236B8" w:rsidRPr="00F813B1">
        <w:t>-1</w:t>
      </w:r>
      <w:r w:rsidR="00E236B8">
        <w:t>6</w:t>
      </w:r>
      <w:r w:rsidR="00E236B8" w:rsidRPr="00F813B1">
        <w:t xml:space="preserve">, a partial reporting exemption has been granted for </w:t>
      </w:r>
      <w:r w:rsidR="00E236B8">
        <w:t xml:space="preserve">Western Distributor project </w:t>
      </w:r>
      <w:r w:rsidR="00E236B8" w:rsidRPr="00F813B1">
        <w:t>consultancy expenditure. Transaction consultancy expenditure will be disclosed in full on completion</w:t>
      </w:r>
      <w:r w:rsidR="00E236B8">
        <w:t xml:space="preserve"> of the project.</w:t>
      </w:r>
    </w:p>
    <w:p w:rsidR="00E11977" w:rsidRDefault="00E11977" w:rsidP="00E11977">
      <w:pPr>
        <w:rPr>
          <w:lang w:eastAsia="en-US"/>
        </w:rPr>
      </w:pPr>
    </w:p>
    <w:p w:rsidR="00E11977" w:rsidRDefault="00E11977" w:rsidP="00E11977">
      <w:pPr>
        <w:spacing w:before="0" w:after="0" w:line="240" w:lineRule="auto"/>
        <w:rPr>
          <w:color w:val="4D4D4D"/>
          <w:sz w:val="26"/>
          <w:lang w:eastAsia="en-US"/>
        </w:rPr>
      </w:pPr>
      <w:r>
        <w:br w:type="page"/>
      </w:r>
    </w:p>
    <w:p w:rsidR="00E11977" w:rsidRDefault="00E11977" w:rsidP="00E11977">
      <w:pPr>
        <w:pStyle w:val="Heading3"/>
      </w:pPr>
      <w:r w:rsidRPr="00DC5C21">
        <w:lastRenderedPageBreak/>
        <w:t>Details of individu</w:t>
      </w:r>
      <w:r>
        <w:t xml:space="preserve">al </w:t>
      </w:r>
      <w:r w:rsidRPr="007E3EEA">
        <w:t>consultancies</w:t>
      </w:r>
      <w:r>
        <w:t xml:space="preserve"> (valued at less than $10 </w:t>
      </w:r>
      <w:r w:rsidRPr="00DC5C21">
        <w:t>000)</w:t>
      </w:r>
    </w:p>
    <w:tbl>
      <w:tblPr>
        <w:tblStyle w:val="DTFtexttable"/>
        <w:tblW w:w="9273" w:type="dxa"/>
        <w:tblLayout w:type="fixed"/>
        <w:tblLook w:val="0460" w:firstRow="1" w:lastRow="1" w:firstColumn="0" w:lastColumn="0" w:noHBand="0" w:noVBand="1"/>
      </w:tblPr>
      <w:tblGrid>
        <w:gridCol w:w="2397"/>
        <w:gridCol w:w="3088"/>
        <w:gridCol w:w="1350"/>
        <w:gridCol w:w="1220"/>
        <w:gridCol w:w="1218"/>
      </w:tblGrid>
      <w:tr w:rsidR="004B50FD" w:rsidRPr="005F0EFC" w:rsidTr="00723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:rsidR="004B50FD" w:rsidRPr="009E5CBC" w:rsidRDefault="004B50FD" w:rsidP="00DE37B5">
            <w:pPr>
              <w:pStyle w:val="Tableheader"/>
            </w:pPr>
            <w:r w:rsidRPr="009E5CBC">
              <w:t>Consultant engaged</w:t>
            </w:r>
          </w:p>
        </w:tc>
        <w:tc>
          <w:tcPr>
            <w:tcW w:w="3088" w:type="dxa"/>
          </w:tcPr>
          <w:p w:rsidR="004B50FD" w:rsidRPr="009E5CBC" w:rsidRDefault="004B50FD" w:rsidP="00DE37B5">
            <w:pPr>
              <w:pStyle w:val="Tableheader"/>
            </w:pPr>
            <w:r w:rsidRPr="009E5CBC">
              <w:t>Purpose of consultancy selected from:</w:t>
            </w:r>
          </w:p>
          <w:p w:rsidR="004B50FD" w:rsidRPr="009E5CBC" w:rsidRDefault="004B50FD" w:rsidP="004B50FD">
            <w:pPr>
              <w:pStyle w:val="Tableheaderbullet"/>
            </w:pPr>
            <w:r w:rsidRPr="009E5CBC">
              <w:t>framework development and policy research;</w:t>
            </w:r>
          </w:p>
          <w:p w:rsidR="004B50FD" w:rsidRPr="009E5CBC" w:rsidRDefault="004B50FD" w:rsidP="004B50FD">
            <w:pPr>
              <w:pStyle w:val="Tableheaderbullet"/>
            </w:pPr>
            <w:r w:rsidRPr="009E5CBC">
              <w:t>review of structure, process and practice;</w:t>
            </w:r>
          </w:p>
          <w:p w:rsidR="004B50FD" w:rsidRPr="009E5CBC" w:rsidRDefault="004B50FD" w:rsidP="004B50FD">
            <w:pPr>
              <w:pStyle w:val="Tableheaderbullet"/>
            </w:pPr>
            <w:r w:rsidRPr="009E5CBC">
              <w:t>business need and system design;</w:t>
            </w:r>
          </w:p>
          <w:p w:rsidR="004B50FD" w:rsidRPr="009E5CBC" w:rsidRDefault="004B50FD" w:rsidP="004B50FD">
            <w:pPr>
              <w:pStyle w:val="Tableheaderbullet"/>
            </w:pPr>
            <w:r w:rsidRPr="009E5CBC">
              <w:t>commercial and transaction advice; and</w:t>
            </w:r>
          </w:p>
          <w:p w:rsidR="004B50FD" w:rsidRPr="009E5CBC" w:rsidRDefault="004B50FD" w:rsidP="004B50FD">
            <w:pPr>
              <w:pStyle w:val="Tableheaderbullet"/>
            </w:pPr>
            <w:r w:rsidRPr="009E5CBC">
              <w:t>general professional services</w:t>
            </w:r>
          </w:p>
        </w:tc>
        <w:tc>
          <w:tcPr>
            <w:tcW w:w="1350" w:type="dxa"/>
          </w:tcPr>
          <w:p w:rsidR="004B50FD" w:rsidRPr="009E5CBC" w:rsidRDefault="004B50FD" w:rsidP="00052206">
            <w:pPr>
              <w:pStyle w:val="Tableheader"/>
              <w:jc w:val="right"/>
            </w:pPr>
            <w:r w:rsidRPr="009E5CBC">
              <w:t>Total approved project fee (excl. GST)</w:t>
            </w:r>
          </w:p>
        </w:tc>
        <w:tc>
          <w:tcPr>
            <w:tcW w:w="1220" w:type="dxa"/>
          </w:tcPr>
          <w:p w:rsidR="004B50FD" w:rsidRPr="009E5CBC" w:rsidRDefault="004B50FD" w:rsidP="00052206">
            <w:pPr>
              <w:pStyle w:val="Tableheader"/>
              <w:jc w:val="right"/>
            </w:pPr>
            <w:r w:rsidRPr="009E5CBC">
              <w:t>Expenditure 2015</w:t>
            </w:r>
            <w:r w:rsidRPr="009E5CBC">
              <w:noBreakHyphen/>
              <w:t>16 (excl. GST)</w:t>
            </w:r>
          </w:p>
        </w:tc>
        <w:tc>
          <w:tcPr>
            <w:tcW w:w="1218" w:type="dxa"/>
          </w:tcPr>
          <w:p w:rsidR="004B50FD" w:rsidRPr="005F0EFC" w:rsidRDefault="004B50FD" w:rsidP="00052206">
            <w:pPr>
              <w:pStyle w:val="Tableheader"/>
              <w:jc w:val="right"/>
            </w:pPr>
            <w:r w:rsidRPr="009E5CBC">
              <w:t>Future expenditure (excl. GST)</w:t>
            </w:r>
          </w:p>
        </w:tc>
      </w:tr>
      <w:tr w:rsidR="009E5CBC" w:rsidRPr="006837B9" w:rsidTr="009E5CBC">
        <w:tc>
          <w:tcPr>
            <w:tcW w:w="2397" w:type="dxa"/>
          </w:tcPr>
          <w:p w:rsidR="009E5CBC" w:rsidRPr="00F813B1" w:rsidRDefault="009E5CBC" w:rsidP="009E5CBC">
            <w:pPr>
              <w:pStyle w:val="Tabletext"/>
              <w:rPr>
                <w:lang w:eastAsia="en-AU"/>
              </w:rPr>
            </w:pPr>
            <w:r w:rsidRPr="00F813B1">
              <w:rPr>
                <w:lang w:eastAsia="en-AU"/>
              </w:rPr>
              <w:t>Plus Architecture Pty Ltd</w:t>
            </w:r>
          </w:p>
        </w:tc>
        <w:tc>
          <w:tcPr>
            <w:tcW w:w="3088" w:type="dxa"/>
          </w:tcPr>
          <w:p w:rsidR="009E5CBC" w:rsidRPr="00F813B1" w:rsidRDefault="009E5CBC" w:rsidP="009E5CBC">
            <w:pPr>
              <w:pStyle w:val="Tabletext"/>
              <w:rPr>
                <w:lang w:eastAsia="en-AU"/>
              </w:rPr>
            </w:pPr>
            <w:r w:rsidRPr="00F813B1">
              <w:rPr>
                <w:lang w:eastAsia="en-AU"/>
              </w:rPr>
              <w:t>Commercial and transaction advice (Road projects)</w:t>
            </w:r>
          </w:p>
        </w:tc>
        <w:tc>
          <w:tcPr>
            <w:tcW w:w="1350" w:type="dxa"/>
          </w:tcPr>
          <w:p w:rsidR="009E5CBC" w:rsidRPr="00F813B1" w:rsidRDefault="009E5CBC" w:rsidP="009E5CBC">
            <w:pPr>
              <w:pStyle w:val="Tabletextright"/>
              <w:rPr>
                <w:lang w:eastAsia="en-AU"/>
              </w:rPr>
            </w:pPr>
            <w:r w:rsidRPr="00F813B1">
              <w:rPr>
                <w:lang w:eastAsia="en-AU"/>
              </w:rPr>
              <w:t>7</w:t>
            </w:r>
            <w:r>
              <w:rPr>
                <w:lang w:eastAsia="en-AU"/>
              </w:rPr>
              <w:t> </w:t>
            </w:r>
            <w:r w:rsidRPr="00F813B1">
              <w:rPr>
                <w:lang w:eastAsia="en-AU"/>
              </w:rPr>
              <w:t>600</w:t>
            </w:r>
          </w:p>
        </w:tc>
        <w:tc>
          <w:tcPr>
            <w:tcW w:w="1220" w:type="dxa"/>
          </w:tcPr>
          <w:p w:rsidR="009E5CBC" w:rsidRPr="00F813B1" w:rsidRDefault="009E5CBC" w:rsidP="009E5CBC">
            <w:pPr>
              <w:pStyle w:val="Tabletextright"/>
              <w:rPr>
                <w:lang w:eastAsia="en-AU"/>
              </w:rPr>
            </w:pPr>
            <w:r w:rsidRPr="00F813B1">
              <w:rPr>
                <w:lang w:eastAsia="en-AU"/>
              </w:rPr>
              <w:t>7</w:t>
            </w:r>
            <w:r>
              <w:rPr>
                <w:lang w:eastAsia="en-AU"/>
              </w:rPr>
              <w:t> </w:t>
            </w:r>
            <w:r w:rsidRPr="00F813B1">
              <w:rPr>
                <w:lang w:eastAsia="en-AU"/>
              </w:rPr>
              <w:t>600</w:t>
            </w:r>
          </w:p>
        </w:tc>
        <w:tc>
          <w:tcPr>
            <w:tcW w:w="1218" w:type="dxa"/>
          </w:tcPr>
          <w:p w:rsidR="009E5CBC" w:rsidRPr="00F813B1" w:rsidRDefault="009E5CBC" w:rsidP="009E5CBC">
            <w:pPr>
              <w:pStyle w:val="Tabletextright"/>
              <w:rPr>
                <w:lang w:eastAsia="en-AU"/>
              </w:rPr>
            </w:pPr>
            <w:r>
              <w:rPr>
                <w:lang w:eastAsia="en-AU"/>
              </w:rPr>
              <w:t>..</w:t>
            </w:r>
          </w:p>
        </w:tc>
      </w:tr>
      <w:tr w:rsidR="009E5CBC" w:rsidRPr="006837B9" w:rsidTr="009E5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7" w:type="dxa"/>
          </w:tcPr>
          <w:p w:rsidR="009E5CBC" w:rsidRPr="00F813B1" w:rsidRDefault="009E5CBC" w:rsidP="009E5CBC">
            <w:pPr>
              <w:pStyle w:val="Tabletext"/>
              <w:rPr>
                <w:lang w:eastAsia="en-AU"/>
              </w:rPr>
            </w:pPr>
            <w:r w:rsidRPr="00F813B1">
              <w:rPr>
                <w:lang w:eastAsia="en-AU"/>
              </w:rPr>
              <w:t>LISTA Barristers</w:t>
            </w:r>
            <w:r w:rsidR="006104F9">
              <w:rPr>
                <w:lang w:eastAsia="en-AU"/>
              </w:rPr>
              <w:t xml:space="preserve"> </w:t>
            </w:r>
          </w:p>
        </w:tc>
        <w:tc>
          <w:tcPr>
            <w:tcW w:w="3088" w:type="dxa"/>
          </w:tcPr>
          <w:p w:rsidR="009E5CBC" w:rsidRPr="00F813B1" w:rsidRDefault="009E5CBC" w:rsidP="006104F9">
            <w:pPr>
              <w:pStyle w:val="Tabletext"/>
              <w:rPr>
                <w:lang w:eastAsia="en-AU"/>
              </w:rPr>
            </w:pPr>
            <w:r w:rsidRPr="00F813B1">
              <w:rPr>
                <w:lang w:eastAsia="en-AU"/>
              </w:rPr>
              <w:t xml:space="preserve">General professional services (Specialist advice </w:t>
            </w:r>
            <w:r w:rsidR="00157A88" w:rsidRPr="00F813B1">
              <w:rPr>
                <w:lang w:eastAsia="en-AU"/>
              </w:rPr>
              <w:t xml:space="preserve">on </w:t>
            </w:r>
            <w:r w:rsidR="006104F9">
              <w:rPr>
                <w:lang w:eastAsia="en-AU"/>
              </w:rPr>
              <w:t>energy policy</w:t>
            </w:r>
            <w:r w:rsidRPr="00F813B1">
              <w:rPr>
                <w:lang w:eastAsia="en-AU"/>
              </w:rPr>
              <w:t>)</w:t>
            </w:r>
          </w:p>
        </w:tc>
        <w:tc>
          <w:tcPr>
            <w:tcW w:w="1350" w:type="dxa"/>
          </w:tcPr>
          <w:p w:rsidR="009E5CBC" w:rsidRPr="00F813B1" w:rsidRDefault="009E5CBC" w:rsidP="009E5CBC">
            <w:pPr>
              <w:pStyle w:val="Tabletextright"/>
              <w:rPr>
                <w:lang w:eastAsia="en-AU"/>
              </w:rPr>
            </w:pPr>
            <w:r w:rsidRPr="00F813B1">
              <w:rPr>
                <w:lang w:eastAsia="en-AU"/>
              </w:rPr>
              <w:t>8</w:t>
            </w:r>
            <w:r>
              <w:rPr>
                <w:lang w:eastAsia="en-AU"/>
              </w:rPr>
              <w:t> </w:t>
            </w:r>
            <w:r w:rsidRPr="00F813B1">
              <w:rPr>
                <w:lang w:eastAsia="en-AU"/>
              </w:rPr>
              <w:t>370</w:t>
            </w:r>
          </w:p>
        </w:tc>
        <w:tc>
          <w:tcPr>
            <w:tcW w:w="1220" w:type="dxa"/>
          </w:tcPr>
          <w:p w:rsidR="009E5CBC" w:rsidRPr="00F813B1" w:rsidRDefault="009E5CBC" w:rsidP="009E5CBC">
            <w:pPr>
              <w:pStyle w:val="Tabletextright"/>
              <w:rPr>
                <w:lang w:eastAsia="en-AU"/>
              </w:rPr>
            </w:pPr>
            <w:r w:rsidRPr="00F813B1">
              <w:rPr>
                <w:lang w:eastAsia="en-AU"/>
              </w:rPr>
              <w:t>8</w:t>
            </w:r>
            <w:r>
              <w:rPr>
                <w:lang w:eastAsia="en-AU"/>
              </w:rPr>
              <w:t> </w:t>
            </w:r>
            <w:r w:rsidRPr="00F813B1">
              <w:rPr>
                <w:lang w:eastAsia="en-AU"/>
              </w:rPr>
              <w:t>370</w:t>
            </w:r>
          </w:p>
        </w:tc>
        <w:tc>
          <w:tcPr>
            <w:tcW w:w="1218" w:type="dxa"/>
          </w:tcPr>
          <w:p w:rsidR="009E5CBC" w:rsidRPr="00F813B1" w:rsidRDefault="009E5CBC" w:rsidP="009E5CBC">
            <w:pPr>
              <w:pStyle w:val="Tabletextright"/>
              <w:rPr>
                <w:lang w:eastAsia="en-AU"/>
              </w:rPr>
            </w:pPr>
            <w:r>
              <w:rPr>
                <w:lang w:eastAsia="en-AU"/>
              </w:rPr>
              <w:t>..</w:t>
            </w:r>
          </w:p>
        </w:tc>
      </w:tr>
      <w:tr w:rsidR="009E5CBC" w:rsidRPr="006837B9" w:rsidTr="009E5C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7" w:type="dxa"/>
          </w:tcPr>
          <w:p w:rsidR="009E5CBC" w:rsidRPr="00F813B1" w:rsidRDefault="009E5CBC" w:rsidP="009E5CBC">
            <w:pPr>
              <w:pStyle w:val="Tabletext"/>
              <w:rPr>
                <w:bCs/>
                <w:lang w:eastAsia="en-AU"/>
              </w:rPr>
            </w:pPr>
            <w:r w:rsidRPr="00F813B1">
              <w:rPr>
                <w:bCs/>
                <w:lang w:eastAsia="en-AU"/>
              </w:rPr>
              <w:t>Total</w:t>
            </w:r>
          </w:p>
        </w:tc>
        <w:tc>
          <w:tcPr>
            <w:tcW w:w="3088" w:type="dxa"/>
          </w:tcPr>
          <w:p w:rsidR="009E5CBC" w:rsidRPr="00F813B1" w:rsidRDefault="009E5CBC" w:rsidP="00E236B8">
            <w:pPr>
              <w:pStyle w:val="Tabletext"/>
              <w:rPr>
                <w:lang w:eastAsia="en-AU"/>
              </w:rPr>
            </w:pPr>
            <w:r>
              <w:t>2</w:t>
            </w:r>
            <w:r w:rsidRPr="00723357">
              <w:t xml:space="preserve"> </w:t>
            </w:r>
            <w:r w:rsidR="00E236B8">
              <w:t>consultancies</w:t>
            </w:r>
          </w:p>
        </w:tc>
        <w:tc>
          <w:tcPr>
            <w:tcW w:w="1350" w:type="dxa"/>
          </w:tcPr>
          <w:p w:rsidR="009E5CBC" w:rsidRPr="00F813B1" w:rsidRDefault="009E5CBC" w:rsidP="009E5CBC">
            <w:pPr>
              <w:pStyle w:val="Tabletextright"/>
              <w:rPr>
                <w:bCs/>
                <w:lang w:eastAsia="en-AU"/>
              </w:rPr>
            </w:pPr>
            <w:r w:rsidRPr="00F813B1">
              <w:rPr>
                <w:bCs/>
                <w:lang w:eastAsia="en-AU"/>
              </w:rPr>
              <w:t>15</w:t>
            </w:r>
            <w:r>
              <w:rPr>
                <w:bCs/>
                <w:lang w:eastAsia="en-AU"/>
              </w:rPr>
              <w:t> </w:t>
            </w:r>
            <w:r w:rsidRPr="00F813B1">
              <w:rPr>
                <w:bCs/>
                <w:lang w:eastAsia="en-AU"/>
              </w:rPr>
              <w:t>970</w:t>
            </w:r>
          </w:p>
        </w:tc>
        <w:tc>
          <w:tcPr>
            <w:tcW w:w="1220" w:type="dxa"/>
          </w:tcPr>
          <w:p w:rsidR="009E5CBC" w:rsidRPr="00F813B1" w:rsidRDefault="009E5CBC" w:rsidP="009E5CBC">
            <w:pPr>
              <w:pStyle w:val="Tabletextright"/>
              <w:rPr>
                <w:bCs/>
                <w:lang w:eastAsia="en-AU"/>
              </w:rPr>
            </w:pPr>
            <w:r w:rsidRPr="00F813B1">
              <w:rPr>
                <w:bCs/>
                <w:lang w:eastAsia="en-AU"/>
              </w:rPr>
              <w:t>15</w:t>
            </w:r>
            <w:r>
              <w:rPr>
                <w:bCs/>
                <w:lang w:eastAsia="en-AU"/>
              </w:rPr>
              <w:t> </w:t>
            </w:r>
            <w:r w:rsidRPr="00F813B1">
              <w:rPr>
                <w:bCs/>
                <w:lang w:eastAsia="en-AU"/>
              </w:rPr>
              <w:t>970</w:t>
            </w:r>
          </w:p>
        </w:tc>
        <w:tc>
          <w:tcPr>
            <w:tcW w:w="1218" w:type="dxa"/>
          </w:tcPr>
          <w:p w:rsidR="009E5CBC" w:rsidRPr="00F813B1" w:rsidRDefault="009E5CBC" w:rsidP="009E5CBC">
            <w:pPr>
              <w:pStyle w:val="Tabletextright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..</w:t>
            </w:r>
          </w:p>
        </w:tc>
      </w:tr>
    </w:tbl>
    <w:p w:rsidR="00E11977" w:rsidRDefault="00E11977" w:rsidP="00E11977">
      <w:pPr>
        <w:rPr>
          <w:lang w:eastAsia="en-US"/>
        </w:rPr>
      </w:pPr>
    </w:p>
    <w:p w:rsidR="00723357" w:rsidRDefault="00723357">
      <w:pPr>
        <w:spacing w:before="0" w:after="200"/>
        <w:rPr>
          <w:rFonts w:asciiTheme="majorHAnsi" w:eastAsiaTheme="majorEastAsia" w:hAnsiTheme="majorHAnsi" w:cstheme="majorBidi"/>
          <w:b/>
          <w:bCs/>
          <w:color w:val="0063A6" w:themeColor="accent1"/>
          <w:sz w:val="22"/>
          <w:szCs w:val="22"/>
        </w:rPr>
      </w:pPr>
      <w:r>
        <w:br w:type="page"/>
      </w:r>
    </w:p>
    <w:p w:rsidR="00E11977" w:rsidRDefault="00E11977" w:rsidP="00E11977">
      <w:pPr>
        <w:pStyle w:val="Heading3"/>
      </w:pPr>
      <w:r>
        <w:lastRenderedPageBreak/>
        <w:t>Details of contractors</w:t>
      </w:r>
    </w:p>
    <w:tbl>
      <w:tblPr>
        <w:tblStyle w:val="DTFtexttable"/>
        <w:tblW w:w="9287" w:type="dxa"/>
        <w:tblLayout w:type="fixed"/>
        <w:tblLook w:val="0460" w:firstRow="1" w:lastRow="1" w:firstColumn="0" w:lastColumn="0" w:noHBand="0" w:noVBand="1"/>
      </w:tblPr>
      <w:tblGrid>
        <w:gridCol w:w="3387"/>
        <w:gridCol w:w="4410"/>
        <w:gridCol w:w="1490"/>
      </w:tblGrid>
      <w:tr w:rsidR="00723357" w:rsidRPr="005F0EFC" w:rsidTr="00052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87" w:type="dxa"/>
          </w:tcPr>
          <w:p w:rsidR="00723357" w:rsidRPr="009E5CBC" w:rsidRDefault="00723357" w:rsidP="00DE37B5">
            <w:pPr>
              <w:pStyle w:val="Tableheader"/>
            </w:pPr>
            <w:r w:rsidRPr="009E5CBC">
              <w:t>Contractor engaged</w:t>
            </w:r>
          </w:p>
        </w:tc>
        <w:tc>
          <w:tcPr>
            <w:tcW w:w="4410" w:type="dxa"/>
          </w:tcPr>
          <w:p w:rsidR="00723357" w:rsidRPr="009E5CBC" w:rsidRDefault="00723357" w:rsidP="00DE37B5">
            <w:pPr>
              <w:pStyle w:val="Tableheader"/>
            </w:pPr>
            <w:r w:rsidRPr="009E5CBC">
              <w:t>Service provided selected from:</w:t>
            </w:r>
          </w:p>
          <w:p w:rsidR="00723357" w:rsidRPr="009E5CBC" w:rsidRDefault="00723357" w:rsidP="00723357">
            <w:pPr>
              <w:pStyle w:val="Tableheaderbullet"/>
            </w:pPr>
            <w:r w:rsidRPr="009E5CBC">
              <w:t>Labour contractor;</w:t>
            </w:r>
          </w:p>
          <w:p w:rsidR="00723357" w:rsidRPr="009E5CBC" w:rsidRDefault="00723357" w:rsidP="00723357">
            <w:pPr>
              <w:pStyle w:val="Tableheaderbullet"/>
            </w:pPr>
            <w:r w:rsidRPr="009E5CBC">
              <w:t>Legal services (routine)</w:t>
            </w:r>
          </w:p>
          <w:p w:rsidR="00723357" w:rsidRPr="009E5CBC" w:rsidRDefault="00723357" w:rsidP="00723357">
            <w:pPr>
              <w:pStyle w:val="Tableheaderbullet"/>
            </w:pPr>
            <w:r w:rsidRPr="009E5CBC">
              <w:t>Human resources and payroll processing</w:t>
            </w:r>
          </w:p>
          <w:p w:rsidR="00723357" w:rsidRPr="009E5CBC" w:rsidRDefault="00723357" w:rsidP="00723357">
            <w:pPr>
              <w:pStyle w:val="Tableheaderbullet"/>
            </w:pPr>
            <w:r w:rsidRPr="009E5CBC">
              <w:t>Baseline IT services (desktop support)</w:t>
            </w:r>
          </w:p>
          <w:p w:rsidR="00723357" w:rsidRPr="009E5CBC" w:rsidRDefault="00723357" w:rsidP="00723357">
            <w:pPr>
              <w:pStyle w:val="Tableheaderbullet"/>
            </w:pPr>
            <w:r w:rsidRPr="009E5CBC">
              <w:t>Accounts processing</w:t>
            </w:r>
          </w:p>
          <w:p w:rsidR="00723357" w:rsidRPr="009E5CBC" w:rsidRDefault="00723357" w:rsidP="00723357">
            <w:pPr>
              <w:pStyle w:val="Tableheaderbullet"/>
            </w:pPr>
            <w:r w:rsidRPr="009E5CBC">
              <w:t>Property management</w:t>
            </w:r>
          </w:p>
        </w:tc>
        <w:tc>
          <w:tcPr>
            <w:tcW w:w="1490" w:type="dxa"/>
          </w:tcPr>
          <w:p w:rsidR="00723357" w:rsidRPr="005F0EFC" w:rsidRDefault="00723357" w:rsidP="00052206">
            <w:pPr>
              <w:pStyle w:val="Tableheader"/>
              <w:jc w:val="right"/>
            </w:pPr>
            <w:r w:rsidRPr="009E5CBC">
              <w:t>Expenditure 2015</w:t>
            </w:r>
            <w:r w:rsidRPr="009E5CBC">
              <w:noBreakHyphen/>
              <w:t xml:space="preserve">16 </w:t>
            </w:r>
            <w:r w:rsidR="00052206">
              <w:br/>
            </w:r>
            <w:r w:rsidRPr="009E5CBC">
              <w:t>(excl. GST)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Allens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26</w:t>
            </w:r>
            <w:r>
              <w:t> </w:t>
            </w:r>
            <w:r w:rsidRPr="00AC0A24">
              <w:t>196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>
              <w:t>Bean Communications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>
              <w:t>16 800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CenITex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Baseline IT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6</w:t>
            </w:r>
            <w:r>
              <w:t> </w:t>
            </w:r>
            <w:r w:rsidRPr="00AC0A24">
              <w:t>505</w:t>
            </w:r>
            <w:r>
              <w:t> </w:t>
            </w:r>
            <w:r w:rsidRPr="00AC0A24">
              <w:t>186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Clayton Utz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9</w:t>
            </w:r>
            <w:r>
              <w:t> </w:t>
            </w:r>
            <w:r w:rsidRPr="00AC0A24">
              <w:t>606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Clicks Recruit (Australia)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3</w:t>
            </w:r>
            <w:r>
              <w:t> </w:t>
            </w:r>
            <w:r w:rsidRPr="00AC0A24">
              <w:t>954</w:t>
            </w:r>
            <w:r>
              <w:t> </w:t>
            </w:r>
            <w:r w:rsidRPr="00AC0A24">
              <w:t>660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Corrs Chambers Westgarth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</w:t>
            </w:r>
            <w:r>
              <w:t> </w:t>
            </w:r>
            <w:r w:rsidRPr="00AC0A24">
              <w:t>615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 xml:space="preserve">Department of Education </w:t>
            </w:r>
            <w:r>
              <w:t>and</w:t>
            </w:r>
            <w:r w:rsidRPr="00AC0A24">
              <w:t xml:space="preserve"> Training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HR and payroll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614</w:t>
            </w:r>
            <w:r>
              <w:t> </w:t>
            </w:r>
            <w:r w:rsidRPr="00AC0A24">
              <w:t>792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Dixon Appointments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63</w:t>
            </w:r>
            <w:r>
              <w:t> </w:t>
            </w:r>
            <w:r w:rsidRPr="00AC0A24">
              <w:t>425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DLA Piper Australia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225</w:t>
            </w:r>
            <w:r>
              <w:t> </w:t>
            </w:r>
            <w:r w:rsidRPr="00AC0A24">
              <w:t>630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DTZ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Property management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5</w:t>
            </w:r>
            <w:r>
              <w:t> </w:t>
            </w:r>
            <w:r w:rsidRPr="00AC0A24">
              <w:t>123</w:t>
            </w:r>
            <w:r>
              <w:t> </w:t>
            </w:r>
            <w:r w:rsidRPr="00AC0A24">
              <w:t>036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Hall &amp; Wilcox Lawyers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750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Hays Specialist Recruitment (Australia)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</w:t>
            </w:r>
            <w:r>
              <w:t> </w:t>
            </w:r>
            <w:r w:rsidRPr="00AC0A24">
              <w:t>775</w:t>
            </w:r>
            <w:r>
              <w:t> </w:t>
            </w:r>
            <w:r w:rsidRPr="00AC0A24">
              <w:t>233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Holding Redlich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51</w:t>
            </w:r>
            <w:r>
              <w:t> </w:t>
            </w:r>
            <w:r w:rsidRPr="00AC0A24">
              <w:t>406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Hudson Global Resources (Aust)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156</w:t>
            </w:r>
            <w:r>
              <w:t> </w:t>
            </w:r>
            <w:r w:rsidRPr="00AC0A24">
              <w:t>005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KPMG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35</w:t>
            </w:r>
            <w:r>
              <w:t> </w:t>
            </w:r>
            <w:r w:rsidRPr="00AC0A24">
              <w:t>000</w:t>
            </w:r>
          </w:p>
        </w:tc>
      </w:tr>
      <w:tr w:rsidR="00052206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Maddocks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54</w:t>
            </w:r>
            <w:r>
              <w:t> </w:t>
            </w:r>
            <w:r w:rsidRPr="00AC0A24">
              <w:t>355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Minter Ellison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8</w:t>
            </w:r>
            <w:r>
              <w:t> </w:t>
            </w:r>
            <w:r w:rsidRPr="00AC0A24">
              <w:t>984</w:t>
            </w:r>
          </w:p>
        </w:tc>
      </w:tr>
      <w:tr w:rsidR="00052206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 xml:space="preserve">Norton Rose </w:t>
            </w:r>
            <w:r>
              <w:t xml:space="preserve">Fullbright </w:t>
            </w:r>
            <w:r w:rsidRPr="00AC0A24">
              <w:t>Australia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978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Randstad Pty Limited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117</w:t>
            </w:r>
            <w:r>
              <w:t> </w:t>
            </w:r>
            <w:r w:rsidRPr="00AC0A24">
              <w:t>843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Redshift Solutions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148</w:t>
            </w:r>
            <w:r>
              <w:t> </w:t>
            </w:r>
            <w:r w:rsidRPr="00AC0A24">
              <w:t>740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Rigby Cooke Lawyers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12</w:t>
            </w:r>
            <w:r>
              <w:t> </w:t>
            </w:r>
            <w:r w:rsidRPr="00AC0A24">
              <w:t>129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Ross Human Directions Limited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349</w:t>
            </w:r>
            <w:r>
              <w:t> </w:t>
            </w:r>
            <w:r w:rsidRPr="00AC0A24">
              <w:t>118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Rubicon Red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391</w:t>
            </w:r>
            <w:r>
              <w:t> </w:t>
            </w:r>
            <w:r w:rsidRPr="00AC0A24">
              <w:t>400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Russell Kennedy P/L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24</w:t>
            </w:r>
            <w:r>
              <w:t> </w:t>
            </w:r>
            <w:r w:rsidRPr="00AC0A24">
              <w:t>492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Talent International (Vic) Pty Ltd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17</w:t>
            </w:r>
            <w:r>
              <w:t> </w:t>
            </w:r>
            <w:r w:rsidRPr="00AC0A24">
              <w:t>288</w:t>
            </w:r>
          </w:p>
        </w:tc>
      </w:tr>
      <w:tr w:rsidR="00E236B8" w:rsidRPr="006837B9" w:rsidTr="000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The Macintosh Corporation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Labour contractors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24</w:t>
            </w:r>
            <w:r>
              <w:t> </w:t>
            </w:r>
            <w:r w:rsidRPr="00AC0A24">
              <w:t>273</w:t>
            </w:r>
          </w:p>
        </w:tc>
      </w:tr>
      <w:tr w:rsidR="00E236B8" w:rsidRPr="006837B9" w:rsidTr="00052206">
        <w:tc>
          <w:tcPr>
            <w:tcW w:w="3387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Victorian Government Solicitor's Office</w:t>
            </w:r>
          </w:p>
        </w:tc>
        <w:tc>
          <w:tcPr>
            <w:tcW w:w="4410" w:type="dxa"/>
          </w:tcPr>
          <w:p w:rsidR="00E236B8" w:rsidRPr="00AC0A24" w:rsidRDefault="00E236B8" w:rsidP="00E236B8">
            <w:pPr>
              <w:pStyle w:val="Tabletext"/>
            </w:pPr>
            <w:r w:rsidRPr="00AC0A24">
              <w:t>Legal services</w:t>
            </w:r>
          </w:p>
        </w:tc>
        <w:tc>
          <w:tcPr>
            <w:tcW w:w="1490" w:type="dxa"/>
          </w:tcPr>
          <w:p w:rsidR="00E236B8" w:rsidRPr="00AC0A24" w:rsidRDefault="00E236B8" w:rsidP="00E236B8">
            <w:pPr>
              <w:pStyle w:val="Tabletextright"/>
            </w:pPr>
            <w:r w:rsidRPr="00AC0A24">
              <w:t>135</w:t>
            </w:r>
            <w:r>
              <w:t> </w:t>
            </w:r>
            <w:r w:rsidRPr="00AC0A24">
              <w:t>232</w:t>
            </w:r>
          </w:p>
        </w:tc>
      </w:tr>
      <w:tr w:rsidR="00E236B8" w:rsidRPr="006837B9" w:rsidTr="000522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387" w:type="dxa"/>
          </w:tcPr>
          <w:p w:rsidR="00E236B8" w:rsidRPr="00E236B8" w:rsidRDefault="00E236B8" w:rsidP="00E236B8">
            <w:pPr>
              <w:pStyle w:val="Tabletext"/>
            </w:pPr>
            <w:r w:rsidRPr="00FE2A34">
              <w:rPr>
                <w:lang w:eastAsia="en-AU"/>
              </w:rPr>
              <w:t>Total</w:t>
            </w:r>
          </w:p>
        </w:tc>
        <w:tc>
          <w:tcPr>
            <w:tcW w:w="4410" w:type="dxa"/>
          </w:tcPr>
          <w:p w:rsidR="00E236B8" w:rsidRPr="00FE2A34" w:rsidRDefault="00E236B8" w:rsidP="00E236B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27 contractors</w:t>
            </w:r>
          </w:p>
        </w:tc>
        <w:tc>
          <w:tcPr>
            <w:tcW w:w="1490" w:type="dxa"/>
          </w:tcPr>
          <w:p w:rsidR="00E236B8" w:rsidRPr="00FE2A34" w:rsidRDefault="00E236B8" w:rsidP="00E236B8">
            <w:pPr>
              <w:pStyle w:val="Tabletextright"/>
            </w:pPr>
            <w:r w:rsidRPr="00AC0A24">
              <w:t>19</w:t>
            </w:r>
            <w:r>
              <w:t> </w:t>
            </w:r>
            <w:r w:rsidRPr="00AC0A24">
              <w:t>84</w:t>
            </w:r>
            <w:r>
              <w:t>4 1</w:t>
            </w:r>
            <w:r w:rsidRPr="00AC0A24">
              <w:t>7</w:t>
            </w:r>
            <w:r>
              <w:t>2</w:t>
            </w:r>
          </w:p>
        </w:tc>
      </w:tr>
      <w:bookmarkEnd w:id="0"/>
    </w:tbl>
    <w:p w:rsidR="00E11977" w:rsidRDefault="00E11977" w:rsidP="00D43B6F">
      <w:pPr>
        <w:pStyle w:val="Spacer"/>
      </w:pPr>
    </w:p>
    <w:p w:rsidR="00E97B82" w:rsidRDefault="00E97B82" w:rsidP="00D43B6F">
      <w:pPr>
        <w:pStyle w:val="Spacer"/>
      </w:pPr>
    </w:p>
    <w:sectPr w:rsidR="00E97B82" w:rsidSect="00F417C3">
      <w:headerReference w:type="default" r:id="rId9"/>
      <w:footerReference w:type="default" r:id="rId10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77" w:rsidRDefault="00E11977" w:rsidP="002D711A">
      <w:pPr>
        <w:spacing w:after="0" w:line="240" w:lineRule="auto"/>
      </w:pPr>
      <w:r>
        <w:separator/>
      </w:r>
    </w:p>
  </w:endnote>
  <w:endnote w:type="continuationSeparator" w:id="0">
    <w:p w:rsidR="00E11977" w:rsidRDefault="00E1197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7" w:rsidRDefault="00E11977" w:rsidP="004669E3">
    <w:pPr>
      <w:pStyle w:val="Spacer"/>
    </w:pPr>
  </w:p>
  <w:p w:rsidR="00E11977" w:rsidRPr="00C022F9" w:rsidRDefault="00E11977" w:rsidP="0041689E">
    <w:pPr>
      <w:pStyle w:val="Footer"/>
    </w:pP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E57E23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77" w:rsidRDefault="00E11977" w:rsidP="002D711A">
      <w:pPr>
        <w:spacing w:after="0" w:line="240" w:lineRule="auto"/>
      </w:pPr>
      <w:r>
        <w:separator/>
      </w:r>
    </w:p>
  </w:footnote>
  <w:footnote w:type="continuationSeparator" w:id="0">
    <w:p w:rsidR="00E11977" w:rsidRDefault="00E11977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7" w:rsidRPr="0041689E" w:rsidRDefault="00E11977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8034994" wp14:editId="612AB092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3DC4A9E8" wp14:editId="3CB6ED18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3C"/>
    <w:multiLevelType w:val="hybridMultilevel"/>
    <w:tmpl w:val="DB34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84A22"/>
    <w:multiLevelType w:val="hybridMultilevel"/>
    <w:tmpl w:val="C480F83C"/>
    <w:lvl w:ilvl="0" w:tplc="BE3EF5B8">
      <w:numFmt w:val="bullet"/>
      <w:lvlText w:val="-"/>
      <w:lvlJc w:val="left"/>
      <w:pPr>
        <w:ind w:left="6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>
    <w:nsid w:val="23732AC6"/>
    <w:multiLevelType w:val="hybridMultilevel"/>
    <w:tmpl w:val="DDBE6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9EC79CA"/>
    <w:multiLevelType w:val="hybridMultilevel"/>
    <w:tmpl w:val="1536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778A9"/>
    <w:multiLevelType w:val="hybridMultilevel"/>
    <w:tmpl w:val="85105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04211"/>
    <w:multiLevelType w:val="hybridMultilevel"/>
    <w:tmpl w:val="9B28D0CA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>
    <w:nsid w:val="48E8331D"/>
    <w:multiLevelType w:val="hybridMultilevel"/>
    <w:tmpl w:val="EE1AF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15B7"/>
    <w:multiLevelType w:val="hybridMultilevel"/>
    <w:tmpl w:val="73341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51A1C"/>
    <w:multiLevelType w:val="multilevel"/>
    <w:tmpl w:val="394A3B24"/>
    <w:lvl w:ilvl="0">
      <w:start w:val="1"/>
      <w:numFmt w:val="bullet"/>
      <w:pStyle w:val="TableBullet0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12">
    <w:nsid w:val="6F87598C"/>
    <w:multiLevelType w:val="hybridMultilevel"/>
    <w:tmpl w:val="7806F6AC"/>
    <w:lvl w:ilvl="0" w:tplc="D974E9F2">
      <w:start w:val="1"/>
      <w:numFmt w:val="bullet"/>
      <w:pStyle w:val="Tableheader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5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4"/>
  </w:num>
  <w:num w:numId="18">
    <w:abstractNumId w:val="4"/>
  </w:num>
  <w:num w:numId="19">
    <w:abstractNumId w:val="14"/>
  </w:num>
  <w:num w:numId="20">
    <w:abstractNumId w:val="13"/>
  </w:num>
  <w:num w:numId="21">
    <w:abstractNumId w:val="1"/>
  </w:num>
  <w:num w:numId="22">
    <w:abstractNumId w:val="1"/>
  </w:num>
  <w:num w:numId="23">
    <w:abstractNumId w:val="1"/>
  </w:num>
  <w:num w:numId="24">
    <w:abstractNumId w:val="14"/>
  </w:num>
  <w:num w:numId="25">
    <w:abstractNumId w:val="15"/>
  </w:num>
  <w:num w:numId="26">
    <w:abstractNumId w:val="4"/>
  </w:num>
  <w:num w:numId="27">
    <w:abstractNumId w:val="4"/>
  </w:num>
  <w:num w:numId="28">
    <w:abstractNumId w:val="11"/>
  </w:num>
  <w:num w:numId="29">
    <w:abstractNumId w:val="3"/>
  </w:num>
  <w:num w:numId="30">
    <w:abstractNumId w:val="12"/>
  </w:num>
  <w:num w:numId="31">
    <w:abstractNumId w:val="7"/>
  </w:num>
  <w:num w:numId="32">
    <w:abstractNumId w:val="9"/>
  </w:num>
  <w:num w:numId="33">
    <w:abstractNumId w:val="2"/>
  </w:num>
  <w:num w:numId="34">
    <w:abstractNumId w:val="0"/>
  </w:num>
  <w:num w:numId="35">
    <w:abstractNumId w:val="6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77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52206"/>
    <w:rsid w:val="0007595B"/>
    <w:rsid w:val="00075E6C"/>
    <w:rsid w:val="000852F1"/>
    <w:rsid w:val="000B29AD"/>
    <w:rsid w:val="000B353F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57A88"/>
    <w:rsid w:val="001617B6"/>
    <w:rsid w:val="00165E66"/>
    <w:rsid w:val="0018794C"/>
    <w:rsid w:val="001A3DD1"/>
    <w:rsid w:val="001C7BAE"/>
    <w:rsid w:val="001D717E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B1C5A"/>
    <w:rsid w:val="002C54E0"/>
    <w:rsid w:val="002D10F4"/>
    <w:rsid w:val="002D711A"/>
    <w:rsid w:val="002D7336"/>
    <w:rsid w:val="002E3396"/>
    <w:rsid w:val="0031149C"/>
    <w:rsid w:val="00320C38"/>
    <w:rsid w:val="00330917"/>
    <w:rsid w:val="00343AC1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856"/>
    <w:rsid w:val="003D5986"/>
    <w:rsid w:val="003E0399"/>
    <w:rsid w:val="003E3E26"/>
    <w:rsid w:val="003F1295"/>
    <w:rsid w:val="003F76FC"/>
    <w:rsid w:val="004002EB"/>
    <w:rsid w:val="00405C57"/>
    <w:rsid w:val="004164B1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B50FD"/>
    <w:rsid w:val="004D3518"/>
    <w:rsid w:val="004D62D6"/>
    <w:rsid w:val="0053416C"/>
    <w:rsid w:val="00536BDB"/>
    <w:rsid w:val="00541C2F"/>
    <w:rsid w:val="00563527"/>
    <w:rsid w:val="00572B0F"/>
    <w:rsid w:val="0058124E"/>
    <w:rsid w:val="00584301"/>
    <w:rsid w:val="005875A3"/>
    <w:rsid w:val="005A3416"/>
    <w:rsid w:val="005B27FE"/>
    <w:rsid w:val="005C3E6D"/>
    <w:rsid w:val="005F61DF"/>
    <w:rsid w:val="006023F9"/>
    <w:rsid w:val="006104F9"/>
    <w:rsid w:val="00610559"/>
    <w:rsid w:val="00624F38"/>
    <w:rsid w:val="006332F6"/>
    <w:rsid w:val="006361E7"/>
    <w:rsid w:val="006446CC"/>
    <w:rsid w:val="00652625"/>
    <w:rsid w:val="006534B2"/>
    <w:rsid w:val="0065615D"/>
    <w:rsid w:val="00657011"/>
    <w:rsid w:val="006650B5"/>
    <w:rsid w:val="006651B1"/>
    <w:rsid w:val="00665778"/>
    <w:rsid w:val="006738C4"/>
    <w:rsid w:val="00680BFC"/>
    <w:rsid w:val="006A5B34"/>
    <w:rsid w:val="006A5F5B"/>
    <w:rsid w:val="006C4323"/>
    <w:rsid w:val="006C77A9"/>
    <w:rsid w:val="006F58DA"/>
    <w:rsid w:val="006F6693"/>
    <w:rsid w:val="00700B9F"/>
    <w:rsid w:val="00707FE8"/>
    <w:rsid w:val="00723357"/>
    <w:rsid w:val="00724962"/>
    <w:rsid w:val="00724A0F"/>
    <w:rsid w:val="0073072C"/>
    <w:rsid w:val="007320B4"/>
    <w:rsid w:val="00732162"/>
    <w:rsid w:val="00736732"/>
    <w:rsid w:val="00750CBE"/>
    <w:rsid w:val="00766B5A"/>
    <w:rsid w:val="00780AA8"/>
    <w:rsid w:val="007834F2"/>
    <w:rsid w:val="00791020"/>
    <w:rsid w:val="007A34F2"/>
    <w:rsid w:val="007A5F82"/>
    <w:rsid w:val="007B75A4"/>
    <w:rsid w:val="007F1A4C"/>
    <w:rsid w:val="00801314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91CC4"/>
    <w:rsid w:val="008A4900"/>
    <w:rsid w:val="008C3368"/>
    <w:rsid w:val="008D0281"/>
    <w:rsid w:val="008E3C4E"/>
    <w:rsid w:val="008F6D45"/>
    <w:rsid w:val="009179ED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C5843"/>
    <w:rsid w:val="009D650A"/>
    <w:rsid w:val="009E2326"/>
    <w:rsid w:val="009E3858"/>
    <w:rsid w:val="009E5CBC"/>
    <w:rsid w:val="009E70DD"/>
    <w:rsid w:val="009F2ED9"/>
    <w:rsid w:val="009F3231"/>
    <w:rsid w:val="009F5C58"/>
    <w:rsid w:val="00A023A0"/>
    <w:rsid w:val="00A14DDB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C72C9"/>
    <w:rsid w:val="00AD3322"/>
    <w:rsid w:val="00AD7E4E"/>
    <w:rsid w:val="00AF34DE"/>
    <w:rsid w:val="00AF4D58"/>
    <w:rsid w:val="00AF6666"/>
    <w:rsid w:val="00B02214"/>
    <w:rsid w:val="00B10154"/>
    <w:rsid w:val="00B207EE"/>
    <w:rsid w:val="00B21839"/>
    <w:rsid w:val="00B23687"/>
    <w:rsid w:val="00B70664"/>
    <w:rsid w:val="00B809E3"/>
    <w:rsid w:val="00B81B44"/>
    <w:rsid w:val="00B9053B"/>
    <w:rsid w:val="00BC3422"/>
    <w:rsid w:val="00BD2F85"/>
    <w:rsid w:val="00BE0BFF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3E8B"/>
    <w:rsid w:val="00D269C1"/>
    <w:rsid w:val="00D3141B"/>
    <w:rsid w:val="00D43B6F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02A81"/>
    <w:rsid w:val="00E07EA4"/>
    <w:rsid w:val="00E11977"/>
    <w:rsid w:val="00E236B8"/>
    <w:rsid w:val="00E26B32"/>
    <w:rsid w:val="00E31444"/>
    <w:rsid w:val="00E407B6"/>
    <w:rsid w:val="00E41EF1"/>
    <w:rsid w:val="00E42942"/>
    <w:rsid w:val="00E468A6"/>
    <w:rsid w:val="00E57E23"/>
    <w:rsid w:val="00E71BDF"/>
    <w:rsid w:val="00E83CA7"/>
    <w:rsid w:val="00E97B82"/>
    <w:rsid w:val="00EB6FFA"/>
    <w:rsid w:val="00EC171D"/>
    <w:rsid w:val="00ED487E"/>
    <w:rsid w:val="00EE7A0D"/>
    <w:rsid w:val="00EF0D21"/>
    <w:rsid w:val="00F17CE1"/>
    <w:rsid w:val="00F2115C"/>
    <w:rsid w:val="00F22ABA"/>
    <w:rsid w:val="00F36B12"/>
    <w:rsid w:val="00F4106C"/>
    <w:rsid w:val="00F417C3"/>
    <w:rsid w:val="00F60F9F"/>
    <w:rsid w:val="00F64F08"/>
    <w:rsid w:val="00F652D2"/>
    <w:rsid w:val="00F734F5"/>
    <w:rsid w:val="00F779FD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1197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11977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50F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19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11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11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2335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1197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1197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1197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1197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1197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1197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1197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B50FD"/>
    <w:rPr>
      <w:rFonts w:asciiTheme="majorHAnsi" w:eastAsiaTheme="majorEastAsia" w:hAnsiTheme="majorHAnsi" w:cstheme="majorBidi"/>
      <w:b/>
      <w:bCs/>
      <w:color w:val="0063A6" w:themeColor="accent1"/>
      <w:spacing w:val="2"/>
      <w:sz w:val="26"/>
      <w:szCs w:val="26"/>
    </w:rPr>
  </w:style>
  <w:style w:type="paragraph" w:customStyle="1" w:styleId="Bullet1">
    <w:name w:val="Bullet 1"/>
    <w:uiPriority w:val="1"/>
    <w:qFormat/>
    <w:rsid w:val="00E11977"/>
    <w:pPr>
      <w:numPr>
        <w:numId w:val="1"/>
      </w:numPr>
      <w:spacing w:before="100" w:after="100" w:line="240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1197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1197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1197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1197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1197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1197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1197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1197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E1197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1197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1197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E1197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1197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E1197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1197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1197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1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977"/>
    <w:rPr>
      <w:spacing w:val="2"/>
    </w:rPr>
  </w:style>
  <w:style w:type="paragraph" w:styleId="Footer">
    <w:name w:val="footer"/>
    <w:basedOn w:val="Normal"/>
    <w:link w:val="FooterChar"/>
    <w:uiPriority w:val="24"/>
    <w:rsid w:val="00E1197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1197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1197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1197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1197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1197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1197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1197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1197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1197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1197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72335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1197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E1197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1197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1197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1197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1197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E1197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E1197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B50FD"/>
    <w:pPr>
      <w:keepNext/>
      <w:keepLines/>
      <w:spacing w:before="120"/>
    </w:pPr>
    <w:rPr>
      <w:rFonts w:eastAsiaTheme="minorHAnsi"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9E5CBC"/>
    <w:pPr>
      <w:numPr>
        <w:numId w:val="17"/>
      </w:numPr>
      <w:contextualSpacing/>
    </w:pPr>
  </w:style>
  <w:style w:type="paragraph" w:customStyle="1" w:styleId="Tabledash">
    <w:name w:val="Table dash"/>
    <w:basedOn w:val="Tablebullet"/>
    <w:uiPriority w:val="6"/>
    <w:rsid w:val="00E1197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E11977"/>
    <w:pPr>
      <w:ind w:left="288"/>
    </w:pPr>
  </w:style>
  <w:style w:type="paragraph" w:customStyle="1" w:styleId="Numpara">
    <w:name w:val="Num para"/>
    <w:basedOn w:val="ListParagraph"/>
    <w:uiPriority w:val="2"/>
    <w:qFormat/>
    <w:rsid w:val="00E1197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E1197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1197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1197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7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E1197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1197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1197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1197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1197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1197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E11977"/>
    <w:pPr>
      <w:ind w:left="792"/>
    </w:pPr>
  </w:style>
  <w:style w:type="paragraph" w:styleId="Caption">
    <w:name w:val="caption"/>
    <w:basedOn w:val="Normal"/>
    <w:next w:val="Normal"/>
    <w:uiPriority w:val="35"/>
    <w:rsid w:val="00E1197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0">
    <w:name w:val="Table Header"/>
    <w:basedOn w:val="Normal"/>
    <w:uiPriority w:val="15"/>
    <w:qFormat/>
    <w:rsid w:val="004B50FD"/>
    <w:pPr>
      <w:keepNext/>
      <w:spacing w:before="100" w:line="240" w:lineRule="auto"/>
    </w:pPr>
    <w:rPr>
      <w:rFonts w:ascii="Calibri" w:eastAsia="Times New Roman" w:hAnsi="Calibri" w:cs="Calibri"/>
      <w:color w:val="333333"/>
      <w:spacing w:val="0"/>
      <w:sz w:val="24"/>
      <w:szCs w:val="22"/>
    </w:rPr>
  </w:style>
  <w:style w:type="paragraph" w:customStyle="1" w:styleId="Tableheaderbullet">
    <w:name w:val="Table header bullet"/>
    <w:basedOn w:val="Tableheader"/>
    <w:qFormat/>
    <w:rsid w:val="004B50FD"/>
    <w:pPr>
      <w:numPr>
        <w:numId w:val="30"/>
      </w:numPr>
      <w:spacing w:before="0" w:after="0"/>
      <w:ind w:left="245" w:hanging="245"/>
    </w:pPr>
    <w:rPr>
      <w:b/>
      <w:sz w:val="14"/>
      <w:szCs w:val="14"/>
    </w:rPr>
  </w:style>
  <w:style w:type="paragraph" w:customStyle="1" w:styleId="TableBullet0">
    <w:name w:val="Table Bullet"/>
    <w:basedOn w:val="Normal"/>
    <w:uiPriority w:val="16"/>
    <w:qFormat/>
    <w:rsid w:val="004B50FD"/>
    <w:pPr>
      <w:numPr>
        <w:numId w:val="28"/>
      </w:numPr>
      <w:spacing w:before="0" w:after="0" w:line="240" w:lineRule="auto"/>
    </w:pPr>
    <w:rPr>
      <w:rFonts w:ascii="Calibri" w:eastAsia="Times New Roman" w:hAnsi="Calibri" w:cs="Calibri"/>
      <w:color w:val="404040" w:themeColor="text1" w:themeTint="BF"/>
      <w:spacing w:val="0"/>
      <w:szCs w:val="22"/>
    </w:rPr>
  </w:style>
  <w:style w:type="paragraph" w:customStyle="1" w:styleId="TableBulletDash">
    <w:name w:val="Table Bullet Dash"/>
    <w:basedOn w:val="Normal"/>
    <w:uiPriority w:val="16"/>
    <w:rsid w:val="00E11977"/>
    <w:pPr>
      <w:numPr>
        <w:ilvl w:val="1"/>
        <w:numId w:val="28"/>
      </w:numPr>
      <w:tabs>
        <w:tab w:val="clear" w:pos="454"/>
        <w:tab w:val="num" w:pos="607"/>
      </w:tabs>
      <w:spacing w:before="0" w:after="0" w:line="240" w:lineRule="auto"/>
      <w:ind w:left="607" w:hanging="270"/>
    </w:pPr>
    <w:rPr>
      <w:rFonts w:ascii="Calibri" w:eastAsia="Times New Roman" w:hAnsi="Calibri" w:cs="Calibri"/>
      <w:color w:val="404040"/>
      <w:spacing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1197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11977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50F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19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119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119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2335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1197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1197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1197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1197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1197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1197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1197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1197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B50FD"/>
    <w:rPr>
      <w:rFonts w:asciiTheme="majorHAnsi" w:eastAsiaTheme="majorEastAsia" w:hAnsiTheme="majorHAnsi" w:cstheme="majorBidi"/>
      <w:b/>
      <w:bCs/>
      <w:color w:val="0063A6" w:themeColor="accent1"/>
      <w:spacing w:val="2"/>
      <w:sz w:val="26"/>
      <w:szCs w:val="26"/>
    </w:rPr>
  </w:style>
  <w:style w:type="paragraph" w:customStyle="1" w:styleId="Bullet1">
    <w:name w:val="Bullet 1"/>
    <w:uiPriority w:val="1"/>
    <w:qFormat/>
    <w:rsid w:val="00E11977"/>
    <w:pPr>
      <w:numPr>
        <w:numId w:val="1"/>
      </w:numPr>
      <w:spacing w:before="100" w:after="100" w:line="240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1197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1197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1197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1197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1197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1197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1197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1197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E1197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1197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1197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E1197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E1197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E1197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character" w:customStyle="1" w:styleId="TitleChar">
    <w:name w:val="Title Char"/>
    <w:basedOn w:val="DefaultParagraphFont"/>
    <w:link w:val="Title"/>
    <w:uiPriority w:val="97"/>
    <w:rsid w:val="00E1197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1197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1197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1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977"/>
    <w:rPr>
      <w:spacing w:val="2"/>
    </w:rPr>
  </w:style>
  <w:style w:type="paragraph" w:styleId="Footer">
    <w:name w:val="footer"/>
    <w:basedOn w:val="Normal"/>
    <w:link w:val="FooterChar"/>
    <w:uiPriority w:val="24"/>
    <w:rsid w:val="00E1197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1197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1197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1197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1197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1197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1197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1197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1197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1197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1197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72335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1197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E1197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1197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1197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1197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1197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E1197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E1197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B50FD"/>
    <w:pPr>
      <w:keepNext/>
      <w:keepLines/>
      <w:spacing w:before="120"/>
    </w:pPr>
    <w:rPr>
      <w:rFonts w:eastAsiaTheme="minorHAnsi"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9E5CBC"/>
    <w:pPr>
      <w:numPr>
        <w:numId w:val="17"/>
      </w:numPr>
      <w:contextualSpacing/>
    </w:pPr>
  </w:style>
  <w:style w:type="paragraph" w:customStyle="1" w:styleId="Tabledash">
    <w:name w:val="Table dash"/>
    <w:basedOn w:val="Tablebullet"/>
    <w:uiPriority w:val="6"/>
    <w:rsid w:val="00E1197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E11977"/>
    <w:pPr>
      <w:ind w:left="288"/>
    </w:pPr>
  </w:style>
  <w:style w:type="paragraph" w:customStyle="1" w:styleId="Numpara">
    <w:name w:val="Num para"/>
    <w:basedOn w:val="ListParagraph"/>
    <w:uiPriority w:val="2"/>
    <w:qFormat/>
    <w:rsid w:val="00E1197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E1197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1197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1197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97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E1197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1197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1197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  <w:shd w:val="clear" w:color="auto" w:fill="0063A6" w:themeFill="accent1"/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1197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1197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1197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E11977"/>
    <w:pPr>
      <w:ind w:left="792"/>
    </w:pPr>
  </w:style>
  <w:style w:type="paragraph" w:styleId="Caption">
    <w:name w:val="caption"/>
    <w:basedOn w:val="Normal"/>
    <w:next w:val="Normal"/>
    <w:uiPriority w:val="35"/>
    <w:rsid w:val="00E1197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0">
    <w:name w:val="Table Header"/>
    <w:basedOn w:val="Normal"/>
    <w:uiPriority w:val="15"/>
    <w:qFormat/>
    <w:rsid w:val="004B50FD"/>
    <w:pPr>
      <w:keepNext/>
      <w:spacing w:before="100" w:line="240" w:lineRule="auto"/>
    </w:pPr>
    <w:rPr>
      <w:rFonts w:ascii="Calibri" w:eastAsia="Times New Roman" w:hAnsi="Calibri" w:cs="Calibri"/>
      <w:color w:val="333333"/>
      <w:spacing w:val="0"/>
      <w:sz w:val="24"/>
      <w:szCs w:val="22"/>
    </w:rPr>
  </w:style>
  <w:style w:type="paragraph" w:customStyle="1" w:styleId="Tableheaderbullet">
    <w:name w:val="Table header bullet"/>
    <w:basedOn w:val="Tableheader"/>
    <w:qFormat/>
    <w:rsid w:val="004B50FD"/>
    <w:pPr>
      <w:numPr>
        <w:numId w:val="30"/>
      </w:numPr>
      <w:spacing w:before="0" w:after="0"/>
      <w:ind w:left="245" w:hanging="245"/>
    </w:pPr>
    <w:rPr>
      <w:b/>
      <w:sz w:val="14"/>
      <w:szCs w:val="14"/>
    </w:rPr>
  </w:style>
  <w:style w:type="paragraph" w:customStyle="1" w:styleId="TableBullet0">
    <w:name w:val="Table Bullet"/>
    <w:basedOn w:val="Normal"/>
    <w:uiPriority w:val="16"/>
    <w:qFormat/>
    <w:rsid w:val="004B50FD"/>
    <w:pPr>
      <w:numPr>
        <w:numId w:val="28"/>
      </w:numPr>
      <w:spacing w:before="0" w:after="0" w:line="240" w:lineRule="auto"/>
    </w:pPr>
    <w:rPr>
      <w:rFonts w:ascii="Calibri" w:eastAsia="Times New Roman" w:hAnsi="Calibri" w:cs="Calibri"/>
      <w:color w:val="404040" w:themeColor="text1" w:themeTint="BF"/>
      <w:spacing w:val="0"/>
      <w:szCs w:val="22"/>
    </w:rPr>
  </w:style>
  <w:style w:type="paragraph" w:customStyle="1" w:styleId="TableBulletDash">
    <w:name w:val="Table Bullet Dash"/>
    <w:basedOn w:val="Normal"/>
    <w:uiPriority w:val="16"/>
    <w:rsid w:val="00E11977"/>
    <w:pPr>
      <w:numPr>
        <w:ilvl w:val="1"/>
        <w:numId w:val="28"/>
      </w:numPr>
      <w:tabs>
        <w:tab w:val="clear" w:pos="454"/>
        <w:tab w:val="num" w:pos="607"/>
      </w:tabs>
      <w:spacing w:before="0" w:after="0" w:line="240" w:lineRule="auto"/>
      <w:ind w:left="607" w:hanging="270"/>
    </w:pPr>
    <w:rPr>
      <w:rFonts w:ascii="Calibri" w:eastAsia="Times New Roman" w:hAnsi="Calibri" w:cs="Calibri"/>
      <w:color w:val="404040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0734-D0CA-49C8-964A-0015CE8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2</cp:revision>
  <cp:lastPrinted>2016-02-09T01:59:00Z</cp:lastPrinted>
  <dcterms:created xsi:type="dcterms:W3CDTF">2016-10-11T00:51:00Z</dcterms:created>
  <dcterms:modified xsi:type="dcterms:W3CDTF">2016-10-11T00:51:00Z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5bb673e5-572f-4107-b3d5-90462b74eccd</vt:lpwstr>
  </property>
  <property fmtid="{D5CDD505-2E9C-101B-9397-08002B2CF9AE}" pid="3" name="PSPFClassification">
    <vt:lpwstr>Do Not Mark</vt:lpwstr>
  </property>
</Properties>
</file>