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85.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60.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94.xml" ContentType="application/vnd.openxmlformats-officedocument.wordprocessingml.header+xml"/>
  <Override PartName="/word/footer69.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F1F" w:rsidRPr="007B4060" w:rsidRDefault="00BB6F1F" w:rsidP="00F63294">
      <w:pPr>
        <w:spacing w:before="2400"/>
        <w:jc w:val="center"/>
        <w:rPr>
          <w:rFonts w:ascii="Calibri" w:hAnsi="Calibri"/>
          <w:b/>
          <w:sz w:val="56"/>
          <w:szCs w:val="48"/>
        </w:rPr>
      </w:pPr>
      <w:r w:rsidRPr="007B4060">
        <w:rPr>
          <w:rFonts w:ascii="Calibri" w:hAnsi="Calibri"/>
          <w:b/>
          <w:sz w:val="56"/>
          <w:szCs w:val="48"/>
        </w:rPr>
        <w:t>Financial Report</w:t>
      </w:r>
    </w:p>
    <w:p w:rsidR="00BB6F1F" w:rsidRPr="003A0092" w:rsidRDefault="00BB6F1F" w:rsidP="00F63294">
      <w:pPr>
        <w:pBdr>
          <w:bottom w:val="single" w:sz="12" w:space="1" w:color="auto"/>
        </w:pBdr>
        <w:jc w:val="center"/>
        <w:rPr>
          <w:rFonts w:ascii="Calibri" w:hAnsi="Calibri"/>
          <w:b/>
          <w:sz w:val="40"/>
          <w:szCs w:val="40"/>
        </w:rPr>
      </w:pPr>
      <w:r w:rsidRPr="003A0092">
        <w:rPr>
          <w:rFonts w:ascii="Calibri" w:hAnsi="Calibri"/>
          <w:b/>
          <w:sz w:val="40"/>
          <w:szCs w:val="40"/>
        </w:rPr>
        <w:t>(incorporating Quarterly Financial Report No. 4</w:t>
      </w:r>
      <w:r>
        <w:rPr>
          <w:rFonts w:ascii="Calibri" w:hAnsi="Calibri"/>
          <w:b/>
          <w:sz w:val="40"/>
          <w:szCs w:val="40"/>
        </w:rPr>
        <w:t>)</w:t>
      </w:r>
    </w:p>
    <w:p w:rsidR="00BB6F1F" w:rsidRPr="003A0092" w:rsidRDefault="00BB6F1F" w:rsidP="00F63294">
      <w:pPr>
        <w:jc w:val="center"/>
        <w:rPr>
          <w:rFonts w:ascii="Calibri" w:hAnsi="Calibri"/>
          <w:b/>
          <w:sz w:val="56"/>
          <w:szCs w:val="48"/>
        </w:rPr>
      </w:pPr>
      <w:r w:rsidRPr="007B4060">
        <w:rPr>
          <w:rFonts w:ascii="Calibri" w:hAnsi="Calibri"/>
          <w:b/>
          <w:sz w:val="56"/>
          <w:szCs w:val="48"/>
        </w:rPr>
        <w:t>201</w:t>
      </w:r>
      <w:r>
        <w:rPr>
          <w:rFonts w:ascii="Calibri" w:hAnsi="Calibri"/>
          <w:b/>
          <w:sz w:val="56"/>
          <w:szCs w:val="48"/>
        </w:rPr>
        <w:t>6</w:t>
      </w:r>
      <w:r>
        <w:rPr>
          <w:rFonts w:ascii="Calibri" w:hAnsi="Calibri"/>
          <w:b/>
          <w:sz w:val="56"/>
          <w:szCs w:val="48"/>
        </w:rPr>
        <w:noBreakHyphen/>
        <w:t>17</w:t>
      </w:r>
    </w:p>
    <w:p w:rsidR="00BB6F1F" w:rsidRPr="007B4060" w:rsidRDefault="00BB6F1F" w:rsidP="00F63294">
      <w:pPr>
        <w:jc w:val="center"/>
        <w:rPr>
          <w:rFonts w:ascii="Calibri" w:hAnsi="Calibri"/>
          <w:b/>
          <w:szCs w:val="24"/>
        </w:rPr>
      </w:pPr>
    </w:p>
    <w:p w:rsidR="00BB6F1F" w:rsidRPr="007B4060" w:rsidRDefault="00BB6F1F" w:rsidP="00F63294">
      <w:pPr>
        <w:jc w:val="center"/>
        <w:rPr>
          <w:rFonts w:ascii="Calibri" w:hAnsi="Calibri"/>
          <w:szCs w:val="24"/>
        </w:rPr>
      </w:pPr>
      <w:r>
        <w:rPr>
          <w:noProof/>
          <w:lang w:eastAsia="en-AU"/>
        </w:rPr>
        <w:drawing>
          <wp:inline distT="0" distB="0" distL="0" distR="0" wp14:anchorId="19A3871F" wp14:editId="31835D85">
            <wp:extent cx="940435" cy="114744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0435" cy="1147445"/>
                    </a:xfrm>
                    <a:prstGeom prst="rect">
                      <a:avLst/>
                    </a:prstGeom>
                    <a:noFill/>
                    <a:ln>
                      <a:noFill/>
                    </a:ln>
                  </pic:spPr>
                </pic:pic>
              </a:graphicData>
            </a:graphic>
          </wp:inline>
        </w:drawing>
      </w:r>
    </w:p>
    <w:p w:rsidR="00BB6F1F" w:rsidRPr="007B4060" w:rsidRDefault="00BB6F1F" w:rsidP="00F63294">
      <w:pPr>
        <w:jc w:val="center"/>
        <w:rPr>
          <w:rFonts w:ascii="Calibri" w:hAnsi="Calibri"/>
        </w:rPr>
      </w:pPr>
    </w:p>
    <w:p w:rsidR="00BB6F1F" w:rsidRPr="007B4060" w:rsidRDefault="00BB6F1F" w:rsidP="00F63294">
      <w:pPr>
        <w:jc w:val="center"/>
        <w:rPr>
          <w:rFonts w:ascii="Calibri" w:hAnsi="Calibri"/>
        </w:rPr>
      </w:pPr>
    </w:p>
    <w:p w:rsidR="00BB6F1F" w:rsidRPr="007B4060" w:rsidRDefault="00BB6F1F" w:rsidP="00F63294">
      <w:pPr>
        <w:jc w:val="center"/>
        <w:rPr>
          <w:rFonts w:ascii="Calibri" w:hAnsi="Calibri"/>
        </w:rPr>
      </w:pPr>
    </w:p>
    <w:p w:rsidR="00BB6F1F" w:rsidRPr="007B4060" w:rsidRDefault="00BB6F1F" w:rsidP="00F63294">
      <w:pPr>
        <w:jc w:val="center"/>
        <w:rPr>
          <w:rFonts w:ascii="Calibri" w:hAnsi="Calibri"/>
          <w:sz w:val="28"/>
          <w:szCs w:val="28"/>
        </w:rPr>
      </w:pPr>
      <w:r w:rsidRPr="007B4060">
        <w:rPr>
          <w:rFonts w:ascii="Calibri" w:hAnsi="Calibri"/>
          <w:sz w:val="28"/>
          <w:szCs w:val="28"/>
        </w:rPr>
        <w:t>Presented by</w:t>
      </w:r>
    </w:p>
    <w:p w:rsidR="00BB6F1F" w:rsidRPr="007B4060" w:rsidRDefault="00BB6F1F" w:rsidP="00F63294">
      <w:pPr>
        <w:jc w:val="center"/>
        <w:rPr>
          <w:rFonts w:ascii="Calibri" w:hAnsi="Calibri"/>
          <w:b/>
          <w:sz w:val="48"/>
          <w:szCs w:val="40"/>
        </w:rPr>
      </w:pPr>
      <w:r>
        <w:rPr>
          <w:rFonts w:ascii="Calibri" w:hAnsi="Calibri"/>
          <w:b/>
          <w:sz w:val="48"/>
          <w:szCs w:val="40"/>
        </w:rPr>
        <w:t>Tim Pallas MP</w:t>
      </w:r>
    </w:p>
    <w:p w:rsidR="00BB6F1F" w:rsidRPr="007B4060" w:rsidRDefault="00BB6F1F" w:rsidP="00F63294">
      <w:pPr>
        <w:jc w:val="center"/>
        <w:rPr>
          <w:rFonts w:ascii="Calibri" w:hAnsi="Calibri"/>
          <w:sz w:val="36"/>
          <w:szCs w:val="32"/>
        </w:rPr>
      </w:pPr>
      <w:r w:rsidRPr="007B4060">
        <w:rPr>
          <w:rFonts w:ascii="Calibri" w:hAnsi="Calibri"/>
          <w:sz w:val="36"/>
          <w:szCs w:val="32"/>
        </w:rPr>
        <w:t xml:space="preserve">Treasurer of the State of </w:t>
      </w:r>
      <w:smartTag w:uri="urn:schemas-microsoft-com:office:smarttags" w:element="place">
        <w:smartTag w:uri="urn:schemas-microsoft-com:office:smarttags" w:element="State">
          <w:r w:rsidRPr="007B4060">
            <w:rPr>
              <w:rFonts w:ascii="Calibri" w:hAnsi="Calibri"/>
              <w:sz w:val="36"/>
              <w:szCs w:val="32"/>
            </w:rPr>
            <w:t>Victoria</w:t>
          </w:r>
        </w:smartTag>
      </w:smartTag>
    </w:p>
    <w:p w:rsidR="00BB6F1F" w:rsidRPr="007B4060" w:rsidRDefault="00BB6F1F" w:rsidP="00F63294">
      <w:pPr>
        <w:jc w:val="center"/>
        <w:rPr>
          <w:rFonts w:ascii="Calibri" w:hAnsi="Calibri"/>
          <w:sz w:val="32"/>
          <w:szCs w:val="32"/>
        </w:rPr>
      </w:pPr>
      <w:r w:rsidRPr="007B4060">
        <w:rPr>
          <w:rFonts w:ascii="Calibri" w:hAnsi="Calibri"/>
          <w:sz w:val="32"/>
          <w:szCs w:val="32"/>
        </w:rPr>
        <w:t>for the information of Honourable Members</w:t>
      </w:r>
    </w:p>
    <w:p w:rsidR="00BB6F1F" w:rsidRPr="007B4060" w:rsidRDefault="00BB6F1F" w:rsidP="00F63294">
      <w:pPr>
        <w:jc w:val="center"/>
        <w:rPr>
          <w:rFonts w:ascii="Calibri" w:hAnsi="Calibri"/>
        </w:rPr>
      </w:pPr>
      <w:r w:rsidRPr="007B4060">
        <w:rPr>
          <w:rFonts w:ascii="Calibri" w:hAnsi="Calibri"/>
        </w:rPr>
        <w:t>_______________________</w:t>
      </w:r>
    </w:p>
    <w:p w:rsidR="00BB6F1F" w:rsidRPr="007B4060" w:rsidRDefault="00BB6F1F" w:rsidP="00F63294">
      <w:pPr>
        <w:jc w:val="center"/>
        <w:rPr>
          <w:rFonts w:ascii="Calibri" w:hAnsi="Calibri"/>
        </w:rPr>
      </w:pPr>
    </w:p>
    <w:p w:rsidR="00BB6F1F" w:rsidRPr="007B4060" w:rsidRDefault="00BB6F1F" w:rsidP="00F63294">
      <w:pPr>
        <w:jc w:val="center"/>
        <w:rPr>
          <w:rFonts w:ascii="Calibri" w:hAnsi="Calibri"/>
        </w:rPr>
      </w:pPr>
      <w:r w:rsidRPr="007B4060">
        <w:rPr>
          <w:rFonts w:ascii="Calibri" w:hAnsi="Calibri"/>
        </w:rPr>
        <w:t>Ordered to be printed</w:t>
      </w:r>
    </w:p>
    <w:p w:rsidR="00BB6F1F" w:rsidRPr="007B4060" w:rsidRDefault="00BB6F1F" w:rsidP="00F63294">
      <w:pPr>
        <w:jc w:val="center"/>
        <w:rPr>
          <w:rFonts w:ascii="Calibri" w:hAnsi="Calibri"/>
        </w:rPr>
      </w:pPr>
      <w:r w:rsidRPr="007B4060">
        <w:rPr>
          <w:rFonts w:ascii="Calibri" w:hAnsi="Calibri"/>
        </w:rPr>
        <w:t>_______________________</w:t>
      </w:r>
    </w:p>
    <w:p w:rsidR="00BB6F1F" w:rsidRPr="007B4060" w:rsidRDefault="00BB6F1F" w:rsidP="00F63294">
      <w:pPr>
        <w:jc w:val="center"/>
        <w:rPr>
          <w:rFonts w:ascii="Calibri" w:hAnsi="Calibri"/>
        </w:rPr>
      </w:pPr>
    </w:p>
    <w:p w:rsidR="00BB6F1F" w:rsidRPr="007B4060" w:rsidRDefault="00BB6F1F" w:rsidP="00F63294">
      <w:pPr>
        <w:jc w:val="center"/>
        <w:rPr>
          <w:rFonts w:ascii="Calibri" w:hAnsi="Calibri"/>
        </w:rPr>
      </w:pPr>
      <w:r>
        <w:rPr>
          <w:rFonts w:ascii="Calibri" w:hAnsi="Calibri"/>
        </w:rPr>
        <w:t xml:space="preserve">September </w:t>
      </w:r>
      <w:r w:rsidRPr="007B4060">
        <w:rPr>
          <w:rFonts w:ascii="Calibri" w:hAnsi="Calibri"/>
        </w:rPr>
        <w:t>201</w:t>
      </w:r>
      <w:r>
        <w:rPr>
          <w:rFonts w:ascii="Calibri" w:hAnsi="Calibri"/>
        </w:rPr>
        <w:t>7</w:t>
      </w:r>
    </w:p>
    <w:p w:rsidR="00BB6F1F" w:rsidRDefault="00BB6F1F" w:rsidP="00F63294">
      <w:pPr>
        <w:jc w:val="center"/>
      </w:pPr>
    </w:p>
    <w:p w:rsidR="00BB6F1F" w:rsidRDefault="00BB6F1F">
      <w:pPr>
        <w:keepLines w:val="0"/>
      </w:pPr>
    </w:p>
    <w:p w:rsidR="00BB6F1F" w:rsidRDefault="00BB6F1F" w:rsidP="00F63294"/>
    <w:p w:rsidR="002C7F26" w:rsidRDefault="00BB6F1F" w:rsidP="00F63294">
      <w:pPr>
        <w:rPr>
          <w:rFonts w:asciiTheme="majorHAnsi" w:hAnsiTheme="majorHAnsi"/>
        </w:rPr>
      </w:pPr>
      <w:r>
        <w:rPr>
          <w:rFonts w:asciiTheme="majorHAnsi" w:hAnsiTheme="majorHAnsi"/>
        </w:rPr>
        <w:t xml:space="preserve">No. </w:t>
      </w:r>
      <w:r w:rsidRPr="003E6FBF">
        <w:rPr>
          <w:rFonts w:asciiTheme="majorHAnsi" w:hAnsiTheme="majorHAnsi"/>
        </w:rPr>
        <w:t>PP 331, Session 2014–17</w:t>
      </w:r>
    </w:p>
    <w:p w:rsidR="002C7F26" w:rsidRDefault="002C7F26">
      <w:pPr>
        <w:keepLines w:val="0"/>
        <w:rPr>
          <w:rFonts w:asciiTheme="majorHAnsi" w:hAnsiTheme="majorHAnsi"/>
        </w:rPr>
        <w:sectPr w:rsidR="002C7F26" w:rsidSect="00F63294">
          <w:pgSz w:w="11907" w:h="16839" w:code="9"/>
          <w:pgMar w:top="1134" w:right="1134" w:bottom="1134" w:left="1134" w:header="624" w:footer="567" w:gutter="0"/>
          <w:cols w:space="567"/>
          <w:docGrid w:linePitch="360"/>
        </w:sectPr>
      </w:pPr>
    </w:p>
    <w:p w:rsidR="00BB6F1F" w:rsidRDefault="002C7F26" w:rsidP="00F63294">
      <w:r w:rsidRPr="002C7F26">
        <w:rPr>
          <w:noProof/>
          <w:lang w:eastAsia="en-AU"/>
        </w:rPr>
        <w:lastRenderedPageBreak/>
        <w:drawing>
          <wp:inline distT="0" distB="0" distL="0" distR="0" wp14:anchorId="5B026F33" wp14:editId="0770E800">
            <wp:extent cx="3029447" cy="48661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921"/>
                    <a:stretch/>
                  </pic:blipFill>
                  <pic:spPr bwMode="auto">
                    <a:xfrm>
                      <a:off x="0" y="0"/>
                      <a:ext cx="3029447" cy="4866198"/>
                    </a:xfrm>
                    <a:prstGeom prst="rect">
                      <a:avLst/>
                    </a:prstGeom>
                    <a:noFill/>
                    <a:ln>
                      <a:noFill/>
                    </a:ln>
                    <a:extLst>
                      <a:ext uri="{53640926-AAD7-44D8-BBD7-CCE9431645EC}">
                        <a14:shadowObscured xmlns:a14="http://schemas.microsoft.com/office/drawing/2010/main"/>
                      </a:ext>
                    </a:extLst>
                  </pic:spPr>
                </pic:pic>
              </a:graphicData>
            </a:graphic>
          </wp:inline>
        </w:drawing>
      </w:r>
    </w:p>
    <w:p w:rsidR="00BB6F1F" w:rsidRDefault="00BB6F1F" w:rsidP="00F63294">
      <w:pPr>
        <w:sectPr w:rsidR="00BB6F1F" w:rsidSect="002C7F26">
          <w:pgSz w:w="11907" w:h="16839" w:code="9"/>
          <w:pgMar w:top="1134" w:right="1134" w:bottom="1134" w:left="1134" w:header="624" w:footer="567" w:gutter="0"/>
          <w:cols w:space="567"/>
          <w:vAlign w:val="bottom"/>
          <w:docGrid w:linePitch="360"/>
        </w:sectPr>
      </w:pPr>
    </w:p>
    <w:p w:rsidR="00BB6F1F" w:rsidRDefault="00BB6F1F" w:rsidP="00F63294">
      <w:pPr>
        <w:pStyle w:val="TableofContentsheading"/>
      </w:pPr>
      <w:r>
        <w:lastRenderedPageBreak/>
        <w:t>Table of contents</w:t>
      </w:r>
    </w:p>
    <w:p w:rsidR="00BB6F1F" w:rsidRDefault="00BB6F1F">
      <w:pPr>
        <w:pStyle w:val="TOC1"/>
        <w:rPr>
          <w:rFonts w:asciiTheme="minorHAnsi" w:eastAsiaTheme="minorEastAsia" w:hAnsiTheme="minorHAnsi"/>
          <w:b w:val="0"/>
          <w:noProof/>
          <w:spacing w:val="0"/>
          <w:szCs w:val="22"/>
          <w:lang w:eastAsia="en-AU"/>
        </w:rPr>
      </w:pPr>
      <w:r>
        <w:rPr>
          <w:rFonts w:ascii="Calibri" w:hAnsi="Calibri"/>
        </w:rPr>
        <w:fldChar w:fldCharType="begin"/>
      </w:r>
      <w:r>
        <w:instrText xml:space="preserve"> TOC \h \z \t "Heading 1 (#),2,Chapter Heading,1" </w:instrText>
      </w:r>
      <w:r>
        <w:rPr>
          <w:rFonts w:ascii="Calibri" w:hAnsi="Calibri"/>
        </w:rPr>
        <w:fldChar w:fldCharType="separate"/>
      </w:r>
      <w:hyperlink w:anchor="_Toc492985868" w:history="1">
        <w:r w:rsidRPr="00954865">
          <w:rPr>
            <w:rStyle w:val="Hyperlink"/>
            <w:noProof/>
          </w:rPr>
          <w:t>Chapter 1 – Foreword</w:t>
        </w:r>
        <w:r>
          <w:rPr>
            <w:noProof/>
            <w:webHidden/>
          </w:rPr>
          <w:tab/>
        </w:r>
        <w:r>
          <w:rPr>
            <w:noProof/>
            <w:webHidden/>
          </w:rPr>
          <w:fldChar w:fldCharType="begin"/>
        </w:r>
        <w:r>
          <w:rPr>
            <w:noProof/>
            <w:webHidden/>
          </w:rPr>
          <w:instrText xml:space="preserve"> PAGEREF _Toc492985868 \h </w:instrText>
        </w:r>
        <w:r>
          <w:rPr>
            <w:noProof/>
            <w:webHidden/>
          </w:rPr>
        </w:r>
        <w:r>
          <w:rPr>
            <w:noProof/>
            <w:webHidden/>
          </w:rPr>
          <w:fldChar w:fldCharType="separate"/>
        </w:r>
        <w:r w:rsidR="002C7F26">
          <w:rPr>
            <w:noProof/>
            <w:webHidden/>
          </w:rPr>
          <w:t>1</w:t>
        </w:r>
        <w:r>
          <w:rPr>
            <w:noProof/>
            <w:webHidden/>
          </w:rPr>
          <w:fldChar w:fldCharType="end"/>
        </w:r>
      </w:hyperlink>
    </w:p>
    <w:p w:rsidR="00BB6F1F" w:rsidRDefault="00E73501">
      <w:pPr>
        <w:pStyle w:val="TOC1"/>
        <w:rPr>
          <w:rFonts w:asciiTheme="minorHAnsi" w:eastAsiaTheme="minorEastAsia" w:hAnsiTheme="minorHAnsi"/>
          <w:b w:val="0"/>
          <w:noProof/>
          <w:spacing w:val="0"/>
          <w:szCs w:val="22"/>
          <w:lang w:eastAsia="en-AU"/>
        </w:rPr>
      </w:pPr>
      <w:hyperlink w:anchor="_Toc492985869" w:history="1">
        <w:r w:rsidR="00BB6F1F" w:rsidRPr="00954865">
          <w:rPr>
            <w:rStyle w:val="Hyperlink"/>
            <w:noProof/>
          </w:rPr>
          <w:t>Chapter 2 – General government sector outcome</w:t>
        </w:r>
        <w:r w:rsidR="00BB6F1F">
          <w:rPr>
            <w:noProof/>
            <w:webHidden/>
          </w:rPr>
          <w:tab/>
        </w:r>
        <w:r w:rsidR="00BB6F1F">
          <w:rPr>
            <w:noProof/>
            <w:webHidden/>
          </w:rPr>
          <w:fldChar w:fldCharType="begin"/>
        </w:r>
        <w:r w:rsidR="00BB6F1F">
          <w:rPr>
            <w:noProof/>
            <w:webHidden/>
          </w:rPr>
          <w:instrText xml:space="preserve"> PAGEREF _Toc492985869 \h </w:instrText>
        </w:r>
        <w:r w:rsidR="00BB6F1F">
          <w:rPr>
            <w:noProof/>
            <w:webHidden/>
          </w:rPr>
        </w:r>
        <w:r w:rsidR="00BB6F1F">
          <w:rPr>
            <w:noProof/>
            <w:webHidden/>
          </w:rPr>
          <w:fldChar w:fldCharType="separate"/>
        </w:r>
        <w:r w:rsidR="002C7F26">
          <w:rPr>
            <w:noProof/>
            <w:webHidden/>
          </w:rPr>
          <w:t>3</w:t>
        </w:r>
        <w:r w:rsidR="00BB6F1F">
          <w:rPr>
            <w:noProof/>
            <w:webHidden/>
          </w:rPr>
          <w:fldChar w:fldCharType="end"/>
        </w:r>
      </w:hyperlink>
    </w:p>
    <w:p w:rsidR="00BB6F1F" w:rsidRDefault="00E73501">
      <w:pPr>
        <w:pStyle w:val="TOC1"/>
        <w:rPr>
          <w:rFonts w:asciiTheme="minorHAnsi" w:eastAsiaTheme="minorEastAsia" w:hAnsiTheme="minorHAnsi"/>
          <w:b w:val="0"/>
          <w:noProof/>
          <w:spacing w:val="0"/>
          <w:szCs w:val="22"/>
          <w:lang w:eastAsia="en-AU"/>
        </w:rPr>
      </w:pPr>
      <w:hyperlink w:anchor="_Toc492985870" w:history="1">
        <w:r w:rsidR="00BB6F1F" w:rsidRPr="00954865">
          <w:rPr>
            <w:rStyle w:val="Hyperlink"/>
            <w:noProof/>
          </w:rPr>
          <w:t>Chapter 3 – State of Victoria outcome</w:t>
        </w:r>
        <w:r w:rsidR="00BB6F1F">
          <w:rPr>
            <w:noProof/>
            <w:webHidden/>
          </w:rPr>
          <w:tab/>
        </w:r>
        <w:r w:rsidR="00BB6F1F">
          <w:rPr>
            <w:noProof/>
            <w:webHidden/>
          </w:rPr>
          <w:fldChar w:fldCharType="begin"/>
        </w:r>
        <w:r w:rsidR="00BB6F1F">
          <w:rPr>
            <w:noProof/>
            <w:webHidden/>
          </w:rPr>
          <w:instrText xml:space="preserve"> PAGEREF _Toc492985870 \h </w:instrText>
        </w:r>
        <w:r w:rsidR="00BB6F1F">
          <w:rPr>
            <w:noProof/>
            <w:webHidden/>
          </w:rPr>
        </w:r>
        <w:r w:rsidR="00BB6F1F">
          <w:rPr>
            <w:noProof/>
            <w:webHidden/>
          </w:rPr>
          <w:fldChar w:fldCharType="separate"/>
        </w:r>
        <w:r w:rsidR="002C7F26">
          <w:rPr>
            <w:noProof/>
            <w:webHidden/>
          </w:rPr>
          <w:t>13</w:t>
        </w:r>
        <w:r w:rsidR="00BB6F1F">
          <w:rPr>
            <w:noProof/>
            <w:webHidden/>
          </w:rPr>
          <w:fldChar w:fldCharType="end"/>
        </w:r>
      </w:hyperlink>
    </w:p>
    <w:p w:rsidR="00BB6F1F" w:rsidRDefault="00E73501">
      <w:pPr>
        <w:pStyle w:val="TOC1"/>
        <w:rPr>
          <w:rFonts w:asciiTheme="minorHAnsi" w:eastAsiaTheme="minorEastAsia" w:hAnsiTheme="minorHAnsi"/>
          <w:b w:val="0"/>
          <w:noProof/>
          <w:spacing w:val="0"/>
          <w:szCs w:val="22"/>
          <w:lang w:eastAsia="en-AU"/>
        </w:rPr>
      </w:pPr>
      <w:hyperlink w:anchor="_Toc492985871" w:history="1">
        <w:r w:rsidR="00BB6F1F" w:rsidRPr="00954865">
          <w:rPr>
            <w:rStyle w:val="Hyperlink"/>
            <w:noProof/>
          </w:rPr>
          <w:t>Chapter 4 – Annual Financial Report</w:t>
        </w:r>
        <w:r w:rsidR="00BB6F1F">
          <w:rPr>
            <w:noProof/>
            <w:webHidden/>
          </w:rPr>
          <w:tab/>
        </w:r>
        <w:r w:rsidR="00BB6F1F">
          <w:rPr>
            <w:noProof/>
            <w:webHidden/>
          </w:rPr>
          <w:fldChar w:fldCharType="begin"/>
        </w:r>
        <w:r w:rsidR="00BB6F1F">
          <w:rPr>
            <w:noProof/>
            <w:webHidden/>
          </w:rPr>
          <w:instrText xml:space="preserve"> PAGEREF _Toc492985871 \h </w:instrText>
        </w:r>
        <w:r w:rsidR="00BB6F1F">
          <w:rPr>
            <w:noProof/>
            <w:webHidden/>
          </w:rPr>
        </w:r>
        <w:r w:rsidR="00BB6F1F">
          <w:rPr>
            <w:noProof/>
            <w:webHidden/>
          </w:rPr>
          <w:fldChar w:fldCharType="separate"/>
        </w:r>
        <w:r w:rsidR="002C7F26">
          <w:rPr>
            <w:noProof/>
            <w:webHidden/>
          </w:rPr>
          <w:t>21</w:t>
        </w:r>
        <w:r w:rsidR="00BB6F1F">
          <w:rPr>
            <w:noProof/>
            <w:webHidden/>
          </w:rPr>
          <w:fldChar w:fldCharType="end"/>
        </w:r>
      </w:hyperlink>
    </w:p>
    <w:p w:rsidR="00BB6F1F" w:rsidRDefault="00E73501">
      <w:pPr>
        <w:pStyle w:val="TOC2"/>
        <w:rPr>
          <w:rFonts w:asciiTheme="minorHAnsi" w:eastAsiaTheme="minorEastAsia" w:hAnsiTheme="minorHAnsi"/>
          <w:spacing w:val="0"/>
          <w:szCs w:val="22"/>
          <w:lang w:eastAsia="en-AU"/>
        </w:rPr>
      </w:pPr>
      <w:hyperlink w:anchor="_Toc492985872" w:history="1">
        <w:r w:rsidR="00BB6F1F" w:rsidRPr="00954865">
          <w:rPr>
            <w:rStyle w:val="Hyperlink"/>
          </w:rPr>
          <w:t>1.</w:t>
        </w:r>
        <w:r w:rsidR="00BB6F1F">
          <w:rPr>
            <w:rFonts w:asciiTheme="minorHAnsi" w:eastAsiaTheme="minorEastAsia" w:hAnsiTheme="minorHAnsi"/>
            <w:spacing w:val="0"/>
            <w:szCs w:val="22"/>
            <w:lang w:eastAsia="en-AU"/>
          </w:rPr>
          <w:tab/>
        </w:r>
        <w:r w:rsidR="00BB6F1F" w:rsidRPr="00954865">
          <w:rPr>
            <w:rStyle w:val="Hyperlink"/>
          </w:rPr>
          <w:t>About this report</w:t>
        </w:r>
        <w:r w:rsidR="00BB6F1F">
          <w:rPr>
            <w:webHidden/>
          </w:rPr>
          <w:tab/>
        </w:r>
        <w:r w:rsidR="00BB6F1F">
          <w:rPr>
            <w:webHidden/>
          </w:rPr>
          <w:fldChar w:fldCharType="begin"/>
        </w:r>
        <w:r w:rsidR="00BB6F1F">
          <w:rPr>
            <w:webHidden/>
          </w:rPr>
          <w:instrText xml:space="preserve"> PAGEREF _Toc492985872 \h </w:instrText>
        </w:r>
        <w:r w:rsidR="00BB6F1F">
          <w:rPr>
            <w:webHidden/>
          </w:rPr>
        </w:r>
        <w:r w:rsidR="00BB6F1F">
          <w:rPr>
            <w:webHidden/>
          </w:rPr>
          <w:fldChar w:fldCharType="separate"/>
        </w:r>
        <w:r w:rsidR="002C7F26">
          <w:rPr>
            <w:webHidden/>
          </w:rPr>
          <w:t>34</w:t>
        </w:r>
        <w:r w:rsidR="00BB6F1F">
          <w:rPr>
            <w:webHidden/>
          </w:rPr>
          <w:fldChar w:fldCharType="end"/>
        </w:r>
      </w:hyperlink>
    </w:p>
    <w:p w:rsidR="00BB6F1F" w:rsidRDefault="00E73501">
      <w:pPr>
        <w:pStyle w:val="TOC2"/>
        <w:rPr>
          <w:rFonts w:asciiTheme="minorHAnsi" w:eastAsiaTheme="minorEastAsia" w:hAnsiTheme="minorHAnsi"/>
          <w:spacing w:val="0"/>
          <w:szCs w:val="22"/>
          <w:lang w:eastAsia="en-AU"/>
        </w:rPr>
      </w:pPr>
      <w:hyperlink w:anchor="_Toc492985873" w:history="1">
        <w:r w:rsidR="00BB6F1F" w:rsidRPr="00954865">
          <w:rPr>
            <w:rStyle w:val="Hyperlink"/>
          </w:rPr>
          <w:t>2.</w:t>
        </w:r>
        <w:r w:rsidR="00BB6F1F">
          <w:rPr>
            <w:rFonts w:asciiTheme="minorHAnsi" w:eastAsiaTheme="minorEastAsia" w:hAnsiTheme="minorHAnsi"/>
            <w:spacing w:val="0"/>
            <w:szCs w:val="22"/>
            <w:lang w:eastAsia="en-AU"/>
          </w:rPr>
          <w:tab/>
        </w:r>
        <w:r w:rsidR="00BB6F1F" w:rsidRPr="00954865">
          <w:rPr>
            <w:rStyle w:val="Hyperlink"/>
          </w:rPr>
          <w:t>How funds are raised</w:t>
        </w:r>
        <w:r w:rsidR="00BB6F1F">
          <w:rPr>
            <w:webHidden/>
          </w:rPr>
          <w:tab/>
        </w:r>
        <w:r w:rsidR="00BB6F1F">
          <w:rPr>
            <w:webHidden/>
          </w:rPr>
          <w:fldChar w:fldCharType="begin"/>
        </w:r>
        <w:r w:rsidR="00BB6F1F">
          <w:rPr>
            <w:webHidden/>
          </w:rPr>
          <w:instrText xml:space="preserve"> PAGEREF _Toc492985873 \h </w:instrText>
        </w:r>
        <w:r w:rsidR="00BB6F1F">
          <w:rPr>
            <w:webHidden/>
          </w:rPr>
        </w:r>
        <w:r w:rsidR="00BB6F1F">
          <w:rPr>
            <w:webHidden/>
          </w:rPr>
          <w:fldChar w:fldCharType="separate"/>
        </w:r>
        <w:r w:rsidR="002C7F26">
          <w:rPr>
            <w:webHidden/>
          </w:rPr>
          <w:t>36</w:t>
        </w:r>
        <w:r w:rsidR="00BB6F1F">
          <w:rPr>
            <w:webHidden/>
          </w:rPr>
          <w:fldChar w:fldCharType="end"/>
        </w:r>
      </w:hyperlink>
    </w:p>
    <w:p w:rsidR="00BB6F1F" w:rsidRDefault="00E73501">
      <w:pPr>
        <w:pStyle w:val="TOC2"/>
        <w:rPr>
          <w:rFonts w:asciiTheme="minorHAnsi" w:eastAsiaTheme="minorEastAsia" w:hAnsiTheme="minorHAnsi"/>
          <w:spacing w:val="0"/>
          <w:szCs w:val="22"/>
          <w:lang w:eastAsia="en-AU"/>
        </w:rPr>
      </w:pPr>
      <w:hyperlink w:anchor="_Toc492985874" w:history="1">
        <w:r w:rsidR="00BB6F1F" w:rsidRPr="00954865">
          <w:rPr>
            <w:rStyle w:val="Hyperlink"/>
          </w:rPr>
          <w:t>3.</w:t>
        </w:r>
        <w:r w:rsidR="00BB6F1F">
          <w:rPr>
            <w:rFonts w:asciiTheme="minorHAnsi" w:eastAsiaTheme="minorEastAsia" w:hAnsiTheme="minorHAnsi"/>
            <w:spacing w:val="0"/>
            <w:szCs w:val="22"/>
            <w:lang w:eastAsia="en-AU"/>
          </w:rPr>
          <w:tab/>
        </w:r>
        <w:r w:rsidR="00BB6F1F" w:rsidRPr="00954865">
          <w:rPr>
            <w:rStyle w:val="Hyperlink"/>
          </w:rPr>
          <w:t>How funds are spent</w:t>
        </w:r>
        <w:r w:rsidR="00BB6F1F">
          <w:rPr>
            <w:webHidden/>
          </w:rPr>
          <w:tab/>
        </w:r>
        <w:r w:rsidR="00BB6F1F">
          <w:rPr>
            <w:webHidden/>
          </w:rPr>
          <w:fldChar w:fldCharType="begin"/>
        </w:r>
        <w:r w:rsidR="00BB6F1F">
          <w:rPr>
            <w:webHidden/>
          </w:rPr>
          <w:instrText xml:space="preserve"> PAGEREF _Toc492985874 \h </w:instrText>
        </w:r>
        <w:r w:rsidR="00BB6F1F">
          <w:rPr>
            <w:webHidden/>
          </w:rPr>
        </w:r>
        <w:r w:rsidR="00BB6F1F">
          <w:rPr>
            <w:webHidden/>
          </w:rPr>
          <w:fldChar w:fldCharType="separate"/>
        </w:r>
        <w:r w:rsidR="002C7F26">
          <w:rPr>
            <w:webHidden/>
          </w:rPr>
          <w:t>41</w:t>
        </w:r>
        <w:r w:rsidR="00BB6F1F">
          <w:rPr>
            <w:webHidden/>
          </w:rPr>
          <w:fldChar w:fldCharType="end"/>
        </w:r>
      </w:hyperlink>
    </w:p>
    <w:p w:rsidR="00BB6F1F" w:rsidRDefault="00E73501">
      <w:pPr>
        <w:pStyle w:val="TOC2"/>
        <w:rPr>
          <w:rFonts w:asciiTheme="minorHAnsi" w:eastAsiaTheme="minorEastAsia" w:hAnsiTheme="minorHAnsi"/>
          <w:spacing w:val="0"/>
          <w:szCs w:val="22"/>
          <w:lang w:eastAsia="en-AU"/>
        </w:rPr>
      </w:pPr>
      <w:hyperlink w:anchor="_Toc492985875" w:history="1">
        <w:r w:rsidR="00BB6F1F" w:rsidRPr="00954865">
          <w:rPr>
            <w:rStyle w:val="Hyperlink"/>
          </w:rPr>
          <w:t>4.</w:t>
        </w:r>
        <w:r w:rsidR="00BB6F1F">
          <w:rPr>
            <w:rFonts w:asciiTheme="minorHAnsi" w:eastAsiaTheme="minorEastAsia" w:hAnsiTheme="minorHAnsi"/>
            <w:spacing w:val="0"/>
            <w:szCs w:val="22"/>
            <w:lang w:eastAsia="en-AU"/>
          </w:rPr>
          <w:tab/>
        </w:r>
        <w:r w:rsidR="00BB6F1F" w:rsidRPr="00954865">
          <w:rPr>
            <w:rStyle w:val="Hyperlink"/>
          </w:rPr>
          <w:t>Major assets and investments</w:t>
        </w:r>
        <w:r w:rsidR="00BB6F1F">
          <w:rPr>
            <w:webHidden/>
          </w:rPr>
          <w:tab/>
        </w:r>
        <w:r w:rsidR="00BB6F1F">
          <w:rPr>
            <w:webHidden/>
          </w:rPr>
          <w:fldChar w:fldCharType="begin"/>
        </w:r>
        <w:r w:rsidR="00BB6F1F">
          <w:rPr>
            <w:webHidden/>
          </w:rPr>
          <w:instrText xml:space="preserve"> PAGEREF _Toc492985875 \h </w:instrText>
        </w:r>
        <w:r w:rsidR="00BB6F1F">
          <w:rPr>
            <w:webHidden/>
          </w:rPr>
        </w:r>
        <w:r w:rsidR="00BB6F1F">
          <w:rPr>
            <w:webHidden/>
          </w:rPr>
          <w:fldChar w:fldCharType="separate"/>
        </w:r>
        <w:r w:rsidR="002C7F26">
          <w:rPr>
            <w:webHidden/>
          </w:rPr>
          <w:t>49</w:t>
        </w:r>
        <w:r w:rsidR="00BB6F1F">
          <w:rPr>
            <w:webHidden/>
          </w:rPr>
          <w:fldChar w:fldCharType="end"/>
        </w:r>
      </w:hyperlink>
    </w:p>
    <w:p w:rsidR="00BB6F1F" w:rsidRDefault="00E73501">
      <w:pPr>
        <w:pStyle w:val="TOC2"/>
        <w:rPr>
          <w:rFonts w:asciiTheme="minorHAnsi" w:eastAsiaTheme="minorEastAsia" w:hAnsiTheme="minorHAnsi"/>
          <w:spacing w:val="0"/>
          <w:szCs w:val="22"/>
          <w:lang w:eastAsia="en-AU"/>
        </w:rPr>
      </w:pPr>
      <w:hyperlink w:anchor="_Toc492985876" w:history="1">
        <w:r w:rsidR="00BB6F1F" w:rsidRPr="00954865">
          <w:rPr>
            <w:rStyle w:val="Hyperlink"/>
          </w:rPr>
          <w:t>5.</w:t>
        </w:r>
        <w:r w:rsidR="00BB6F1F">
          <w:rPr>
            <w:rFonts w:asciiTheme="minorHAnsi" w:eastAsiaTheme="minorEastAsia" w:hAnsiTheme="minorHAnsi"/>
            <w:spacing w:val="0"/>
            <w:szCs w:val="22"/>
            <w:lang w:eastAsia="en-AU"/>
          </w:rPr>
          <w:tab/>
        </w:r>
        <w:r w:rsidR="00BB6F1F" w:rsidRPr="00954865">
          <w:rPr>
            <w:rStyle w:val="Hyperlink"/>
          </w:rPr>
          <w:t>Financing state operations</w:t>
        </w:r>
        <w:r w:rsidR="00BB6F1F">
          <w:rPr>
            <w:webHidden/>
          </w:rPr>
          <w:tab/>
        </w:r>
        <w:r w:rsidR="00BB6F1F">
          <w:rPr>
            <w:webHidden/>
          </w:rPr>
          <w:fldChar w:fldCharType="begin"/>
        </w:r>
        <w:r w:rsidR="00BB6F1F">
          <w:rPr>
            <w:webHidden/>
          </w:rPr>
          <w:instrText xml:space="preserve"> PAGEREF _Toc492985876 \h </w:instrText>
        </w:r>
        <w:r w:rsidR="00BB6F1F">
          <w:rPr>
            <w:webHidden/>
          </w:rPr>
        </w:r>
        <w:r w:rsidR="00BB6F1F">
          <w:rPr>
            <w:webHidden/>
          </w:rPr>
          <w:fldChar w:fldCharType="separate"/>
        </w:r>
        <w:r w:rsidR="002C7F26">
          <w:rPr>
            <w:webHidden/>
          </w:rPr>
          <w:t>60</w:t>
        </w:r>
        <w:r w:rsidR="00BB6F1F">
          <w:rPr>
            <w:webHidden/>
          </w:rPr>
          <w:fldChar w:fldCharType="end"/>
        </w:r>
      </w:hyperlink>
    </w:p>
    <w:p w:rsidR="00BB6F1F" w:rsidRDefault="00E73501">
      <w:pPr>
        <w:pStyle w:val="TOC2"/>
        <w:rPr>
          <w:rFonts w:asciiTheme="minorHAnsi" w:eastAsiaTheme="minorEastAsia" w:hAnsiTheme="minorHAnsi"/>
          <w:spacing w:val="0"/>
          <w:szCs w:val="22"/>
          <w:lang w:eastAsia="en-AU"/>
        </w:rPr>
      </w:pPr>
      <w:hyperlink w:anchor="_Toc492985877" w:history="1">
        <w:r w:rsidR="00BB6F1F" w:rsidRPr="00954865">
          <w:rPr>
            <w:rStyle w:val="Hyperlink"/>
          </w:rPr>
          <w:t>6.</w:t>
        </w:r>
        <w:r w:rsidR="00BB6F1F">
          <w:rPr>
            <w:rFonts w:asciiTheme="minorHAnsi" w:eastAsiaTheme="minorEastAsia" w:hAnsiTheme="minorHAnsi"/>
            <w:spacing w:val="0"/>
            <w:szCs w:val="22"/>
            <w:lang w:eastAsia="en-AU"/>
          </w:rPr>
          <w:tab/>
        </w:r>
        <w:r w:rsidR="00BB6F1F" w:rsidRPr="00954865">
          <w:rPr>
            <w:rStyle w:val="Hyperlink"/>
          </w:rPr>
          <w:t>Other assets and liabilities</w:t>
        </w:r>
        <w:r w:rsidR="00BB6F1F">
          <w:rPr>
            <w:webHidden/>
          </w:rPr>
          <w:tab/>
        </w:r>
        <w:r w:rsidR="00BB6F1F">
          <w:rPr>
            <w:webHidden/>
          </w:rPr>
          <w:fldChar w:fldCharType="begin"/>
        </w:r>
        <w:r w:rsidR="00BB6F1F">
          <w:rPr>
            <w:webHidden/>
          </w:rPr>
          <w:instrText xml:space="preserve"> PAGEREF _Toc492985877 \h </w:instrText>
        </w:r>
        <w:r w:rsidR="00BB6F1F">
          <w:rPr>
            <w:webHidden/>
          </w:rPr>
        </w:r>
        <w:r w:rsidR="00BB6F1F">
          <w:rPr>
            <w:webHidden/>
          </w:rPr>
          <w:fldChar w:fldCharType="separate"/>
        </w:r>
        <w:r w:rsidR="002C7F26">
          <w:rPr>
            <w:webHidden/>
          </w:rPr>
          <w:t>69</w:t>
        </w:r>
        <w:r w:rsidR="00BB6F1F">
          <w:rPr>
            <w:webHidden/>
          </w:rPr>
          <w:fldChar w:fldCharType="end"/>
        </w:r>
      </w:hyperlink>
    </w:p>
    <w:p w:rsidR="00BB6F1F" w:rsidRDefault="00E73501">
      <w:pPr>
        <w:pStyle w:val="TOC2"/>
        <w:rPr>
          <w:rFonts w:asciiTheme="minorHAnsi" w:eastAsiaTheme="minorEastAsia" w:hAnsiTheme="minorHAnsi"/>
          <w:spacing w:val="0"/>
          <w:szCs w:val="22"/>
          <w:lang w:eastAsia="en-AU"/>
        </w:rPr>
      </w:pPr>
      <w:hyperlink w:anchor="_Toc492985878" w:history="1">
        <w:r w:rsidR="00BB6F1F" w:rsidRPr="00954865">
          <w:rPr>
            <w:rStyle w:val="Hyperlink"/>
          </w:rPr>
          <w:t>7.</w:t>
        </w:r>
        <w:r w:rsidR="00BB6F1F">
          <w:rPr>
            <w:rFonts w:asciiTheme="minorHAnsi" w:eastAsiaTheme="minorEastAsia" w:hAnsiTheme="minorHAnsi"/>
            <w:spacing w:val="0"/>
            <w:szCs w:val="22"/>
            <w:lang w:eastAsia="en-AU"/>
          </w:rPr>
          <w:tab/>
        </w:r>
        <w:r w:rsidR="00BB6F1F" w:rsidRPr="00954865">
          <w:rPr>
            <w:rStyle w:val="Hyperlink"/>
          </w:rPr>
          <w:t>Risks, contingencies and valuation judgements</w:t>
        </w:r>
        <w:r w:rsidR="00BB6F1F">
          <w:rPr>
            <w:webHidden/>
          </w:rPr>
          <w:tab/>
        </w:r>
        <w:r w:rsidR="00BB6F1F">
          <w:rPr>
            <w:webHidden/>
          </w:rPr>
          <w:fldChar w:fldCharType="begin"/>
        </w:r>
        <w:r w:rsidR="00BB6F1F">
          <w:rPr>
            <w:webHidden/>
          </w:rPr>
          <w:instrText xml:space="preserve"> PAGEREF _Toc492985878 \h </w:instrText>
        </w:r>
        <w:r w:rsidR="00BB6F1F">
          <w:rPr>
            <w:webHidden/>
          </w:rPr>
        </w:r>
        <w:r w:rsidR="00BB6F1F">
          <w:rPr>
            <w:webHidden/>
          </w:rPr>
          <w:fldChar w:fldCharType="separate"/>
        </w:r>
        <w:r w:rsidR="002C7F26">
          <w:rPr>
            <w:webHidden/>
          </w:rPr>
          <w:t>80</w:t>
        </w:r>
        <w:r w:rsidR="00BB6F1F">
          <w:rPr>
            <w:webHidden/>
          </w:rPr>
          <w:fldChar w:fldCharType="end"/>
        </w:r>
      </w:hyperlink>
    </w:p>
    <w:p w:rsidR="00BB6F1F" w:rsidRDefault="00E73501">
      <w:pPr>
        <w:pStyle w:val="TOC2"/>
        <w:rPr>
          <w:rFonts w:asciiTheme="minorHAnsi" w:eastAsiaTheme="minorEastAsia" w:hAnsiTheme="minorHAnsi"/>
          <w:spacing w:val="0"/>
          <w:szCs w:val="22"/>
          <w:lang w:eastAsia="en-AU"/>
        </w:rPr>
      </w:pPr>
      <w:hyperlink w:anchor="_Toc492985879" w:history="1">
        <w:r w:rsidR="00BB6F1F" w:rsidRPr="00954865">
          <w:rPr>
            <w:rStyle w:val="Hyperlink"/>
          </w:rPr>
          <w:t>8.</w:t>
        </w:r>
        <w:r w:rsidR="00BB6F1F">
          <w:rPr>
            <w:rFonts w:asciiTheme="minorHAnsi" w:eastAsiaTheme="minorEastAsia" w:hAnsiTheme="minorHAnsi"/>
            <w:spacing w:val="0"/>
            <w:szCs w:val="22"/>
            <w:lang w:eastAsia="en-AU"/>
          </w:rPr>
          <w:tab/>
        </w:r>
        <w:r w:rsidR="00BB6F1F" w:rsidRPr="00954865">
          <w:rPr>
            <w:rStyle w:val="Hyperlink"/>
          </w:rPr>
          <w:t>Comparison against budget and the public account</w:t>
        </w:r>
        <w:r w:rsidR="00BB6F1F">
          <w:rPr>
            <w:webHidden/>
          </w:rPr>
          <w:tab/>
        </w:r>
        <w:r w:rsidR="00BB6F1F">
          <w:rPr>
            <w:webHidden/>
          </w:rPr>
          <w:fldChar w:fldCharType="begin"/>
        </w:r>
        <w:r w:rsidR="00BB6F1F">
          <w:rPr>
            <w:webHidden/>
          </w:rPr>
          <w:instrText xml:space="preserve"> PAGEREF _Toc492985879 \h </w:instrText>
        </w:r>
        <w:r w:rsidR="00BB6F1F">
          <w:rPr>
            <w:webHidden/>
          </w:rPr>
        </w:r>
        <w:r w:rsidR="00BB6F1F">
          <w:rPr>
            <w:webHidden/>
          </w:rPr>
          <w:fldChar w:fldCharType="separate"/>
        </w:r>
        <w:r w:rsidR="002C7F26">
          <w:rPr>
            <w:webHidden/>
          </w:rPr>
          <w:t>107</w:t>
        </w:r>
        <w:r w:rsidR="00BB6F1F">
          <w:rPr>
            <w:webHidden/>
          </w:rPr>
          <w:fldChar w:fldCharType="end"/>
        </w:r>
      </w:hyperlink>
    </w:p>
    <w:p w:rsidR="00BB6F1F" w:rsidRDefault="00E73501">
      <w:pPr>
        <w:pStyle w:val="TOC2"/>
        <w:rPr>
          <w:rFonts w:asciiTheme="minorHAnsi" w:eastAsiaTheme="minorEastAsia" w:hAnsiTheme="minorHAnsi"/>
          <w:spacing w:val="0"/>
          <w:szCs w:val="22"/>
          <w:lang w:eastAsia="en-AU"/>
        </w:rPr>
      </w:pPr>
      <w:hyperlink w:anchor="_Toc492985880" w:history="1">
        <w:r w:rsidR="00BB6F1F" w:rsidRPr="00954865">
          <w:rPr>
            <w:rStyle w:val="Hyperlink"/>
          </w:rPr>
          <w:t>9.</w:t>
        </w:r>
        <w:r w:rsidR="00BB6F1F">
          <w:rPr>
            <w:rFonts w:asciiTheme="minorHAnsi" w:eastAsiaTheme="minorEastAsia" w:hAnsiTheme="minorHAnsi"/>
            <w:spacing w:val="0"/>
            <w:szCs w:val="22"/>
            <w:lang w:eastAsia="en-AU"/>
          </w:rPr>
          <w:tab/>
        </w:r>
        <w:r w:rsidR="00BB6F1F" w:rsidRPr="00954865">
          <w:rPr>
            <w:rStyle w:val="Hyperlink"/>
          </w:rPr>
          <w:t>Other disclosures</w:t>
        </w:r>
        <w:r w:rsidR="00BB6F1F">
          <w:rPr>
            <w:webHidden/>
          </w:rPr>
          <w:tab/>
        </w:r>
        <w:r w:rsidR="00BB6F1F">
          <w:rPr>
            <w:webHidden/>
          </w:rPr>
          <w:fldChar w:fldCharType="begin"/>
        </w:r>
        <w:r w:rsidR="00BB6F1F">
          <w:rPr>
            <w:webHidden/>
          </w:rPr>
          <w:instrText xml:space="preserve"> PAGEREF _Toc492985880 \h </w:instrText>
        </w:r>
        <w:r w:rsidR="00BB6F1F">
          <w:rPr>
            <w:webHidden/>
          </w:rPr>
        </w:r>
        <w:r w:rsidR="00BB6F1F">
          <w:rPr>
            <w:webHidden/>
          </w:rPr>
          <w:fldChar w:fldCharType="separate"/>
        </w:r>
        <w:r w:rsidR="002C7F26">
          <w:rPr>
            <w:webHidden/>
          </w:rPr>
          <w:t>129</w:t>
        </w:r>
        <w:r w:rsidR="00BB6F1F">
          <w:rPr>
            <w:webHidden/>
          </w:rPr>
          <w:fldChar w:fldCharType="end"/>
        </w:r>
      </w:hyperlink>
    </w:p>
    <w:p w:rsidR="00BB6F1F" w:rsidRDefault="00E73501">
      <w:pPr>
        <w:pStyle w:val="TOC1"/>
        <w:rPr>
          <w:rFonts w:asciiTheme="minorHAnsi" w:eastAsiaTheme="minorEastAsia" w:hAnsiTheme="minorHAnsi"/>
          <w:b w:val="0"/>
          <w:noProof/>
          <w:spacing w:val="0"/>
          <w:szCs w:val="22"/>
          <w:lang w:eastAsia="en-AU"/>
        </w:rPr>
      </w:pPr>
      <w:hyperlink w:anchor="_Toc492985881" w:history="1">
        <w:r w:rsidR="00BB6F1F" w:rsidRPr="00954865">
          <w:rPr>
            <w:rStyle w:val="Hyperlink"/>
            <w:noProof/>
          </w:rPr>
          <w:t>Chapter 5 – Supplementary uniform presentation framework tables</w:t>
        </w:r>
        <w:r w:rsidR="00BB6F1F">
          <w:rPr>
            <w:noProof/>
            <w:webHidden/>
          </w:rPr>
          <w:tab/>
        </w:r>
        <w:r w:rsidR="00BB6F1F">
          <w:rPr>
            <w:noProof/>
            <w:webHidden/>
          </w:rPr>
          <w:fldChar w:fldCharType="begin"/>
        </w:r>
        <w:r w:rsidR="00BB6F1F">
          <w:rPr>
            <w:noProof/>
            <w:webHidden/>
          </w:rPr>
          <w:instrText xml:space="preserve"> PAGEREF _Toc492985881 \h </w:instrText>
        </w:r>
        <w:r w:rsidR="00BB6F1F">
          <w:rPr>
            <w:noProof/>
            <w:webHidden/>
          </w:rPr>
        </w:r>
        <w:r w:rsidR="00BB6F1F">
          <w:rPr>
            <w:noProof/>
            <w:webHidden/>
          </w:rPr>
          <w:fldChar w:fldCharType="separate"/>
        </w:r>
        <w:r w:rsidR="002C7F26">
          <w:rPr>
            <w:noProof/>
            <w:webHidden/>
          </w:rPr>
          <w:t>153</w:t>
        </w:r>
        <w:r w:rsidR="00BB6F1F">
          <w:rPr>
            <w:noProof/>
            <w:webHidden/>
          </w:rPr>
          <w:fldChar w:fldCharType="end"/>
        </w:r>
      </w:hyperlink>
    </w:p>
    <w:p w:rsidR="00BB6F1F" w:rsidRDefault="00E73501">
      <w:pPr>
        <w:pStyle w:val="TOC1"/>
        <w:rPr>
          <w:rFonts w:asciiTheme="minorHAnsi" w:eastAsiaTheme="minorEastAsia" w:hAnsiTheme="minorHAnsi"/>
          <w:b w:val="0"/>
          <w:noProof/>
          <w:spacing w:val="0"/>
          <w:szCs w:val="22"/>
          <w:lang w:eastAsia="en-AU"/>
        </w:rPr>
      </w:pPr>
      <w:hyperlink w:anchor="_Toc492985882" w:history="1">
        <w:r w:rsidR="00BB6F1F" w:rsidRPr="00954865">
          <w:rPr>
            <w:rStyle w:val="Hyperlink"/>
            <w:noProof/>
          </w:rPr>
          <w:t>Appendix A – General government sector quarterly financial report</w:t>
        </w:r>
        <w:r w:rsidR="00BB6F1F">
          <w:rPr>
            <w:noProof/>
            <w:webHidden/>
          </w:rPr>
          <w:tab/>
        </w:r>
        <w:r w:rsidR="00BB6F1F">
          <w:rPr>
            <w:noProof/>
            <w:webHidden/>
          </w:rPr>
          <w:fldChar w:fldCharType="begin"/>
        </w:r>
        <w:r w:rsidR="00BB6F1F">
          <w:rPr>
            <w:noProof/>
            <w:webHidden/>
          </w:rPr>
          <w:instrText xml:space="preserve"> PAGEREF _Toc492985882 \h </w:instrText>
        </w:r>
        <w:r w:rsidR="00BB6F1F">
          <w:rPr>
            <w:noProof/>
            <w:webHidden/>
          </w:rPr>
        </w:r>
        <w:r w:rsidR="00BB6F1F">
          <w:rPr>
            <w:noProof/>
            <w:webHidden/>
          </w:rPr>
          <w:fldChar w:fldCharType="separate"/>
        </w:r>
        <w:r w:rsidR="002C7F26">
          <w:rPr>
            <w:noProof/>
            <w:webHidden/>
          </w:rPr>
          <w:t>163</w:t>
        </w:r>
        <w:r w:rsidR="00BB6F1F">
          <w:rPr>
            <w:noProof/>
            <w:webHidden/>
          </w:rPr>
          <w:fldChar w:fldCharType="end"/>
        </w:r>
      </w:hyperlink>
    </w:p>
    <w:p w:rsidR="00BB6F1F" w:rsidRDefault="00E73501">
      <w:pPr>
        <w:pStyle w:val="TOC1"/>
        <w:rPr>
          <w:rFonts w:asciiTheme="minorHAnsi" w:eastAsiaTheme="minorEastAsia" w:hAnsiTheme="minorHAnsi"/>
          <w:b w:val="0"/>
          <w:noProof/>
          <w:spacing w:val="0"/>
          <w:szCs w:val="22"/>
          <w:lang w:eastAsia="en-AU"/>
        </w:rPr>
      </w:pPr>
      <w:hyperlink w:anchor="_Toc492985883" w:history="1">
        <w:r w:rsidR="00BB6F1F" w:rsidRPr="00954865">
          <w:rPr>
            <w:rStyle w:val="Hyperlink"/>
            <w:noProof/>
          </w:rPr>
          <w:t xml:space="preserve">Appendix B – </w:t>
        </w:r>
        <w:r w:rsidR="00BB6F1F" w:rsidRPr="00954865">
          <w:rPr>
            <w:rStyle w:val="Hyperlink"/>
            <w:i/>
            <w:noProof/>
          </w:rPr>
          <w:t>Financial Management Act 1994</w:t>
        </w:r>
        <w:r w:rsidR="00BB6F1F" w:rsidRPr="00954865">
          <w:rPr>
            <w:rStyle w:val="Hyperlink"/>
            <w:noProof/>
          </w:rPr>
          <w:t xml:space="preserve"> – Compliance index</w:t>
        </w:r>
        <w:r w:rsidR="00BB6F1F">
          <w:rPr>
            <w:noProof/>
            <w:webHidden/>
          </w:rPr>
          <w:tab/>
        </w:r>
        <w:r w:rsidR="00BB6F1F">
          <w:rPr>
            <w:noProof/>
            <w:webHidden/>
          </w:rPr>
          <w:fldChar w:fldCharType="begin"/>
        </w:r>
        <w:r w:rsidR="00BB6F1F">
          <w:rPr>
            <w:noProof/>
            <w:webHidden/>
          </w:rPr>
          <w:instrText xml:space="preserve"> PAGEREF _Toc492985883 \h </w:instrText>
        </w:r>
        <w:r w:rsidR="00BB6F1F">
          <w:rPr>
            <w:noProof/>
            <w:webHidden/>
          </w:rPr>
        </w:r>
        <w:r w:rsidR="00BB6F1F">
          <w:rPr>
            <w:noProof/>
            <w:webHidden/>
          </w:rPr>
          <w:fldChar w:fldCharType="separate"/>
        </w:r>
        <w:r w:rsidR="002C7F26">
          <w:rPr>
            <w:noProof/>
            <w:webHidden/>
          </w:rPr>
          <w:t>167</w:t>
        </w:r>
        <w:r w:rsidR="00BB6F1F">
          <w:rPr>
            <w:noProof/>
            <w:webHidden/>
          </w:rPr>
          <w:fldChar w:fldCharType="end"/>
        </w:r>
      </w:hyperlink>
    </w:p>
    <w:p w:rsidR="00BB6F1F" w:rsidRDefault="00E73501">
      <w:pPr>
        <w:pStyle w:val="TOC1"/>
        <w:rPr>
          <w:rFonts w:asciiTheme="minorHAnsi" w:eastAsiaTheme="minorEastAsia" w:hAnsiTheme="minorHAnsi"/>
          <w:b w:val="0"/>
          <w:noProof/>
          <w:spacing w:val="0"/>
          <w:szCs w:val="22"/>
          <w:lang w:eastAsia="en-AU"/>
        </w:rPr>
      </w:pPr>
      <w:hyperlink w:anchor="_Toc492985884" w:history="1">
        <w:r w:rsidR="00BB6F1F" w:rsidRPr="00954865">
          <w:rPr>
            <w:rStyle w:val="Hyperlink"/>
            <w:noProof/>
          </w:rPr>
          <w:t>Style conventions</w:t>
        </w:r>
        <w:r w:rsidR="00BB6F1F">
          <w:rPr>
            <w:noProof/>
            <w:webHidden/>
          </w:rPr>
          <w:tab/>
        </w:r>
        <w:r w:rsidR="00BB6F1F">
          <w:rPr>
            <w:noProof/>
            <w:webHidden/>
          </w:rPr>
          <w:fldChar w:fldCharType="begin"/>
        </w:r>
        <w:r w:rsidR="00BB6F1F">
          <w:rPr>
            <w:noProof/>
            <w:webHidden/>
          </w:rPr>
          <w:instrText xml:space="preserve"> PAGEREF _Toc492985884 \h </w:instrText>
        </w:r>
        <w:r w:rsidR="00BB6F1F">
          <w:rPr>
            <w:noProof/>
            <w:webHidden/>
          </w:rPr>
        </w:r>
        <w:r w:rsidR="00BB6F1F">
          <w:rPr>
            <w:noProof/>
            <w:webHidden/>
          </w:rPr>
          <w:fldChar w:fldCharType="separate"/>
        </w:r>
        <w:r w:rsidR="002C7F26">
          <w:rPr>
            <w:noProof/>
            <w:webHidden/>
          </w:rPr>
          <w:t>171</w:t>
        </w:r>
        <w:r w:rsidR="00BB6F1F">
          <w:rPr>
            <w:noProof/>
            <w:webHidden/>
          </w:rPr>
          <w:fldChar w:fldCharType="end"/>
        </w:r>
      </w:hyperlink>
    </w:p>
    <w:p w:rsidR="00BB6F1F" w:rsidRDefault="00BB6F1F" w:rsidP="00F63294">
      <w:pPr>
        <w:rPr>
          <w:b/>
          <w:bCs/>
          <w:noProof/>
          <w:lang w:val="en-US"/>
        </w:rPr>
      </w:pPr>
      <w:r>
        <w:rPr>
          <w:b/>
          <w:bCs/>
          <w:noProof/>
          <w:lang w:val="en-US"/>
        </w:rPr>
        <w:fldChar w:fldCharType="end"/>
      </w:r>
    </w:p>
    <w:p w:rsidR="00BB6F1F" w:rsidRDefault="00BB6F1F">
      <w:pPr>
        <w:keepLines w:val="0"/>
      </w:pPr>
    </w:p>
    <w:p w:rsidR="00BB6F1F" w:rsidRDefault="00BB6F1F">
      <w:pPr>
        <w:keepLines w:val="0"/>
        <w:sectPr w:rsidR="00BB6F1F" w:rsidSect="00F63294">
          <w:type w:val="oddPage"/>
          <w:pgSz w:w="11907" w:h="16839" w:code="9"/>
          <w:pgMar w:top="1134" w:right="1134" w:bottom="1134" w:left="1134" w:header="624" w:footer="567" w:gutter="0"/>
          <w:cols w:space="567"/>
          <w:docGrid w:linePitch="360"/>
        </w:sectPr>
      </w:pPr>
    </w:p>
    <w:p w:rsidR="00BB6F1F" w:rsidRDefault="00BB6F1F" w:rsidP="00C75E55">
      <w:pPr>
        <w:pStyle w:val="Chapterheading"/>
      </w:pPr>
      <w:bookmarkStart w:id="0" w:name="_Toc492985868"/>
      <w:r w:rsidRPr="00DB2477">
        <w:lastRenderedPageBreak/>
        <w:t>Chapter 1 – Foreword</w:t>
      </w:r>
      <w:bookmarkEnd w:id="0"/>
    </w:p>
    <w:p w:rsidR="00BB6F1F" w:rsidRDefault="00BB6F1F" w:rsidP="006A0D84">
      <w:pPr>
        <w:pStyle w:val="Heading10"/>
        <w:sectPr w:rsidR="00BB6F1F" w:rsidSect="00AC68FF">
          <w:headerReference w:type="even" r:id="rId10"/>
          <w:headerReference w:type="default" r:id="rId11"/>
          <w:footerReference w:type="even" r:id="rId12"/>
          <w:footerReference w:type="default" r:id="rId13"/>
          <w:headerReference w:type="first" r:id="rId14"/>
          <w:footerReference w:type="first" r:id="rId15"/>
          <w:type w:val="oddPage"/>
          <w:pgSz w:w="11907" w:h="16839" w:code="9"/>
          <w:pgMar w:top="1134" w:right="1134" w:bottom="1134" w:left="1134" w:header="624" w:footer="567" w:gutter="0"/>
          <w:pgNumType w:start="1"/>
          <w:cols w:space="567"/>
          <w:docGrid w:linePitch="360"/>
        </w:sectPr>
      </w:pPr>
    </w:p>
    <w:p w:rsidR="00BB6F1F" w:rsidRPr="0021177F" w:rsidRDefault="00BB6F1F" w:rsidP="00C75E55">
      <w:pPr>
        <w:pStyle w:val="Heading10"/>
        <w:spacing w:before="0"/>
      </w:pPr>
      <w:r w:rsidRPr="0021177F">
        <w:lastRenderedPageBreak/>
        <w:t>Purpose</w:t>
      </w:r>
    </w:p>
    <w:p w:rsidR="00BB6F1F" w:rsidRPr="0021177F" w:rsidRDefault="00BB6F1F" w:rsidP="00DB2477">
      <w:r w:rsidRPr="0021177F">
        <w:t xml:space="preserve">The </w:t>
      </w:r>
      <w:r w:rsidRPr="0021177F">
        <w:rPr>
          <w:i/>
        </w:rPr>
        <w:t>201</w:t>
      </w:r>
      <w:r>
        <w:rPr>
          <w:i/>
        </w:rPr>
        <w:t>6</w:t>
      </w:r>
      <w:r w:rsidRPr="0021177F">
        <w:rPr>
          <w:i/>
        </w:rPr>
        <w:t>-1</w:t>
      </w:r>
      <w:r>
        <w:rPr>
          <w:i/>
        </w:rPr>
        <w:t>7</w:t>
      </w:r>
      <w:r w:rsidRPr="0021177F">
        <w:rPr>
          <w:i/>
        </w:rPr>
        <w:t xml:space="preserve"> Financial Report</w:t>
      </w:r>
      <w:r w:rsidRPr="0021177F">
        <w:t xml:space="preserve"> presents the consolidated financial outcomes for the State of Victoria, including the general government sector, the public non-financial corporations sector and the public financial corporations sector.</w:t>
      </w:r>
    </w:p>
    <w:p w:rsidR="00BB6F1F" w:rsidRPr="0021177F" w:rsidRDefault="00BB6F1F" w:rsidP="00C72023">
      <w:r w:rsidRPr="0021177F">
        <w:t>This chapter outlines the economic and fiscal context for the State’s financial performance and position, and summarises the 201</w:t>
      </w:r>
      <w:r>
        <w:t>6</w:t>
      </w:r>
      <w:r w:rsidRPr="0021177F">
        <w:t>-1</w:t>
      </w:r>
      <w:r>
        <w:t>7</w:t>
      </w:r>
      <w:r w:rsidRPr="0021177F">
        <w:t xml:space="preserve"> results. Chapter 2 analyses the results for the general government sector, comparing them with </w:t>
      </w:r>
      <w:r>
        <w:t xml:space="preserve">the actuals in 2015-16 and </w:t>
      </w:r>
      <w:r w:rsidRPr="0021177F">
        <w:t xml:space="preserve">the revised estimates for the year presented in the </w:t>
      </w:r>
      <w:r w:rsidRPr="0021177F">
        <w:rPr>
          <w:i/>
        </w:rPr>
        <w:t>201</w:t>
      </w:r>
      <w:r>
        <w:rPr>
          <w:i/>
        </w:rPr>
        <w:t>7</w:t>
      </w:r>
      <w:r w:rsidRPr="0021177F">
        <w:rPr>
          <w:i/>
        </w:rPr>
        <w:noBreakHyphen/>
        <w:t>1</w:t>
      </w:r>
      <w:r>
        <w:rPr>
          <w:i/>
        </w:rPr>
        <w:t>8 </w:t>
      </w:r>
      <w:r w:rsidRPr="0021177F">
        <w:rPr>
          <w:i/>
        </w:rPr>
        <w:t>Budget</w:t>
      </w:r>
      <w:r w:rsidRPr="0021177F">
        <w:t>. Chapter 3 presents the 201</w:t>
      </w:r>
      <w:r>
        <w:t>6</w:t>
      </w:r>
      <w:r w:rsidRPr="0021177F">
        <w:t>-1</w:t>
      </w:r>
      <w:r>
        <w:t>7</w:t>
      </w:r>
      <w:r w:rsidRPr="0021177F">
        <w:t xml:space="preserve"> results for the State of Victoria.</w:t>
      </w:r>
    </w:p>
    <w:p w:rsidR="00BB6F1F" w:rsidRPr="0021177F" w:rsidRDefault="00BB6F1F" w:rsidP="00C72023">
      <w:r w:rsidRPr="0021177F">
        <w:t xml:space="preserve">Chapter 4 contains the audited financial statements as required under the </w:t>
      </w:r>
      <w:r w:rsidRPr="0021177F">
        <w:rPr>
          <w:i/>
        </w:rPr>
        <w:t>Financial Management Act 1994</w:t>
      </w:r>
      <w:r w:rsidRPr="0021177F">
        <w:t xml:space="preserve">. These are presented in line with applicable Australian accounting standards and pronouncements, in particular AASB 1049 </w:t>
      </w:r>
      <w:r w:rsidRPr="0021177F">
        <w:rPr>
          <w:i/>
        </w:rPr>
        <w:t>Whole of Government and General Government Sector Financial Reporting</w:t>
      </w:r>
      <w:r w:rsidRPr="0021177F">
        <w:t xml:space="preserve">. </w:t>
      </w:r>
    </w:p>
    <w:p w:rsidR="00BB6F1F" w:rsidRPr="0021177F" w:rsidRDefault="00BB6F1F" w:rsidP="00C72023">
      <w:r w:rsidRPr="0021177F">
        <w:t xml:space="preserve">Chapter 5 provides supplementary information required under the Uniform Presentation Framework, as agreed under the Australian Loan Council arrangements. Appendix A includes the Quarterly Financial Report for the general government sector as required by Section 26 of the </w:t>
      </w:r>
      <w:r w:rsidRPr="0021177F">
        <w:rPr>
          <w:i/>
        </w:rPr>
        <w:t>Financial Management Act 1994</w:t>
      </w:r>
      <w:r w:rsidRPr="0021177F">
        <w:t>.</w:t>
      </w:r>
    </w:p>
    <w:p w:rsidR="00BB6F1F" w:rsidRPr="0021177F" w:rsidRDefault="00BB6F1F" w:rsidP="00C75E55">
      <w:pPr>
        <w:pStyle w:val="Heading10"/>
      </w:pPr>
      <w:r w:rsidRPr="0021177F">
        <w:t>Economic context</w:t>
      </w:r>
    </w:p>
    <w:p w:rsidR="00BB6F1F" w:rsidRDefault="00BB6F1F" w:rsidP="00724EFF">
      <w:r w:rsidRPr="002B6C58">
        <w:t>Victoria’s economy continued to perform strongly in 2016</w:t>
      </w:r>
      <w:r w:rsidRPr="002B6C58">
        <w:noBreakHyphen/>
        <w:t xml:space="preserve">17 with activity driven by </w:t>
      </w:r>
      <w:r>
        <w:t xml:space="preserve">population and </w:t>
      </w:r>
      <w:r w:rsidRPr="002B6C58">
        <w:t>employment growth,</w:t>
      </w:r>
      <w:r>
        <w:t xml:space="preserve"> low interest rates and increased public infrastructure spending.</w:t>
      </w:r>
      <w:r w:rsidRPr="006A7507">
        <w:t xml:space="preserve"> </w:t>
      </w:r>
    </w:p>
    <w:p w:rsidR="00BB6F1F" w:rsidRDefault="00BB6F1F" w:rsidP="00724EFF">
      <w:r w:rsidRPr="00CA3A0D">
        <w:t>Victoria’s state final demand grew 3.9 per cent in 2016-17, well above the national average growth.</w:t>
      </w:r>
    </w:p>
    <w:p w:rsidR="00BB6F1F" w:rsidRDefault="00BB6F1F" w:rsidP="00C75E55">
      <w:r>
        <w:t>Economic activity is being supported by population growth and the national economy’s transition from mining to non</w:t>
      </w:r>
      <w:r>
        <w:noBreakHyphen/>
        <w:t xml:space="preserve">mining led growth, including in industries where Victoria has a comparative advantage </w:t>
      </w:r>
      <w:r w:rsidRPr="00380821">
        <w:t>such as services.</w:t>
      </w:r>
      <w:r>
        <w:t xml:space="preserve"> </w:t>
      </w:r>
    </w:p>
    <w:p w:rsidR="00BB6F1F" w:rsidRDefault="00BB6F1F" w:rsidP="008E5EA0">
      <w:r>
        <w:lastRenderedPageBreak/>
        <w:t xml:space="preserve">In 2016, Victoria’s population </w:t>
      </w:r>
      <w:r w:rsidRPr="000D111F">
        <w:t>expanded by</w:t>
      </w:r>
      <w:r>
        <w:t xml:space="preserve"> 2.4 per cent, the highest growth rate of all the </w:t>
      </w:r>
      <w:r w:rsidRPr="00094648">
        <w:t>states and the highest record</w:t>
      </w:r>
      <w:r>
        <w:t>ed</w:t>
      </w:r>
      <w:r w:rsidRPr="00094648">
        <w:t xml:space="preserve"> in Victoria since 197</w:t>
      </w:r>
      <w:r>
        <w:t>1</w:t>
      </w:r>
      <w:r w:rsidRPr="00094648">
        <w:t>.</w:t>
      </w:r>
      <w:r>
        <w:t xml:space="preserve"> Victoria’s high population growth is being driven by natural increase, net interstate and net overseas migration. </w:t>
      </w:r>
    </w:p>
    <w:p w:rsidR="00BB6F1F" w:rsidRDefault="00BB6F1F" w:rsidP="00CD7F5E">
      <w:r>
        <w:t xml:space="preserve">The effect of this increased activity was evident in Victoria’s </w:t>
      </w:r>
      <w:r w:rsidRPr="00CC3BA2">
        <w:t>household consumption</w:t>
      </w:r>
      <w:r>
        <w:t xml:space="preserve">, </w:t>
      </w:r>
      <w:r w:rsidRPr="00CC3BA2">
        <w:t>dwelling investment</w:t>
      </w:r>
      <w:r>
        <w:t xml:space="preserve"> and labour market outcomes.</w:t>
      </w:r>
    </w:p>
    <w:p w:rsidR="00BB6F1F" w:rsidRDefault="00BB6F1F" w:rsidP="000F5547">
      <w:r w:rsidRPr="00CA3A0D">
        <w:t xml:space="preserve">Over the year to June 2017, </w:t>
      </w:r>
      <w:r>
        <w:t>public and private investment grew 20.6 per cent and 2.6 per cent, respectively. H</w:t>
      </w:r>
      <w:r w:rsidRPr="00CA3A0D">
        <w:t xml:space="preserve">ousehold consumption </w:t>
      </w:r>
      <w:r>
        <w:t xml:space="preserve">was </w:t>
      </w:r>
      <w:r w:rsidRPr="00CA3A0D">
        <w:t>3.0</w:t>
      </w:r>
      <w:r>
        <w:t> </w:t>
      </w:r>
      <w:r w:rsidRPr="00CA3A0D">
        <w:t xml:space="preserve">per cent </w:t>
      </w:r>
      <w:r>
        <w:t xml:space="preserve">higher and </w:t>
      </w:r>
      <w:r w:rsidRPr="00CA3A0D">
        <w:t>dwelling investment</w:t>
      </w:r>
      <w:r>
        <w:t xml:space="preserve"> rose by </w:t>
      </w:r>
      <w:r w:rsidRPr="00CA3A0D">
        <w:t>5.4 per cent</w:t>
      </w:r>
      <w:r>
        <w:t>.</w:t>
      </w:r>
    </w:p>
    <w:p w:rsidR="00BB6F1F" w:rsidRPr="002B6C58" w:rsidRDefault="00BB6F1F" w:rsidP="00BD1172">
      <w:r w:rsidRPr="002B6C58">
        <w:t xml:space="preserve">Victorian employment grew 3.7 per cent in 2016-17, the highest growth of all the states and the strongest since 1989-90. Victoria’s labour </w:t>
      </w:r>
      <w:r>
        <w:t xml:space="preserve">force </w:t>
      </w:r>
      <w:r w:rsidRPr="002B6C58">
        <w:t xml:space="preserve">participation rate reached the highest levels on record in 2016-17. Partly reflecting this higher participation rate, Victoria’s unemployment rate remained steady at 5.9 per cent in 2016-17, a significant achievement given the size of the increase in </w:t>
      </w:r>
      <w:r>
        <w:t xml:space="preserve">the </w:t>
      </w:r>
      <w:r w:rsidRPr="002B6C58">
        <w:t>labour force.</w:t>
      </w:r>
    </w:p>
    <w:p w:rsidR="00BB6F1F" w:rsidRPr="002B6C58" w:rsidRDefault="00BB6F1F" w:rsidP="00C75E55">
      <w:r w:rsidRPr="006A3371">
        <w:t>Around 250</w:t>
      </w:r>
      <w:r>
        <w:t> </w:t>
      </w:r>
      <w:r w:rsidRPr="006A3371">
        <w:t>000 jobs have been created since the Government was elected, with 175</w:t>
      </w:r>
      <w:r>
        <w:t> </w:t>
      </w:r>
      <w:r w:rsidRPr="006A3371">
        <w:t xml:space="preserve">000 of these being full time positions. </w:t>
      </w:r>
      <w:r>
        <w:t>I</w:t>
      </w:r>
      <w:r w:rsidRPr="002B6C58">
        <w:t>nflation and wage growth were subdued in 2016-17, consistent with trends in other states. A</w:t>
      </w:r>
      <w:r>
        <w:t> </w:t>
      </w:r>
      <w:r w:rsidRPr="002B6C58">
        <w:t>number of factors contributed to this, including low inflation expectations, increased labour supply and heightened competitive pressure in some product markets.</w:t>
      </w:r>
    </w:p>
    <w:p w:rsidR="00BB6F1F" w:rsidRDefault="00BB6F1F" w:rsidP="00C75E55">
      <w:r w:rsidRPr="006A3371">
        <w:t>The Government’s infrastructure investment continues to support economic growth. It has a</w:t>
      </w:r>
      <w:r>
        <w:t>n</w:t>
      </w:r>
      <w:r w:rsidRPr="006A3371">
        <w:t xml:space="preserve"> </w:t>
      </w:r>
      <w:r>
        <w:t>important</w:t>
      </w:r>
      <w:r w:rsidRPr="006A3371">
        <w:t xml:space="preserve"> and ongoing impact on state productivity and generates significant direct and indirect employment, and wider economic benefits. </w:t>
      </w:r>
      <w:r w:rsidRPr="002B6C58">
        <w:t>Victoria’s strong economy underpinned the State’s robust fiscal</w:t>
      </w:r>
      <w:r>
        <w:t xml:space="preserve"> position in 2016-17 and continues to support the State’s triple-A credit rating. </w:t>
      </w:r>
    </w:p>
    <w:p w:rsidR="00BB6F1F" w:rsidRDefault="00BB6F1F" w:rsidP="00C75E55">
      <w:pPr>
        <w:pStyle w:val="Heading10"/>
        <w:sectPr w:rsidR="00BB6F1F" w:rsidSect="006A0D84">
          <w:type w:val="continuous"/>
          <w:pgSz w:w="11907" w:h="16839" w:code="9"/>
          <w:pgMar w:top="1134" w:right="1134" w:bottom="1134" w:left="1134" w:header="624" w:footer="567" w:gutter="0"/>
          <w:cols w:num="2" w:space="567"/>
          <w:docGrid w:linePitch="360"/>
        </w:sectPr>
      </w:pPr>
    </w:p>
    <w:p w:rsidR="00BB6F1F" w:rsidRPr="00C72023" w:rsidRDefault="00BB6F1F" w:rsidP="00AC68FF">
      <w:pPr>
        <w:pStyle w:val="Heading10"/>
        <w:spacing w:before="0"/>
      </w:pPr>
      <w:r w:rsidRPr="00C72023">
        <w:lastRenderedPageBreak/>
        <w:t>Fiscal outcomes</w:t>
      </w:r>
    </w:p>
    <w:p w:rsidR="00BB6F1F" w:rsidRPr="003970E7" w:rsidRDefault="00BB6F1F" w:rsidP="003970E7">
      <w:r w:rsidRPr="003970E7">
        <w:t>The net result from transactions for the general government sector was a surplus of $</w:t>
      </w:r>
      <w:r>
        <w:t>2.7</w:t>
      </w:r>
      <w:r w:rsidRPr="003970E7">
        <w:t xml:space="preserve"> billion in 2016-17. Victoria continues to forecast strong surpluses every year over the budget and forward estimates period.</w:t>
      </w:r>
    </w:p>
    <w:p w:rsidR="00BB6F1F" w:rsidRPr="003970E7" w:rsidRDefault="00BB6F1F" w:rsidP="003970E7">
      <w:r w:rsidRPr="003970E7">
        <w:t>The operating surplus was $</w:t>
      </w:r>
      <w:r>
        <w:t>1.4 b</w:t>
      </w:r>
      <w:r w:rsidRPr="003970E7">
        <w:t xml:space="preserve">illion higher than </w:t>
      </w:r>
      <w:r>
        <w:t xml:space="preserve">the </w:t>
      </w:r>
      <w:r w:rsidRPr="003970E7">
        <w:t xml:space="preserve">revised estimate in the </w:t>
      </w:r>
      <w:r w:rsidRPr="00595C45">
        <w:rPr>
          <w:i/>
        </w:rPr>
        <w:t xml:space="preserve">2017-18 </w:t>
      </w:r>
      <w:r>
        <w:rPr>
          <w:i/>
        </w:rPr>
        <w:t>B</w:t>
      </w:r>
      <w:r w:rsidRPr="00595C45">
        <w:rPr>
          <w:i/>
        </w:rPr>
        <w:t>udget</w:t>
      </w:r>
      <w:r w:rsidRPr="003970E7">
        <w:t>, due to low</w:t>
      </w:r>
      <w:r>
        <w:t>er than expected expenses of $1.2</w:t>
      </w:r>
      <w:r w:rsidRPr="003970E7">
        <w:t xml:space="preserve"> </w:t>
      </w:r>
      <w:r>
        <w:t>b</w:t>
      </w:r>
      <w:r w:rsidRPr="003970E7">
        <w:t>illion</w:t>
      </w:r>
      <w:r>
        <w:t>, mainly reflecting differences in the timing of activity across the major departments</w:t>
      </w:r>
      <w:r w:rsidRPr="003970E7">
        <w:t xml:space="preserve">. </w:t>
      </w:r>
    </w:p>
    <w:p w:rsidR="00BB6F1F" w:rsidRDefault="00BB6F1F" w:rsidP="003970E7">
      <w:r w:rsidRPr="003970E7">
        <w:t>Total revenue from transactions for the general government sector for the year was $60.9 billion, which was within 0.3</w:t>
      </w:r>
      <w:r>
        <w:t> per cent</w:t>
      </w:r>
      <w:r w:rsidRPr="003970E7">
        <w:t xml:space="preserve"> of the revised estimate and $4.2 billion higher than </w:t>
      </w:r>
      <w:r>
        <w:t>the previous year</w:t>
      </w:r>
      <w:r w:rsidRPr="003970E7">
        <w:t xml:space="preserve">. </w:t>
      </w:r>
    </w:p>
    <w:p w:rsidR="00BB6F1F" w:rsidRPr="003970E7" w:rsidRDefault="00BB6F1F" w:rsidP="003970E7">
      <w:r w:rsidRPr="002526D6">
        <w:t>State taxation revenue was $22.3 billion in 2016-17, aligned with the revised estimate and $2.4 billion higher compared to 2015-16. This was mainly due to an increase in land transfer duty of $295 million and land tax of $730 million on the back of continued strength in the property market throughout 2016-17. In addition, $783 million was recognised from the prepaid port licence fees associated with entering into the medium-term lease over the operations of the Port of Melbourne.</w:t>
      </w:r>
    </w:p>
    <w:p w:rsidR="00BB6F1F" w:rsidRPr="00510CBB" w:rsidRDefault="00BB6F1F" w:rsidP="003970E7">
      <w:r w:rsidRPr="00510CBB">
        <w:t>Dividends, income tax and rate equivalent revenue was $658 million in 2016-17</w:t>
      </w:r>
      <w:r>
        <w:t>,</w:t>
      </w:r>
      <w:r w:rsidRPr="00510CBB">
        <w:t xml:space="preserve"> and $94 million higher than the revised estimate</w:t>
      </w:r>
      <w:r>
        <w:t>,</w:t>
      </w:r>
      <w:r w:rsidRPr="00510CBB">
        <w:t xml:space="preserve"> mainly due to higher dividends received from the </w:t>
      </w:r>
      <w:r>
        <w:t>p</w:t>
      </w:r>
      <w:r w:rsidRPr="00510CBB">
        <w:t xml:space="preserve">ublic </w:t>
      </w:r>
      <w:r>
        <w:t>f</w:t>
      </w:r>
      <w:r w:rsidRPr="00510CBB">
        <w:t xml:space="preserve">inancial </w:t>
      </w:r>
      <w:r>
        <w:t>c</w:t>
      </w:r>
      <w:r w:rsidRPr="00510CBB">
        <w:t>orporations sector.</w:t>
      </w:r>
    </w:p>
    <w:p w:rsidR="00BB6F1F" w:rsidRDefault="00BB6F1F" w:rsidP="00580355">
      <w:pPr>
        <w:spacing w:after="100" w:line="259" w:lineRule="auto"/>
      </w:pPr>
      <w:r w:rsidRPr="00510CBB">
        <w:t>Revenue from sales of goods and services was broadly consistent with the revised budget and $268 million higher than in 2015-16, primarily related to the higher capital asset charge for increased asset holdings by Victorian Rail Track in 2016-17.</w:t>
      </w:r>
    </w:p>
    <w:p w:rsidR="00BB6F1F" w:rsidRPr="003970E7" w:rsidRDefault="00BB6F1F" w:rsidP="003970E7">
      <w:r w:rsidRPr="003970E7">
        <w:t>Other revenue in 2016</w:t>
      </w:r>
      <w:r w:rsidRPr="003970E7">
        <w:noBreakHyphen/>
        <w:t xml:space="preserve">17 was aligned with revised budget expectations. Compared </w:t>
      </w:r>
      <w:r>
        <w:t>with the previous</w:t>
      </w:r>
      <w:r w:rsidRPr="003970E7">
        <w:t xml:space="preserve"> year, other revenue has decreased by $</w:t>
      </w:r>
      <w:r>
        <w:t>463</w:t>
      </w:r>
      <w:r w:rsidRPr="003970E7">
        <w:t xml:space="preserve"> </w:t>
      </w:r>
      <w:r>
        <w:t>m</w:t>
      </w:r>
      <w:r w:rsidRPr="003970E7">
        <w:t>illion. This was mainly attributable to the one</w:t>
      </w:r>
      <w:r w:rsidRPr="003970E7">
        <w:noBreakHyphen/>
        <w:t xml:space="preserve">off revenue from the High Court of Australia’s decision </w:t>
      </w:r>
      <w:r>
        <w:t>on</w:t>
      </w:r>
      <w:r w:rsidRPr="003970E7">
        <w:t xml:space="preserve"> Tatts Group Limited’s (Tatts) ‘Gambling Licenses’ proceedings, which resulted in additional revenue plus interest recorded for the 2015-16 financial year. </w:t>
      </w:r>
    </w:p>
    <w:p w:rsidR="00BB6F1F" w:rsidRDefault="00BB6F1F" w:rsidP="003970E7">
      <w:r w:rsidRPr="003970E7">
        <w:br w:type="column"/>
      </w:r>
      <w:r>
        <w:lastRenderedPageBreak/>
        <w:t xml:space="preserve">Total general government sector expenses </w:t>
      </w:r>
      <w:r w:rsidRPr="003970E7">
        <w:t>for the year were $1.</w:t>
      </w:r>
      <w:r>
        <w:t>2</w:t>
      </w:r>
      <w:r w:rsidRPr="003970E7">
        <w:t xml:space="preserve"> billion l</w:t>
      </w:r>
      <w:r>
        <w:t>ower</w:t>
      </w:r>
      <w:r w:rsidRPr="003970E7">
        <w:t xml:space="preserve"> than the revised </w:t>
      </w:r>
      <w:r>
        <w:t xml:space="preserve">budget </w:t>
      </w:r>
      <w:r w:rsidRPr="003970E7">
        <w:t>and $</w:t>
      </w:r>
      <w:r>
        <w:t>4.2</w:t>
      </w:r>
      <w:r w:rsidRPr="003970E7">
        <w:t xml:space="preserve"> billion more than in 2015-16. </w:t>
      </w:r>
    </w:p>
    <w:p w:rsidR="00BB6F1F" w:rsidRDefault="00BB6F1F" w:rsidP="003970E7">
      <w:r>
        <w:t xml:space="preserve">Employee expenses in 2016-17 were $564 million lower than the revised budget due to lower than expected </w:t>
      </w:r>
      <w:r w:rsidRPr="00B808FA">
        <w:t xml:space="preserve">spending in schools, hospitals and health services. Compared with the previous </w:t>
      </w:r>
      <w:r>
        <w:t>year, employee expenses were 7.5</w:t>
      </w:r>
      <w:r w:rsidRPr="00B808FA">
        <w:t> per cent higher</w:t>
      </w:r>
      <w:r>
        <w:t>, mainly attributable to increased service delivery in the health and community safety sectors as well as underlying salary and wage growth.</w:t>
      </w:r>
      <w:r w:rsidRPr="003970E7">
        <w:t xml:space="preserve"> </w:t>
      </w:r>
    </w:p>
    <w:p w:rsidR="00BB6F1F" w:rsidRDefault="00BB6F1F" w:rsidP="003970E7">
      <w:r>
        <w:t>Other operating expenses for 2016</w:t>
      </w:r>
      <w:r>
        <w:noBreakHyphen/>
        <w:t xml:space="preserve">17 were </w:t>
      </w:r>
      <w:r w:rsidRPr="00765A34">
        <w:t>$</w:t>
      </w:r>
      <w:r>
        <w:t>636 million</w:t>
      </w:r>
      <w:r w:rsidRPr="00765A34">
        <w:t xml:space="preserve"> lower than the revised budget and $</w:t>
      </w:r>
      <w:r>
        <w:t>670 million</w:t>
      </w:r>
      <w:r w:rsidRPr="00765A34">
        <w:t xml:space="preserve"> higher than in 201</w:t>
      </w:r>
      <w:r>
        <w:t>5</w:t>
      </w:r>
      <w:r>
        <w:noBreakHyphen/>
      </w:r>
      <w:r w:rsidRPr="00765A34">
        <w:t>1</w:t>
      </w:r>
      <w:r>
        <w:t xml:space="preserve">6. The </w:t>
      </w:r>
      <w:r w:rsidRPr="00AE53E8">
        <w:t>increase</w:t>
      </w:r>
      <w:r>
        <w:t xml:space="preserve"> </w:t>
      </w:r>
      <w:r w:rsidRPr="00AE53E8">
        <w:t xml:space="preserve">since </w:t>
      </w:r>
      <w:r>
        <w:t>2015-</w:t>
      </w:r>
      <w:r w:rsidRPr="00AE53E8">
        <w:t>1</w:t>
      </w:r>
      <w:r>
        <w:t>6</w:t>
      </w:r>
      <w:r w:rsidRPr="00AE53E8">
        <w:t xml:space="preserve"> </w:t>
      </w:r>
      <w:r>
        <w:t xml:space="preserve">is mainly reflecting additional spending in the health, community safety and transport sectors. </w:t>
      </w:r>
    </w:p>
    <w:p w:rsidR="00BB6F1F" w:rsidRPr="003970E7" w:rsidRDefault="00BB6F1F" w:rsidP="003970E7">
      <w:r w:rsidRPr="003970E7">
        <w:t>Government infrastructure investment, which includes general government net infrastructure investment and estimated cash outflows for Partnership Victoria pro</w:t>
      </w:r>
      <w:r>
        <w:t>jects (net of asset sales), was </w:t>
      </w:r>
      <w:r w:rsidRPr="003970E7">
        <w:t>$9.</w:t>
      </w:r>
      <w:r>
        <w:t>1</w:t>
      </w:r>
      <w:r w:rsidRPr="003970E7">
        <w:t> billion for 2016</w:t>
      </w:r>
      <w:r w:rsidRPr="003970E7">
        <w:noBreakHyphen/>
        <w:t>17</w:t>
      </w:r>
      <w:r>
        <w:t xml:space="preserve">, </w:t>
      </w:r>
      <w:r w:rsidRPr="003970E7">
        <w:t>$</w:t>
      </w:r>
      <w:r>
        <w:t>286 m</w:t>
      </w:r>
      <w:r w:rsidRPr="003970E7">
        <w:t xml:space="preserve">illion </w:t>
      </w:r>
      <w:r>
        <w:t>lower than</w:t>
      </w:r>
      <w:r w:rsidRPr="003970E7">
        <w:t xml:space="preserve"> the revised budget.</w:t>
      </w:r>
    </w:p>
    <w:p w:rsidR="00BB6F1F" w:rsidRDefault="00BB6F1F" w:rsidP="00057E4E">
      <w:r w:rsidRPr="003970E7">
        <w:t>Net debt for the general government sector was $15.</w:t>
      </w:r>
      <w:r>
        <w:t>8</w:t>
      </w:r>
      <w:r w:rsidRPr="003970E7">
        <w:t> billion</w:t>
      </w:r>
      <w:r w:rsidRPr="00DE5F03">
        <w:t xml:space="preserve"> </w:t>
      </w:r>
      <w:r w:rsidRPr="003970E7">
        <w:t>at 30 June</w:t>
      </w:r>
      <w:r>
        <w:t> 2017</w:t>
      </w:r>
      <w:r w:rsidRPr="003970E7">
        <w:t>, or 4.0</w:t>
      </w:r>
      <w:r>
        <w:t> per cent</w:t>
      </w:r>
      <w:r w:rsidRPr="003970E7">
        <w:t xml:space="preserve"> of gross state product</w:t>
      </w:r>
      <w:r>
        <w:t xml:space="preserve">. This was lower </w:t>
      </w:r>
      <w:r w:rsidRPr="003970E7">
        <w:t>than the revised budget estimate</w:t>
      </w:r>
      <w:r>
        <w:t xml:space="preserve">, </w:t>
      </w:r>
      <w:r w:rsidRPr="00856812">
        <w:t>mainly reflecting the stronger than expected operating result.</w:t>
      </w:r>
    </w:p>
    <w:p w:rsidR="00BB6F1F" w:rsidRPr="00D90023" w:rsidRDefault="00BB6F1F" w:rsidP="00DB2477">
      <w:r>
        <w:t>Victoria maintained its triple</w:t>
      </w:r>
      <w:r>
        <w:noBreakHyphen/>
        <w:t xml:space="preserve">A credit rating in the latest reports of both Moody’s and </w:t>
      </w:r>
      <w:r w:rsidRPr="005216E6">
        <w:t xml:space="preserve">Standard </w:t>
      </w:r>
      <w:r w:rsidR="006C76DC">
        <w:t>&amp;</w:t>
      </w:r>
      <w:r w:rsidRPr="005216E6">
        <w:t xml:space="preserve"> Poor</w:t>
      </w:r>
      <w:r>
        <w:t>’</w:t>
      </w:r>
      <w:r w:rsidRPr="005216E6">
        <w:t>s</w:t>
      </w:r>
      <w:r>
        <w:t>. Moody’s noted ‘</w:t>
      </w:r>
      <w:r w:rsidRPr="00A86C86">
        <w:t>Victoria</w:t>
      </w:r>
      <w:r>
        <w:t>’</w:t>
      </w:r>
      <w:r w:rsidRPr="00A86C86">
        <w:t>s credit quality reflects ample financial flexibility, healthy operating surpluses and a diverse economic base</w:t>
      </w:r>
      <w:r>
        <w:t xml:space="preserve">’. In addition, </w:t>
      </w:r>
      <w:r w:rsidRPr="005216E6">
        <w:t>Standard</w:t>
      </w:r>
      <w:r w:rsidR="006C76DC">
        <w:t xml:space="preserve"> &amp; </w:t>
      </w:r>
      <w:r w:rsidRPr="005216E6">
        <w:t>Poor</w:t>
      </w:r>
      <w:r>
        <w:t>’</w:t>
      </w:r>
      <w:r w:rsidRPr="005216E6">
        <w:t>s</w:t>
      </w:r>
      <w:r>
        <w:t xml:space="preserve"> recognised ‘</w:t>
      </w:r>
      <w:r w:rsidRPr="005216E6">
        <w:t>the state</w:t>
      </w:r>
      <w:r>
        <w:t>’</w:t>
      </w:r>
      <w:r w:rsidRPr="005216E6">
        <w:t>s very strong financial management and economy, exceptional liquidity and the extremely predictable and supportive institutional framework</w:t>
      </w:r>
      <w:r>
        <w:t xml:space="preserve">’. </w:t>
      </w:r>
    </w:p>
    <w:p w:rsidR="00BB6F1F" w:rsidRDefault="00BB6F1F">
      <w:pPr>
        <w:sectPr w:rsidR="00BB6F1F" w:rsidSect="007F05B7">
          <w:footerReference w:type="even" r:id="rId16"/>
          <w:pgSz w:w="11907" w:h="16839" w:code="9"/>
          <w:pgMar w:top="1134" w:right="1134" w:bottom="1134" w:left="1134" w:header="624" w:footer="567" w:gutter="0"/>
          <w:cols w:num="2" w:space="567"/>
          <w:docGrid w:linePitch="360"/>
        </w:sectPr>
      </w:pPr>
    </w:p>
    <w:p w:rsidR="00BB6F1F" w:rsidRDefault="00BB6F1F" w:rsidP="00A46F1A">
      <w:pPr>
        <w:sectPr w:rsidR="00BB6F1F" w:rsidSect="00A46F1A">
          <w:footerReference w:type="even" r:id="rId17"/>
          <w:type w:val="continuous"/>
          <w:pgSz w:w="11907" w:h="16839" w:code="9"/>
          <w:pgMar w:top="1134" w:right="1134" w:bottom="1134" w:left="1134" w:header="624" w:footer="567" w:gutter="0"/>
          <w:cols w:space="567"/>
          <w:docGrid w:linePitch="360"/>
        </w:sectPr>
      </w:pPr>
    </w:p>
    <w:p w:rsidR="00BB6F1F" w:rsidRDefault="00BB6F1F" w:rsidP="000C43CD">
      <w:pPr>
        <w:pStyle w:val="Chapterheading"/>
      </w:pPr>
      <w:bookmarkStart w:id="1" w:name="_Toc492985869"/>
      <w:r>
        <w:lastRenderedPageBreak/>
        <w:t>Chapter 2 – General government sector outcome</w:t>
      </w:r>
      <w:bookmarkEnd w:id="1"/>
    </w:p>
    <w:p w:rsidR="00BB6F1F" w:rsidRDefault="00BB6F1F" w:rsidP="00AC68FF">
      <w:pPr>
        <w:pStyle w:val="HighlightBullet"/>
        <w:numPr>
          <w:ilvl w:val="0"/>
          <w:numId w:val="19"/>
        </w:numPr>
        <w:sectPr w:rsidR="00BB6F1F" w:rsidSect="00AC68FF">
          <w:footerReference w:type="even" r:id="rId18"/>
          <w:footerReference w:type="default" r:id="rId19"/>
          <w:type w:val="continuous"/>
          <w:pgSz w:w="11907" w:h="16839" w:code="9"/>
          <w:pgMar w:top="1134" w:right="1134" w:bottom="1134" w:left="1134" w:header="624" w:footer="567" w:gutter="0"/>
          <w:cols w:sep="1" w:space="567"/>
          <w:docGrid w:linePitch="360"/>
        </w:sectPr>
      </w:pPr>
    </w:p>
    <w:p w:rsidR="00BB6F1F" w:rsidRPr="0042610A" w:rsidRDefault="00BB6F1F" w:rsidP="00AC68FF">
      <w:pPr>
        <w:pStyle w:val="HighlightBoxBullet"/>
      </w:pPr>
      <w:r w:rsidRPr="0042610A">
        <w:lastRenderedPageBreak/>
        <w:t>The Government achieved an operating surplus of $</w:t>
      </w:r>
      <w:r>
        <w:t>2.7</w:t>
      </w:r>
      <w:r w:rsidRPr="0042610A">
        <w:t> billion for 2016</w:t>
      </w:r>
      <w:r w:rsidRPr="0042610A">
        <w:noBreakHyphen/>
        <w:t>17. Victoria continues to forecast strong surpluses every year over the budget and forward estimates period.</w:t>
      </w:r>
    </w:p>
    <w:p w:rsidR="00BB6F1F" w:rsidRPr="0042610A" w:rsidRDefault="00BB6F1F" w:rsidP="00AC68FF">
      <w:pPr>
        <w:pStyle w:val="HighlightBoxBullet"/>
      </w:pPr>
      <w:r w:rsidRPr="0042610A">
        <w:t>The operating surplus was $</w:t>
      </w:r>
      <w:r>
        <w:t>1.4</w:t>
      </w:r>
      <w:r w:rsidRPr="0042610A">
        <w:t> </w:t>
      </w:r>
      <w:r>
        <w:t>b</w:t>
      </w:r>
      <w:r w:rsidRPr="0042610A">
        <w:t xml:space="preserve">illion higher than </w:t>
      </w:r>
      <w:r>
        <w:t xml:space="preserve">the </w:t>
      </w:r>
      <w:r w:rsidRPr="0042610A">
        <w:t xml:space="preserve">revised estimate. </w:t>
      </w:r>
      <w:r>
        <w:t xml:space="preserve">This </w:t>
      </w:r>
      <w:r w:rsidRPr="0042610A">
        <w:t xml:space="preserve">was </w:t>
      </w:r>
      <w:r>
        <w:t>due to</w:t>
      </w:r>
      <w:r w:rsidRPr="0042610A">
        <w:t xml:space="preserve"> lower than expected expenses of $</w:t>
      </w:r>
      <w:r>
        <w:t>1.2</w:t>
      </w:r>
      <w:r w:rsidRPr="0042610A">
        <w:t> </w:t>
      </w:r>
      <w:r>
        <w:t>b</w:t>
      </w:r>
      <w:r w:rsidRPr="0042610A">
        <w:t xml:space="preserve">illion, </w:t>
      </w:r>
      <w:r>
        <w:t>largely reflecting differences in the timing of activity across the major departments</w:t>
      </w:r>
      <w:r w:rsidRPr="00A8334E">
        <w:t>.</w:t>
      </w:r>
      <w:r w:rsidRPr="0042610A">
        <w:t xml:space="preserve"> </w:t>
      </w:r>
    </w:p>
    <w:p w:rsidR="00BB6F1F" w:rsidRDefault="00BB6F1F" w:rsidP="00AC68FF">
      <w:pPr>
        <w:pStyle w:val="HighlightBoxBullet"/>
      </w:pPr>
      <w:r w:rsidRPr="0042610A">
        <w:t>The Government infrastructure investment, which includes general government net infrastructure investment and estimated cash outflows for Partnership Victoria projects (net of asset sales), was $</w:t>
      </w:r>
      <w:r>
        <w:t>9</w:t>
      </w:r>
      <w:r w:rsidRPr="0042610A">
        <w:t>.</w:t>
      </w:r>
      <w:r>
        <w:t>1</w:t>
      </w:r>
      <w:r w:rsidRPr="0042610A">
        <w:t> billion for 201</w:t>
      </w:r>
      <w:r>
        <w:t>6</w:t>
      </w:r>
      <w:r w:rsidRPr="0042610A">
        <w:noBreakHyphen/>
        <w:t>1</w:t>
      </w:r>
      <w:r>
        <w:t xml:space="preserve">7. This is </w:t>
      </w:r>
      <w:r w:rsidRPr="0042610A">
        <w:t>$</w:t>
      </w:r>
      <w:r>
        <w:t>286</w:t>
      </w:r>
      <w:r w:rsidRPr="0042610A">
        <w:t xml:space="preserve"> </w:t>
      </w:r>
      <w:r>
        <w:t>m</w:t>
      </w:r>
      <w:r w:rsidRPr="0042610A">
        <w:t xml:space="preserve">illion </w:t>
      </w:r>
      <w:r>
        <w:t>lower than the revised budget.</w:t>
      </w:r>
    </w:p>
    <w:p w:rsidR="00BB6F1F" w:rsidRPr="0042610A" w:rsidRDefault="00BB6F1F" w:rsidP="00AC68FF">
      <w:pPr>
        <w:pStyle w:val="HighlightBoxBullet"/>
      </w:pPr>
      <w:r w:rsidRPr="0042610A">
        <w:t>Net debt for the general government sector of $</w:t>
      </w:r>
      <w:r>
        <w:t>15.8</w:t>
      </w:r>
      <w:r w:rsidRPr="0042610A">
        <w:t> billion (</w:t>
      </w:r>
      <w:r>
        <w:t>4.0</w:t>
      </w:r>
      <w:r w:rsidRPr="0042610A">
        <w:t xml:space="preserve"> per cent of gross state product (GSP)) at 30 June 2017 was </w:t>
      </w:r>
      <w:r>
        <w:t>lower than the $18.1 billion (4.6 per cent of GSP) expected in t</w:t>
      </w:r>
      <w:r w:rsidRPr="0042610A">
        <w:t xml:space="preserve">he revised </w:t>
      </w:r>
      <w:r>
        <w:t xml:space="preserve">budget </w:t>
      </w:r>
      <w:r w:rsidRPr="0042610A">
        <w:t xml:space="preserve">published in the </w:t>
      </w:r>
      <w:r w:rsidRPr="0042610A">
        <w:rPr>
          <w:i/>
        </w:rPr>
        <w:t>2017</w:t>
      </w:r>
      <w:r w:rsidRPr="0042610A">
        <w:rPr>
          <w:i/>
        </w:rPr>
        <w:noBreakHyphen/>
        <w:t>18 Budget</w:t>
      </w:r>
      <w:r>
        <w:rPr>
          <w:i/>
        </w:rPr>
        <w:t>.</w:t>
      </w:r>
      <w:r>
        <w:t xml:space="preserve"> Net debt was also </w:t>
      </w:r>
      <w:r w:rsidRPr="0042610A">
        <w:t>lower th</w:t>
      </w:r>
      <w:r>
        <w:t xml:space="preserve">an the </w:t>
      </w:r>
      <w:r>
        <w:br/>
        <w:t>$22.3 billion (6.0</w:t>
      </w:r>
      <w:r w:rsidRPr="0042610A">
        <w:t> per cent</w:t>
      </w:r>
      <w:r>
        <w:t xml:space="preserve"> of GSP) in 2015-16, mainly reflecting the positive outcome from the Port of Melbourne lease transaction</w:t>
      </w:r>
      <w:r w:rsidRPr="0042610A">
        <w:t xml:space="preserve"> </w:t>
      </w:r>
      <w:r>
        <w:t xml:space="preserve">in </w:t>
      </w:r>
      <w:r>
        <w:br/>
        <w:t xml:space="preserve">2016-17. </w:t>
      </w:r>
    </w:p>
    <w:p w:rsidR="00BB6F1F" w:rsidRPr="009443BB" w:rsidRDefault="00BB6F1F" w:rsidP="00AC68FF">
      <w:pPr>
        <w:pStyle w:val="HighlightBoxBullet"/>
      </w:pPr>
      <w:r w:rsidRPr="005216E6">
        <w:t xml:space="preserve">Standard </w:t>
      </w:r>
      <w:r w:rsidR="006C76DC">
        <w:t>&amp;</w:t>
      </w:r>
      <w:r w:rsidRPr="005216E6">
        <w:t xml:space="preserve"> Poor</w:t>
      </w:r>
      <w:r>
        <w:t>’</w:t>
      </w:r>
      <w:r w:rsidRPr="005216E6">
        <w:t>s reaffirmed the State of Victoria</w:t>
      </w:r>
      <w:r>
        <w:t>’</w:t>
      </w:r>
      <w:r w:rsidRPr="005216E6">
        <w:t xml:space="preserve">s triple-A credit rating on 24 August 2017, citing </w:t>
      </w:r>
      <w:r>
        <w:t>‘</w:t>
      </w:r>
      <w:r w:rsidRPr="005216E6">
        <w:t>the state</w:t>
      </w:r>
      <w:r>
        <w:t>’</w:t>
      </w:r>
      <w:r w:rsidRPr="005216E6">
        <w:t>s very strong financial management and economy, exceptional liquidity and the extremely predictable and supportive institutional framework</w:t>
      </w:r>
      <w:r>
        <w:t>’. In addition, Moody’s has reaffirmed the State’s triple-A rating with a stable outlook, citing ‘</w:t>
      </w:r>
      <w:r w:rsidRPr="00A86C86">
        <w:t>Victoria</w:t>
      </w:r>
      <w:r>
        <w:t>’</w:t>
      </w:r>
      <w:r w:rsidRPr="00A86C86">
        <w:t>s credit quality reflects ample financial flexibility, healthy operating surpluses and a diverse economic base</w:t>
      </w:r>
      <w:r>
        <w:t xml:space="preserve">’. </w:t>
      </w:r>
    </w:p>
    <w:p w:rsidR="00BB6F1F" w:rsidRDefault="00BB6F1F" w:rsidP="00AC68FF">
      <w:pPr>
        <w:pStyle w:val="Heading10"/>
        <w:spacing w:before="0"/>
      </w:pPr>
      <w:r>
        <w:br w:type="column"/>
      </w:r>
      <w:r>
        <w:lastRenderedPageBreak/>
        <w:t>Fisc</w:t>
      </w:r>
      <w:r w:rsidRPr="00217AA1">
        <w:t>al object</w:t>
      </w:r>
      <w:r>
        <w:t>ives</w:t>
      </w:r>
    </w:p>
    <w:p w:rsidR="00BB6F1F" w:rsidRDefault="00BB6F1F" w:rsidP="00AC68FF">
      <w:r>
        <w:t xml:space="preserve">As part of the </w:t>
      </w:r>
      <w:r>
        <w:rPr>
          <w:i/>
        </w:rPr>
        <w:t>2016</w:t>
      </w:r>
      <w:r>
        <w:rPr>
          <w:i/>
        </w:rPr>
        <w:noBreakHyphen/>
        <w:t>17</w:t>
      </w:r>
      <w:r w:rsidRPr="003822A9">
        <w:rPr>
          <w:i/>
        </w:rPr>
        <w:t xml:space="preserve"> Budget</w:t>
      </w:r>
      <w:r>
        <w:rPr>
          <w:i/>
        </w:rPr>
        <w:t xml:space="preserve">, </w:t>
      </w:r>
      <w:r>
        <w:t>the Government outlined its fiscal strategy and objectives for the 2016</w:t>
      </w:r>
      <w:r>
        <w:noBreakHyphen/>
        <w:t>17 financial year, including:</w:t>
      </w:r>
    </w:p>
    <w:p w:rsidR="00BB6F1F" w:rsidRDefault="00BB6F1F" w:rsidP="00AC68FF">
      <w:pPr>
        <w:pStyle w:val="ListBullet"/>
      </w:pPr>
      <w:r>
        <w:t>general government net debt as a percentage of GSP to be maintained at a sustainable level over the medium term;</w:t>
      </w:r>
    </w:p>
    <w:p w:rsidR="00BB6F1F" w:rsidRDefault="00BB6F1F" w:rsidP="00AC68FF">
      <w:pPr>
        <w:pStyle w:val="ListBullet"/>
      </w:pPr>
      <w:r>
        <w:t>fully fund the unfunded superannuation liability by 2035; and</w:t>
      </w:r>
    </w:p>
    <w:p w:rsidR="00BB6F1F" w:rsidRDefault="00BB6F1F" w:rsidP="00AC68FF">
      <w:pPr>
        <w:pStyle w:val="ListBullet"/>
      </w:pPr>
      <w:r>
        <w:t>achieving a net operating surplus consistent with maintaining general government net debt at a sustainable level over the medium term.</w:t>
      </w:r>
    </w:p>
    <w:p w:rsidR="00BB6F1F" w:rsidRDefault="00BB6F1F" w:rsidP="00AC68FF">
      <w:r>
        <w:t>The 2016</w:t>
      </w:r>
      <w:r>
        <w:noBreakHyphen/>
        <w:t>17 results were consistent with the Government’s fiscal strategy and objectives, with:</w:t>
      </w:r>
    </w:p>
    <w:p w:rsidR="00BB6F1F" w:rsidRDefault="00BB6F1F" w:rsidP="00AC68FF">
      <w:pPr>
        <w:pStyle w:val="ListBullet"/>
      </w:pPr>
      <w:r>
        <w:t>a net operating surplus of $2.7 billion for the 2016</w:t>
      </w:r>
      <w:r>
        <w:noBreakHyphen/>
        <w:t xml:space="preserve">17 financial year; </w:t>
      </w:r>
    </w:p>
    <w:p w:rsidR="00BB6F1F" w:rsidRDefault="00BB6F1F" w:rsidP="00AC68FF">
      <w:pPr>
        <w:pStyle w:val="ListBullet"/>
      </w:pPr>
      <w:r>
        <w:t>net debt to GSP of 4</w:t>
      </w:r>
      <w:r w:rsidRPr="001F6C17">
        <w:t>.</w:t>
      </w:r>
      <w:r>
        <w:t xml:space="preserve">0 per cent at 30 June 2017, decreasing from 6.0 per cent at 30 June 2016; and </w:t>
      </w:r>
    </w:p>
    <w:p w:rsidR="00BB6F1F" w:rsidRPr="000B5562" w:rsidRDefault="00BB6F1F" w:rsidP="00AC68FF">
      <w:pPr>
        <w:pStyle w:val="ListBullet"/>
      </w:pPr>
      <w:r w:rsidRPr="000B5562">
        <w:t>the government being on track to fully fund the unfunded superannuation liability by 2035 with a</w:t>
      </w:r>
      <w:r>
        <w:t xml:space="preserve"> contribution of </w:t>
      </w:r>
      <w:r w:rsidRPr="00E727C8">
        <w:t xml:space="preserve">$1.0 billion made to the State Superannuation Fund </w:t>
      </w:r>
      <w:r>
        <w:t xml:space="preserve">towards this liability </w:t>
      </w:r>
      <w:r w:rsidRPr="00E727C8">
        <w:t>in 2016</w:t>
      </w:r>
      <w:r>
        <w:t xml:space="preserve">-17 under section 90(2) of the </w:t>
      </w:r>
      <w:r>
        <w:rPr>
          <w:i/>
        </w:rPr>
        <w:t>State Superannuation Act 1988</w:t>
      </w:r>
      <w:r w:rsidRPr="000B5562">
        <w:t>.</w:t>
      </w:r>
    </w:p>
    <w:p w:rsidR="00BB6F1F" w:rsidRDefault="00BB6F1F" w:rsidP="00AC68FF">
      <w:r>
        <w:t>Fiscal aggregates are useful for assessing the impact of the financial transactions of government and its controlled agencies on the economy. These measures, derived from the audited financial statements in Chapter 4, are shown in Table 2.1.</w:t>
      </w:r>
    </w:p>
    <w:p w:rsidR="00BB6F1F" w:rsidRDefault="00BB6F1F" w:rsidP="00AC68FF"/>
    <w:p w:rsidR="00BB6F1F" w:rsidRDefault="00BB6F1F" w:rsidP="00A171DC">
      <w:pPr>
        <w:sectPr w:rsidR="00BB6F1F" w:rsidSect="00AC68FF">
          <w:type w:val="continuous"/>
          <w:pgSz w:w="11907" w:h="16839" w:code="9"/>
          <w:pgMar w:top="1134" w:right="1134" w:bottom="1134" w:left="1134" w:header="624" w:footer="567" w:gutter="0"/>
          <w:cols w:num="2" w:space="567"/>
          <w:docGrid w:linePitch="360"/>
        </w:sectPr>
      </w:pPr>
    </w:p>
    <w:p w:rsidR="00BB6F1F" w:rsidRPr="00897E1B" w:rsidRDefault="00BB6F1F" w:rsidP="006C0F1F">
      <w:pPr>
        <w:pStyle w:val="TableHeading"/>
        <w:spacing w:before="0"/>
        <w:rPr>
          <w:rStyle w:val="TableUnitsChar"/>
          <w:bCs/>
          <w:lang w:val="en-US"/>
        </w:rPr>
      </w:pPr>
      <w:r w:rsidRPr="00217AA1">
        <w:lastRenderedPageBreak/>
        <w:t>T</w:t>
      </w:r>
      <w:r>
        <w:t>able 2.1:</w:t>
      </w:r>
      <w:r>
        <w:tab/>
      </w:r>
      <w:r w:rsidRPr="00217AA1">
        <w:t xml:space="preserve">Key fiscal </w:t>
      </w:r>
      <w:r w:rsidRPr="00AC68FF">
        <w:t>aggregates</w:t>
      </w:r>
      <w:r w:rsidRPr="00217AA1">
        <w:t xml:space="preserve"> for the general government sector </w:t>
      </w:r>
      <w:r w:rsidRPr="00217AA1">
        <w:tab/>
      </w:r>
      <w:r w:rsidRPr="00AC68FF">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6917"/>
        <w:gridCol w:w="907"/>
        <w:gridCol w:w="907"/>
        <w:gridCol w:w="907"/>
      </w:tblGrid>
      <w:tr w:rsidR="00CD6FC0" w:rsidRPr="00897E1B" w:rsidTr="00CD6FC0">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6917" w:type="dxa"/>
            <w:tcBorders>
              <w:top w:val="nil"/>
              <w:left w:val="nil"/>
              <w:right w:val="nil"/>
            </w:tcBorders>
            <w:shd w:val="solid" w:color="000000" w:fill="auto"/>
          </w:tcPr>
          <w:p w:rsidR="00CD6FC0" w:rsidRPr="00897E1B" w:rsidRDefault="00CD6FC0" w:rsidP="00AC68FF">
            <w:pPr>
              <w:autoSpaceDE w:val="0"/>
              <w:autoSpaceDN w:val="0"/>
              <w:adjustRightInd w:val="0"/>
              <w:rPr>
                <w:rFonts w:eastAsiaTheme="minorEastAsia" w:cs="Calibri"/>
                <w:i w:val="0"/>
                <w:iCs/>
                <w:color w:val="FFFFFF"/>
                <w:lang w:eastAsia="en-AU"/>
              </w:rPr>
            </w:pPr>
            <w:r w:rsidRPr="00897E1B">
              <w:rPr>
                <w:rFonts w:eastAsiaTheme="minorEastAsia" w:cs="Calibri"/>
                <w:iCs/>
                <w:color w:val="FFFFFF"/>
                <w:lang w:eastAsia="en-AU"/>
              </w:rPr>
              <w:t xml:space="preserve"> </w:t>
            </w:r>
          </w:p>
          <w:p w:rsidR="00CD6FC0" w:rsidRPr="00897E1B" w:rsidRDefault="00CD6FC0" w:rsidP="00AC68FF">
            <w:pPr>
              <w:autoSpaceDE w:val="0"/>
              <w:autoSpaceDN w:val="0"/>
              <w:adjustRightInd w:val="0"/>
              <w:rPr>
                <w:rFonts w:eastAsiaTheme="minorEastAsia" w:cs="Calibri"/>
                <w:iCs/>
                <w:color w:val="FFFFFF"/>
                <w:lang w:eastAsia="en-AU"/>
              </w:rPr>
            </w:pPr>
            <w:r w:rsidRPr="00897E1B">
              <w:rPr>
                <w:rFonts w:eastAsiaTheme="minorEastAsia" w:cs="Calibri"/>
                <w:iCs/>
                <w:color w:val="FFFFFF"/>
                <w:lang w:eastAsia="en-AU"/>
              </w:rPr>
              <w:t xml:space="preserve"> </w:t>
            </w:r>
          </w:p>
        </w:tc>
        <w:tc>
          <w:tcPr>
            <w:tcW w:w="907" w:type="dxa"/>
            <w:tcBorders>
              <w:top w:val="nil"/>
              <w:left w:val="nil"/>
              <w:right w:val="nil"/>
            </w:tcBorders>
            <w:shd w:val="solid" w:color="000000" w:fill="auto"/>
          </w:tcPr>
          <w:p w:rsidR="00CD6FC0" w:rsidRPr="00897E1B" w:rsidRDefault="00CD6FC0" w:rsidP="00CD6FC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897E1B">
              <w:rPr>
                <w:rFonts w:eastAsiaTheme="minorEastAsia" w:cs="Calibri"/>
                <w:iCs/>
                <w:color w:val="FFFFFF"/>
                <w:szCs w:val="18"/>
                <w:lang w:eastAsia="en-AU"/>
              </w:rPr>
              <w:t>2016</w:t>
            </w:r>
            <w:r>
              <w:rPr>
                <w:rFonts w:eastAsiaTheme="minorEastAsia" w:cs="Calibri"/>
                <w:iCs/>
                <w:color w:val="FFFFFF"/>
                <w:szCs w:val="18"/>
                <w:lang w:eastAsia="en-AU"/>
              </w:rPr>
              <w:t xml:space="preserve"> </w:t>
            </w:r>
            <w:r>
              <w:rPr>
                <w:rFonts w:eastAsiaTheme="minorEastAsia" w:cs="Calibri"/>
                <w:iCs/>
                <w:color w:val="FFFFFF"/>
                <w:szCs w:val="18"/>
                <w:lang w:eastAsia="en-AU"/>
              </w:rPr>
              <w:br/>
            </w:r>
            <w:r w:rsidRPr="00897E1B">
              <w:rPr>
                <w:rFonts w:eastAsiaTheme="minorEastAsia" w:cs="Calibri"/>
                <w:iCs/>
                <w:color w:val="FFFFFF"/>
                <w:szCs w:val="18"/>
                <w:lang w:eastAsia="en-AU"/>
              </w:rPr>
              <w:t>actual</w:t>
            </w:r>
          </w:p>
        </w:tc>
        <w:tc>
          <w:tcPr>
            <w:tcW w:w="907" w:type="dxa"/>
            <w:tcBorders>
              <w:top w:val="nil"/>
              <w:left w:val="nil"/>
              <w:right w:val="nil"/>
            </w:tcBorders>
            <w:shd w:val="solid" w:color="000000" w:fill="auto"/>
          </w:tcPr>
          <w:p w:rsidR="00CD6FC0" w:rsidRPr="00897E1B" w:rsidRDefault="00CD6FC0" w:rsidP="00CD6FC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897E1B">
              <w:rPr>
                <w:rFonts w:eastAsiaTheme="minorEastAsia" w:cs="Calibri"/>
                <w:iCs/>
                <w:color w:val="FFFFFF"/>
                <w:szCs w:val="18"/>
                <w:lang w:eastAsia="en-AU"/>
              </w:rPr>
              <w:t>2017</w:t>
            </w:r>
            <w:r>
              <w:rPr>
                <w:rFonts w:eastAsiaTheme="minorEastAsia" w:cs="Calibri"/>
                <w:iCs/>
                <w:color w:val="FFFFFF"/>
                <w:szCs w:val="18"/>
                <w:lang w:eastAsia="en-AU"/>
              </w:rPr>
              <w:br/>
            </w:r>
            <w:r w:rsidRPr="00897E1B">
              <w:rPr>
                <w:rFonts w:eastAsiaTheme="minorEastAsia" w:cs="Calibri"/>
                <w:iCs/>
                <w:color w:val="FFFFFF"/>
                <w:szCs w:val="18"/>
                <w:lang w:eastAsia="en-AU"/>
              </w:rPr>
              <w:t>actual</w:t>
            </w:r>
          </w:p>
        </w:tc>
        <w:tc>
          <w:tcPr>
            <w:tcW w:w="907" w:type="dxa"/>
            <w:tcBorders>
              <w:top w:val="nil"/>
              <w:left w:val="nil"/>
              <w:right w:val="nil"/>
            </w:tcBorders>
            <w:shd w:val="solid" w:color="000000" w:fill="auto"/>
          </w:tcPr>
          <w:p w:rsidR="00CD6FC0" w:rsidRPr="00897E1B" w:rsidRDefault="00CD6FC0" w:rsidP="00CD6FC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897E1B">
              <w:rPr>
                <w:rFonts w:eastAsiaTheme="minorEastAsia" w:cs="Calibri"/>
                <w:iCs/>
                <w:color w:val="FFFFFF"/>
                <w:szCs w:val="18"/>
                <w:lang w:eastAsia="en-AU"/>
              </w:rPr>
              <w:t>2017</w:t>
            </w:r>
            <w:r>
              <w:rPr>
                <w:rFonts w:eastAsiaTheme="minorEastAsia" w:cs="Calibri"/>
                <w:iCs/>
                <w:color w:val="FFFFFF"/>
                <w:szCs w:val="18"/>
                <w:lang w:eastAsia="en-AU"/>
              </w:rPr>
              <w:t xml:space="preserve"> </w:t>
            </w:r>
            <w:r w:rsidRPr="00897E1B">
              <w:rPr>
                <w:rFonts w:eastAsiaTheme="minorEastAsia" w:cs="Calibri"/>
                <w:iCs/>
                <w:color w:val="FFFFFF"/>
                <w:szCs w:val="18"/>
                <w:lang w:eastAsia="en-AU"/>
              </w:rPr>
              <w:t>revised</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Operating statement aggregates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Net result from transactions – net operating balance</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2 664</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2 709</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1 344</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Net result</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1 817</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2 559</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1 049</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Net lending/(borrowing)</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1 876</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1 055</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315</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Comprehensive result – total change in net worth</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15 303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16 279</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8 585</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Cash surplus/(deficit)</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1 129</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(1 467)</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(3 798)</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Balance sheet aggregates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vertAlign w:val="superscript"/>
                <w:lang w:eastAsia="en-AU"/>
              </w:rPr>
            </w:pPr>
            <w:r w:rsidRPr="00897E1B">
              <w:rPr>
                <w:rFonts w:eastAsiaTheme="minorEastAsia" w:cs="Calibri"/>
                <w:color w:val="000000"/>
                <w:szCs w:val="18"/>
                <w:lang w:eastAsia="en-AU"/>
              </w:rPr>
              <w:t xml:space="preserve">Net worth </w:t>
            </w:r>
            <w:r w:rsidRPr="00897E1B">
              <w:rPr>
                <w:rFonts w:eastAsiaTheme="minorEastAsia" w:cs="Calibri"/>
                <w:color w:val="000000"/>
                <w:szCs w:val="18"/>
                <w:vertAlign w:val="superscript"/>
                <w:lang w:eastAsia="en-AU"/>
              </w:rPr>
              <w:t>(a)</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151 798</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168 027</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160 229</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Net financial worth</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35 984</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44 178</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39 993</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Net financial liabilities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58 727</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48 331</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50 716</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Net debt</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22 309</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15 762</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18 124</w:t>
            </w:r>
          </w:p>
        </w:tc>
      </w:tr>
      <w:tr w:rsidR="00BB6F1F" w:rsidRPr="00897E1B"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lang w:eastAsia="en-AU"/>
              </w:rPr>
            </w:pPr>
            <w:r w:rsidRPr="00897E1B">
              <w:rPr>
                <w:rFonts w:eastAsiaTheme="minorEastAsia" w:cs="Calibri"/>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897E1B">
              <w:rPr>
                <w:rFonts w:eastAsiaTheme="minorEastAsia" w:cs="Calibri"/>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897E1B">
              <w:rPr>
                <w:rFonts w:eastAsiaTheme="minorEastAsia" w:cs="Calibri"/>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897E1B">
              <w:rPr>
                <w:rFonts w:eastAsiaTheme="minorEastAsia" w:cs="Calibri"/>
                <w:color w:val="000000"/>
                <w:lang w:eastAsia="en-AU"/>
              </w:rPr>
              <w:t xml:space="preserve"> </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rsidR="00BB6F1F" w:rsidRPr="00897E1B" w:rsidRDefault="00BB6F1F" w:rsidP="00AC68FF">
            <w:pPr>
              <w:keepLines w:val="0"/>
              <w:autoSpaceDE w:val="0"/>
              <w:autoSpaceDN w:val="0"/>
              <w:adjustRightInd w:val="0"/>
              <w:jc w:val="center"/>
              <w:rPr>
                <w:rFonts w:eastAsiaTheme="minorEastAsia" w:cs="Helvetica"/>
                <w:i/>
                <w:iCs/>
                <w:color w:val="000000"/>
                <w:szCs w:val="18"/>
                <w:lang w:eastAsia="en-AU"/>
              </w:rPr>
            </w:pPr>
            <w:r w:rsidRPr="00897E1B">
              <w:rPr>
                <w:rFonts w:eastAsiaTheme="minorEastAsia" w:cs="Helvetica"/>
                <w:i/>
                <w:iCs/>
                <w:color w:val="000000"/>
                <w:szCs w:val="18"/>
                <w:lang w:eastAsia="en-AU"/>
              </w:rPr>
              <w:t>(per cent)</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897E1B">
              <w:rPr>
                <w:rFonts w:eastAsiaTheme="minorEastAsia" w:cs="Calibri"/>
                <w:i/>
                <w:i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897E1B">
              <w:rPr>
                <w:rFonts w:eastAsiaTheme="minorEastAsia" w:cs="Calibri"/>
                <w:i/>
                <w:i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897E1B">
              <w:rPr>
                <w:rFonts w:eastAsiaTheme="minorEastAsia" w:cs="Calibri"/>
                <w:i/>
                <w:iCs/>
                <w:color w:val="000000"/>
                <w:lang w:eastAsia="en-AU"/>
              </w:rPr>
              <w:t xml:space="preserve"> </w:t>
            </w:r>
          </w:p>
        </w:tc>
      </w:tr>
      <w:tr w:rsidR="00BB6F1F" w:rsidRPr="00897E1B"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lang w:eastAsia="en-AU"/>
              </w:rPr>
            </w:pPr>
            <w:r w:rsidRPr="00897E1B">
              <w:rPr>
                <w:rFonts w:eastAsiaTheme="minorEastAsia" w:cs="Calibri"/>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897E1B">
              <w:rPr>
                <w:rFonts w:eastAsiaTheme="minorEastAsia" w:cs="Calibri"/>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897E1B">
              <w:rPr>
                <w:rFonts w:eastAsiaTheme="minorEastAsia" w:cs="Calibri"/>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897E1B">
              <w:rPr>
                <w:rFonts w:eastAsiaTheme="minorEastAsia" w:cs="Calibri"/>
                <w:color w:val="000000"/>
                <w:lang w:eastAsia="en-AU"/>
              </w:rPr>
              <w:t xml:space="preserve"> </w:t>
            </w:r>
          </w:p>
        </w:tc>
      </w:tr>
      <w:tr w:rsidR="00BB6F1F" w:rsidRPr="00897E1B"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7" w:type="dxa"/>
            <w:tcBorders>
              <w:top w:val="nil"/>
              <w:bottom w:val="single" w:sz="12" w:space="0" w:color="000000"/>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Net debt to GSP</w:t>
            </w:r>
          </w:p>
        </w:tc>
        <w:tc>
          <w:tcPr>
            <w:tcW w:w="907" w:type="dxa"/>
            <w:tcBorders>
              <w:top w:val="nil"/>
              <w:bottom w:val="single" w:sz="12" w:space="0" w:color="000000"/>
            </w:tcBorders>
          </w:tcPr>
          <w:p w:rsidR="00BB6F1F" w:rsidRPr="00897E1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6.0</w:t>
            </w:r>
          </w:p>
        </w:tc>
        <w:tc>
          <w:tcPr>
            <w:tcW w:w="907" w:type="dxa"/>
            <w:tcBorders>
              <w:top w:val="nil"/>
              <w:bottom w:val="single" w:sz="12" w:space="0" w:color="000000"/>
            </w:tcBorders>
          </w:tcPr>
          <w:p w:rsidR="00BB6F1F" w:rsidRPr="00897E1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4.0</w:t>
            </w:r>
          </w:p>
        </w:tc>
        <w:tc>
          <w:tcPr>
            <w:tcW w:w="907" w:type="dxa"/>
            <w:tcBorders>
              <w:top w:val="nil"/>
              <w:bottom w:val="single" w:sz="12" w:space="0" w:color="000000"/>
            </w:tcBorders>
          </w:tcPr>
          <w:p w:rsidR="00BB6F1F" w:rsidRPr="00897E1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4.6</w:t>
            </w:r>
          </w:p>
        </w:tc>
      </w:tr>
    </w:tbl>
    <w:p w:rsidR="00BB6F1F" w:rsidRDefault="00BB6F1F" w:rsidP="00AC68FF">
      <w:pPr>
        <w:pStyle w:val="Source"/>
      </w:pPr>
      <w:r>
        <w:t>Source: Department of Treasury and Finance</w:t>
      </w:r>
    </w:p>
    <w:p w:rsidR="00BB6F1F" w:rsidRDefault="00BB6F1F" w:rsidP="00AC68FF">
      <w:pPr>
        <w:pStyle w:val="Note"/>
      </w:pPr>
      <w:r>
        <w:t>Note:</w:t>
      </w:r>
    </w:p>
    <w:p w:rsidR="00BB6F1F" w:rsidRPr="0074673A" w:rsidRDefault="00BB6F1F" w:rsidP="00AC68FF">
      <w:pPr>
        <w:pStyle w:val="Note"/>
      </w:pPr>
      <w:r>
        <w:t>(a)</w:t>
      </w:r>
      <w:r>
        <w:tab/>
      </w:r>
      <w:r w:rsidRPr="0074673A">
        <w:t>June 2016 comparative figures have been restated to reflect an adjustment to the Department of Environment, Land, Water and Planning</w:t>
      </w:r>
      <w:r>
        <w:t>’</w:t>
      </w:r>
      <w:r w:rsidRPr="0074673A">
        <w:t>s intangible produced assets</w:t>
      </w:r>
      <w:r>
        <w:t xml:space="preserve"> </w:t>
      </w:r>
      <w:r w:rsidRPr="0074673A">
        <w:t xml:space="preserve">due to the </w:t>
      </w:r>
      <w:r>
        <w:t xml:space="preserve">first-time </w:t>
      </w:r>
      <w:r w:rsidRPr="0074673A">
        <w:t>recognition of Renewable Energy Certificates</w:t>
      </w:r>
      <w:r>
        <w:t>.</w:t>
      </w:r>
    </w:p>
    <w:p w:rsidR="00BB6F1F" w:rsidRDefault="00BB6F1F" w:rsidP="00AC68FF"/>
    <w:p w:rsidR="00BB6F1F" w:rsidRDefault="00BB6F1F" w:rsidP="00AC68FF">
      <w:pPr>
        <w:sectPr w:rsidR="00BB6F1F" w:rsidSect="00AC68FF">
          <w:footerReference w:type="even" r:id="rId20"/>
          <w:type w:val="continuous"/>
          <w:pgSz w:w="11906" w:h="16838" w:code="9"/>
          <w:pgMar w:top="1134" w:right="1134" w:bottom="1134" w:left="1134" w:header="624" w:footer="567" w:gutter="0"/>
          <w:cols w:space="708"/>
          <w:docGrid w:linePitch="360"/>
        </w:sectPr>
      </w:pPr>
    </w:p>
    <w:p w:rsidR="00BB6F1F" w:rsidRDefault="00BB6F1F" w:rsidP="00AC68FF">
      <w:r>
        <w:lastRenderedPageBreak/>
        <w:t xml:space="preserve">The </w:t>
      </w:r>
      <w:r w:rsidRPr="003822A9">
        <w:rPr>
          <w:b/>
        </w:rPr>
        <w:t>net result from transactions</w:t>
      </w:r>
      <w:r>
        <w:t xml:space="preserve"> surplus of $2.7 billion was</w:t>
      </w:r>
      <w:r w:rsidRPr="00A00AAC">
        <w:t xml:space="preserve"> </w:t>
      </w:r>
      <w:r>
        <w:t xml:space="preserve">broadly consistent with that achieved in the previous year and </w:t>
      </w:r>
      <w:r w:rsidRPr="00A00AAC">
        <w:t>$</w:t>
      </w:r>
      <w:r>
        <w:t>1.4 billion higher than the revised 2016</w:t>
      </w:r>
      <w:r>
        <w:noBreakHyphen/>
        <w:t>17 estimate, largely reflecting differences in the timing of activity across the major departments.</w:t>
      </w:r>
    </w:p>
    <w:p w:rsidR="00BB6F1F" w:rsidRDefault="00BB6F1F" w:rsidP="00AC68FF">
      <w:r w:rsidRPr="00F60B21">
        <w:t xml:space="preserve">The </w:t>
      </w:r>
      <w:r w:rsidRPr="00F60B21">
        <w:rPr>
          <w:b/>
        </w:rPr>
        <w:t>net result</w:t>
      </w:r>
      <w:r w:rsidRPr="00F60B21">
        <w:t xml:space="preserve"> is a further measure of financial performance for the period, including the impact of market movements on the v</w:t>
      </w:r>
      <w:r>
        <w:t>alue</w:t>
      </w:r>
      <w:r w:rsidRPr="00F60B21">
        <w:t xml:space="preserve"> of assets and liabilities. The 201</w:t>
      </w:r>
      <w:r>
        <w:t>6</w:t>
      </w:r>
      <w:r>
        <w:noBreakHyphen/>
      </w:r>
      <w:r w:rsidRPr="00F60B21">
        <w:t>1</w:t>
      </w:r>
      <w:r>
        <w:t>7</w:t>
      </w:r>
      <w:r w:rsidRPr="00F60B21">
        <w:t xml:space="preserve"> net result was </w:t>
      </w:r>
      <w:r>
        <w:t xml:space="preserve">$1.5 billion </w:t>
      </w:r>
      <w:r w:rsidRPr="00F60B21">
        <w:t>higher than the revised budget</w:t>
      </w:r>
      <w:r>
        <w:t xml:space="preserve"> primarily due to the same reasons as explained for the net result from transactions. </w:t>
      </w:r>
    </w:p>
    <w:p w:rsidR="00BB6F1F" w:rsidRDefault="00BB6F1F" w:rsidP="00AC68FF">
      <w:r>
        <w:t xml:space="preserve">The </w:t>
      </w:r>
      <w:r w:rsidRPr="003822A9">
        <w:rPr>
          <w:b/>
        </w:rPr>
        <w:t>net lending</w:t>
      </w:r>
      <w:r>
        <w:t xml:space="preserve"> measure broadly reflects the net impact of the general government sector on the economy and financial markets, including the impact of operating and capital investing transactions. N</w:t>
      </w:r>
      <w:r w:rsidRPr="00F508FA">
        <w:t xml:space="preserve">et lending </w:t>
      </w:r>
      <w:r>
        <w:t>of $1.1</w:t>
      </w:r>
      <w:r w:rsidRPr="00221B07">
        <w:t xml:space="preserve"> billion </w:t>
      </w:r>
      <w:r w:rsidRPr="00F508FA">
        <w:t>for 201</w:t>
      </w:r>
      <w:r>
        <w:t>6</w:t>
      </w:r>
      <w:r>
        <w:noBreakHyphen/>
      </w:r>
      <w:r w:rsidRPr="00F508FA">
        <w:t>1</w:t>
      </w:r>
      <w:r>
        <w:t>7</w:t>
      </w:r>
      <w:r w:rsidRPr="00F508FA">
        <w:t xml:space="preserve"> </w:t>
      </w:r>
      <w:r>
        <w:t>was $740 million higher than</w:t>
      </w:r>
      <w:r w:rsidRPr="00F508FA">
        <w:t xml:space="preserve"> the </w:t>
      </w:r>
      <w:r>
        <w:t>revised estimate mainly attributable to the flow through impact of the higher net result from transactions compared to the revised estimate</w:t>
      </w:r>
      <w:r w:rsidRPr="00F508FA">
        <w:t>.</w:t>
      </w:r>
    </w:p>
    <w:p w:rsidR="00BB6F1F" w:rsidRDefault="00BB6F1F" w:rsidP="00AC68FF">
      <w:r>
        <w:t>The 2016</w:t>
      </w:r>
      <w:r>
        <w:noBreakHyphen/>
        <w:t xml:space="preserve">17 </w:t>
      </w:r>
      <w:r w:rsidRPr="003822A9">
        <w:rPr>
          <w:b/>
        </w:rPr>
        <w:t>comprehensive result – total change in net worth</w:t>
      </w:r>
      <w:r>
        <w:t xml:space="preserve"> was </w:t>
      </w:r>
      <w:r w:rsidRPr="00AB36D7">
        <w:t>$</w:t>
      </w:r>
      <w:r>
        <w:t>976 million</w:t>
      </w:r>
      <w:r w:rsidRPr="00AB36D7">
        <w:t xml:space="preserve"> </w:t>
      </w:r>
      <w:r>
        <w:t>higher</w:t>
      </w:r>
      <w:r w:rsidRPr="00AB36D7">
        <w:t xml:space="preserve"> than 201</w:t>
      </w:r>
      <w:r>
        <w:t>5</w:t>
      </w:r>
      <w:r>
        <w:noBreakHyphen/>
      </w:r>
      <w:r w:rsidRPr="00AB36D7">
        <w:t>1</w:t>
      </w:r>
      <w:r>
        <w:t xml:space="preserve">6. This primarily reflects the revaluation of the general government sector’s assets and liabilities driven by financial market movements which are reflected as other economic flows in the operating statement. </w:t>
      </w:r>
    </w:p>
    <w:p w:rsidR="00BB6F1F" w:rsidRDefault="00BB6F1F" w:rsidP="00AC68FF">
      <w:r w:rsidRPr="00DF46BB">
        <w:lastRenderedPageBreak/>
        <w:t>The increase of $</w:t>
      </w:r>
      <w:r>
        <w:t>7.7</w:t>
      </w:r>
      <w:r w:rsidRPr="00DF46BB">
        <w:t xml:space="preserve"> billion from the revised budget reflects</w:t>
      </w:r>
      <w:r>
        <w:t xml:space="preserve"> the</w:t>
      </w:r>
      <w:r w:rsidRPr="00DF46BB">
        <w:t xml:space="preserve"> </w:t>
      </w:r>
      <w:r>
        <w:t xml:space="preserve">increase in net result from transactions as well as </w:t>
      </w:r>
      <w:r w:rsidRPr="00DF46BB">
        <w:t>the impact of the revaluation of the land</w:t>
      </w:r>
      <w:r>
        <w:t xml:space="preserve"> under road assets in the year</w:t>
      </w:r>
      <w:r w:rsidRPr="00DF46BB">
        <w:t xml:space="preserve">. It is also attributable to the gain on investments of the general government sector in the public non-financial corporations (PNFC) sector, caused primarily by the increase in the </w:t>
      </w:r>
      <w:r>
        <w:t>value of net assets of the Director of Housing, Victorian Rail Track and the w</w:t>
      </w:r>
      <w:r w:rsidRPr="00DF46BB">
        <w:t xml:space="preserve">ater </w:t>
      </w:r>
      <w:r>
        <w:t>c</w:t>
      </w:r>
      <w:r w:rsidRPr="00DF46BB">
        <w:t>orporations.</w:t>
      </w:r>
    </w:p>
    <w:p w:rsidR="00BB6F1F" w:rsidRDefault="00BB6F1F" w:rsidP="00AC68FF">
      <w:r>
        <w:t xml:space="preserve">The </w:t>
      </w:r>
      <w:r w:rsidRPr="00265DDD">
        <w:rPr>
          <w:b/>
        </w:rPr>
        <w:t xml:space="preserve">cash </w:t>
      </w:r>
      <w:r>
        <w:rPr>
          <w:b/>
        </w:rPr>
        <w:t>deficit</w:t>
      </w:r>
      <w:r w:rsidRPr="00265DDD">
        <w:rPr>
          <w:b/>
        </w:rPr>
        <w:t xml:space="preserve"> </w:t>
      </w:r>
      <w:r w:rsidRPr="00265DDD">
        <w:t>position in 201</w:t>
      </w:r>
      <w:r>
        <w:t>6</w:t>
      </w:r>
      <w:r>
        <w:noBreakHyphen/>
      </w:r>
      <w:r w:rsidRPr="00265DDD">
        <w:t>1</w:t>
      </w:r>
      <w:r>
        <w:t>7 reflects the sum of net cash flows from operating and investing activities. The reduction from a surplus position in 2015</w:t>
      </w:r>
      <w:r>
        <w:noBreakHyphen/>
        <w:t>16 to a deficit position in 2016</w:t>
      </w:r>
      <w:r>
        <w:noBreakHyphen/>
        <w:t>17 was du</w:t>
      </w:r>
      <w:r w:rsidRPr="000C78A9">
        <w:t xml:space="preserve">e to higher </w:t>
      </w:r>
      <w:r>
        <w:t>infrastructure investment in 2016-17, primarily in the transport sector.</w:t>
      </w:r>
    </w:p>
    <w:p w:rsidR="00BB6F1F" w:rsidRDefault="00BB6F1F">
      <w:pPr>
        <w:keepLines w:val="0"/>
        <w:rPr>
          <w:b/>
        </w:rPr>
      </w:pPr>
      <w:r>
        <w:rPr>
          <w:b/>
        </w:rPr>
        <w:br w:type="page"/>
      </w:r>
    </w:p>
    <w:p w:rsidR="00BB6F1F" w:rsidRDefault="00BB6F1F" w:rsidP="00AC68FF">
      <w:r w:rsidRPr="008C40FF">
        <w:rPr>
          <w:b/>
        </w:rPr>
        <w:lastRenderedPageBreak/>
        <w:t>Net worth</w:t>
      </w:r>
      <w:r>
        <w:t xml:space="preserve"> is a measure of economic wealth and is equal to net assets outlined in Table 2.4. The increase from the 2015-16 financial year</w:t>
      </w:r>
      <w:r w:rsidRPr="009D72B7">
        <w:t xml:space="preserve"> is primarily </w:t>
      </w:r>
      <w:r>
        <w:t>due to</w:t>
      </w:r>
      <w:r w:rsidRPr="009D72B7">
        <w:t xml:space="preserve"> the</w:t>
      </w:r>
      <w:r>
        <w:t xml:space="preserve"> revaluation of assets in 2016-17 and a reduction in the superannuation liability, primarily due to an increase in bond yields that underlie the superannuation valuation. The higher balance compared with the revised estimate is mainly due to lower borro</w:t>
      </w:r>
      <w:r w:rsidRPr="00DF46BB">
        <w:t>wings</w:t>
      </w:r>
      <w:r>
        <w:t xml:space="preserve"> than expected</w:t>
      </w:r>
      <w:r w:rsidRPr="00DF46BB">
        <w:t xml:space="preserve">, </w:t>
      </w:r>
      <w:r>
        <w:t xml:space="preserve">and higher than budgeted asset </w:t>
      </w:r>
      <w:r w:rsidRPr="00DF46BB">
        <w:t>revaluation</w:t>
      </w:r>
      <w:r>
        <w:t xml:space="preserve"> adjustments of </w:t>
      </w:r>
      <w:r w:rsidRPr="00DF46BB">
        <w:t>land under roads</w:t>
      </w:r>
      <w:r>
        <w:t xml:space="preserve"> and the investment</w:t>
      </w:r>
      <w:r w:rsidRPr="00DF46BB">
        <w:t xml:space="preserve"> of the general government sector in the </w:t>
      </w:r>
      <w:r>
        <w:t>PNFC</w:t>
      </w:r>
      <w:r w:rsidRPr="00DF46BB">
        <w:t xml:space="preserve"> sector</w:t>
      </w:r>
      <w:r>
        <w:t>.</w:t>
      </w:r>
    </w:p>
    <w:p w:rsidR="00BB6F1F" w:rsidRDefault="00BB6F1F" w:rsidP="00AC68FF">
      <w:r>
        <w:t xml:space="preserve">The year on year movement in </w:t>
      </w:r>
      <w:r w:rsidRPr="00E3684D">
        <w:rPr>
          <w:b/>
        </w:rPr>
        <w:t>net financial worth</w:t>
      </w:r>
      <w:r>
        <w:t xml:space="preserve">, which is </w:t>
      </w:r>
      <w:r w:rsidRPr="00327BDB">
        <w:t>equal to total financial assets less total liabilities, was mainly due to the same drivers explain</w:t>
      </w:r>
      <w:r>
        <w:t>ing changes</w:t>
      </w:r>
      <w:r w:rsidRPr="00327BDB">
        <w:t xml:space="preserve"> in the net worth.</w:t>
      </w:r>
      <w:r>
        <w:t xml:space="preserve"> </w:t>
      </w:r>
    </w:p>
    <w:p w:rsidR="00BB6F1F" w:rsidRDefault="00BB6F1F" w:rsidP="00AC68FF">
      <w:pPr>
        <w:spacing w:before="0"/>
      </w:pPr>
      <w:r>
        <w:rPr>
          <w:b/>
        </w:rPr>
        <w:br w:type="column"/>
      </w:r>
      <w:r w:rsidRPr="008C40FF">
        <w:rPr>
          <w:b/>
        </w:rPr>
        <w:lastRenderedPageBreak/>
        <w:t>Net financial liabilities</w:t>
      </w:r>
      <w:r>
        <w:t xml:space="preserve"> are total liabilities less financial assets (excluding investments in other sector entities). Net financial liabilities were </w:t>
      </w:r>
      <w:r w:rsidRPr="00E3684D">
        <w:t>$</w:t>
      </w:r>
      <w:r>
        <w:t>48</w:t>
      </w:r>
      <w:r w:rsidRPr="00E3684D">
        <w:t>.</w:t>
      </w:r>
      <w:r>
        <w:t xml:space="preserve">3 billion as at 30 June 2017, </w:t>
      </w:r>
      <w:r w:rsidRPr="00E3684D">
        <w:t>$</w:t>
      </w:r>
      <w:r>
        <w:t>2.4 billion lower than in</w:t>
      </w:r>
      <w:r w:rsidRPr="00E3684D">
        <w:t xml:space="preserve"> the re</w:t>
      </w:r>
      <w:r>
        <w:t>vised budget. This decrease is primarily due to lower borrowings and higher cash and investments reflecting differences in the timing of activity across the major departments.</w:t>
      </w:r>
    </w:p>
    <w:p w:rsidR="00BB6F1F" w:rsidRDefault="00BB6F1F" w:rsidP="00AC68FF">
      <w:pPr>
        <w:rPr>
          <w:rFonts w:asciiTheme="majorHAnsi" w:hAnsiTheme="majorHAnsi"/>
          <w:b/>
          <w:spacing w:val="-2"/>
        </w:rPr>
      </w:pPr>
      <w:r w:rsidRPr="008C40FF">
        <w:rPr>
          <w:b/>
        </w:rPr>
        <w:t>Net debt</w:t>
      </w:r>
      <w:r>
        <w:t xml:space="preserve"> reflects gross debt less liquid financial assets. Net debt of $15.8 billion at 30 June 2017 was $2.4 billion lower than the revised estimates in the </w:t>
      </w:r>
      <w:r>
        <w:rPr>
          <w:i/>
        </w:rPr>
        <w:t>2017</w:t>
      </w:r>
      <w:r>
        <w:rPr>
          <w:i/>
        </w:rPr>
        <w:noBreakHyphen/>
        <w:t>18 </w:t>
      </w:r>
      <w:r w:rsidRPr="00C74AD8">
        <w:rPr>
          <w:i/>
        </w:rPr>
        <w:t>Budget</w:t>
      </w:r>
      <w:r>
        <w:rPr>
          <w:i/>
        </w:rPr>
        <w:t xml:space="preserve"> </w:t>
      </w:r>
      <w:r>
        <w:t xml:space="preserve">reflecting differences in the timing of activity across the major departments as explained in the net result from transactions. </w:t>
      </w:r>
      <w:r>
        <w:br w:type="page"/>
      </w:r>
    </w:p>
    <w:p w:rsidR="00BB6F1F" w:rsidRDefault="00BB6F1F" w:rsidP="00AC68FF">
      <w:pPr>
        <w:pStyle w:val="Heading10"/>
        <w:spacing w:before="0"/>
      </w:pPr>
      <w:r>
        <w:lastRenderedPageBreak/>
        <w:t>FINANCIAL PERFORMANCE</w:t>
      </w:r>
    </w:p>
    <w:p w:rsidR="00BB6F1F" w:rsidRDefault="00BB6F1F" w:rsidP="00AC68FF">
      <w:r>
        <w:t>Table 2.2 shows an operating surplus of $2.7 billion in 2016</w:t>
      </w:r>
      <w:r>
        <w:noBreakHyphen/>
        <w:t>17 compared with the revised 2016</w:t>
      </w:r>
      <w:r>
        <w:noBreakHyphen/>
        <w:t>17 estimate of $1.3 billion.</w:t>
      </w:r>
    </w:p>
    <w:p w:rsidR="00BB6F1F" w:rsidRDefault="00BB6F1F" w:rsidP="00AC68FF">
      <w:r>
        <w:br w:type="column"/>
      </w:r>
    </w:p>
    <w:p w:rsidR="00BB6F1F" w:rsidRDefault="00BB6F1F" w:rsidP="00AC68FF">
      <w:pPr>
        <w:sectPr w:rsidR="00BB6F1F" w:rsidSect="00AC68FF">
          <w:type w:val="continuous"/>
          <w:pgSz w:w="11906" w:h="16838" w:code="9"/>
          <w:pgMar w:top="1138" w:right="1138" w:bottom="1138" w:left="1138" w:header="619" w:footer="562" w:gutter="0"/>
          <w:cols w:num="2" w:space="708"/>
          <w:docGrid w:linePitch="360"/>
        </w:sectPr>
      </w:pPr>
    </w:p>
    <w:p w:rsidR="00BB6F1F" w:rsidRPr="00897E1B" w:rsidRDefault="00BB6F1F" w:rsidP="00AC68FF">
      <w:pPr>
        <w:pStyle w:val="TableHeading"/>
        <w:rPr>
          <w:rStyle w:val="TableUnitsChar"/>
          <w:bCs/>
          <w:lang w:val="en-US"/>
        </w:rPr>
      </w:pPr>
      <w:r>
        <w:lastRenderedPageBreak/>
        <w:t>Table 2.2:</w:t>
      </w:r>
      <w:r>
        <w:tab/>
        <w:t>Summary of operating statement</w:t>
      </w:r>
      <w:r>
        <w:tab/>
      </w:r>
      <w:r w:rsidRPr="00AC68FF">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102"/>
        <w:gridCol w:w="907"/>
        <w:gridCol w:w="907"/>
        <w:gridCol w:w="907"/>
        <w:gridCol w:w="907"/>
        <w:gridCol w:w="907"/>
      </w:tblGrid>
      <w:tr w:rsidR="00CD6FC0" w:rsidRPr="00897E1B" w:rsidTr="00CD6FC0">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right w:val="nil"/>
            </w:tcBorders>
            <w:shd w:val="solid" w:color="000000" w:fill="auto"/>
          </w:tcPr>
          <w:p w:rsidR="00CD6FC0" w:rsidRPr="00897E1B" w:rsidRDefault="00CD6FC0" w:rsidP="00AC68FF">
            <w:pPr>
              <w:autoSpaceDE w:val="0"/>
              <w:autoSpaceDN w:val="0"/>
              <w:adjustRightInd w:val="0"/>
              <w:rPr>
                <w:rFonts w:eastAsiaTheme="minorEastAsia" w:cs="Calibri"/>
                <w:iCs/>
                <w:color w:val="FFFFFF"/>
                <w:lang w:eastAsia="en-AU"/>
              </w:rPr>
            </w:pPr>
          </w:p>
        </w:tc>
        <w:tc>
          <w:tcPr>
            <w:tcW w:w="907" w:type="dxa"/>
            <w:tcBorders>
              <w:top w:val="nil"/>
              <w:left w:val="nil"/>
              <w:right w:val="nil"/>
            </w:tcBorders>
            <w:shd w:val="solid" w:color="000000" w:fill="auto"/>
          </w:tcPr>
          <w:p w:rsidR="00CD6FC0" w:rsidRPr="00897E1B" w:rsidRDefault="00CD6FC0" w:rsidP="00CD6FC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897E1B">
              <w:rPr>
                <w:rFonts w:eastAsiaTheme="minorEastAsia" w:cs="Calibri"/>
                <w:iCs/>
                <w:color w:val="FFFFFF"/>
                <w:szCs w:val="16"/>
                <w:lang w:eastAsia="en-AU"/>
              </w:rPr>
              <w:t>2017</w:t>
            </w:r>
            <w:r>
              <w:rPr>
                <w:rFonts w:eastAsiaTheme="minorEastAsia" w:cs="Calibri"/>
                <w:iCs/>
                <w:color w:val="FFFFFF"/>
                <w:szCs w:val="16"/>
                <w:lang w:eastAsia="en-AU"/>
              </w:rPr>
              <w:br/>
            </w:r>
            <w:r w:rsidRPr="00897E1B">
              <w:rPr>
                <w:rFonts w:eastAsiaTheme="minorEastAsia" w:cs="Calibri"/>
                <w:iCs/>
                <w:color w:val="FFFFFF"/>
                <w:szCs w:val="16"/>
                <w:lang w:eastAsia="en-AU"/>
              </w:rPr>
              <w:t xml:space="preserve"> actual</w:t>
            </w:r>
          </w:p>
        </w:tc>
        <w:tc>
          <w:tcPr>
            <w:tcW w:w="907" w:type="dxa"/>
            <w:tcBorders>
              <w:top w:val="nil"/>
              <w:left w:val="nil"/>
              <w:right w:val="nil"/>
            </w:tcBorders>
            <w:shd w:val="solid" w:color="000000" w:fill="auto"/>
          </w:tcPr>
          <w:p w:rsidR="00CD6FC0" w:rsidRPr="00897E1B" w:rsidRDefault="00CD6FC0" w:rsidP="00CD6FC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897E1B">
              <w:rPr>
                <w:rFonts w:eastAsiaTheme="minorEastAsia" w:cs="Calibri"/>
                <w:iCs/>
                <w:color w:val="FFFFFF"/>
                <w:szCs w:val="16"/>
                <w:lang w:eastAsia="en-AU"/>
              </w:rPr>
              <w:t>2017</w:t>
            </w:r>
            <w:r>
              <w:rPr>
                <w:rFonts w:eastAsiaTheme="minorEastAsia" w:cs="Calibri"/>
                <w:iCs/>
                <w:color w:val="FFFFFF"/>
                <w:szCs w:val="16"/>
                <w:lang w:eastAsia="en-AU"/>
              </w:rPr>
              <w:t xml:space="preserve"> </w:t>
            </w:r>
            <w:r w:rsidRPr="00897E1B">
              <w:rPr>
                <w:rFonts w:eastAsiaTheme="minorEastAsia" w:cs="Calibri"/>
                <w:iCs/>
                <w:color w:val="FFFFFF"/>
                <w:szCs w:val="16"/>
                <w:lang w:eastAsia="en-AU"/>
              </w:rPr>
              <w:t>revised</w:t>
            </w:r>
          </w:p>
        </w:tc>
        <w:tc>
          <w:tcPr>
            <w:tcW w:w="907" w:type="dxa"/>
            <w:tcBorders>
              <w:top w:val="nil"/>
              <w:left w:val="nil"/>
              <w:right w:val="nil"/>
            </w:tcBorders>
            <w:shd w:val="solid" w:color="000000" w:fill="auto"/>
          </w:tcPr>
          <w:p w:rsidR="00CD6FC0" w:rsidRPr="00897E1B" w:rsidRDefault="00CD6FC0" w:rsidP="00CD6FC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897E1B">
              <w:rPr>
                <w:rFonts w:eastAsiaTheme="minorEastAsia" w:cs="Calibri"/>
                <w:iCs/>
                <w:color w:val="FFFFFF"/>
                <w:szCs w:val="16"/>
                <w:lang w:eastAsia="en-AU"/>
              </w:rPr>
              <w:t>Revised</w:t>
            </w:r>
            <w:r>
              <w:rPr>
                <w:rFonts w:eastAsiaTheme="minorEastAsia" w:cs="Calibri"/>
                <w:iCs/>
                <w:color w:val="FFFFFF"/>
                <w:szCs w:val="16"/>
                <w:lang w:eastAsia="en-AU"/>
              </w:rPr>
              <w:t xml:space="preserve"> </w:t>
            </w:r>
            <w:r w:rsidRPr="00897E1B">
              <w:rPr>
                <w:rFonts w:eastAsiaTheme="minorEastAsia" w:cs="Calibri"/>
                <w:iCs/>
                <w:color w:val="FFFFFF"/>
                <w:szCs w:val="16"/>
                <w:lang w:eastAsia="en-AU"/>
              </w:rPr>
              <w:t>variance</w:t>
            </w:r>
          </w:p>
        </w:tc>
        <w:tc>
          <w:tcPr>
            <w:tcW w:w="907" w:type="dxa"/>
            <w:tcBorders>
              <w:top w:val="nil"/>
              <w:left w:val="nil"/>
              <w:right w:val="nil"/>
            </w:tcBorders>
            <w:shd w:val="solid" w:color="000000" w:fill="auto"/>
          </w:tcPr>
          <w:p w:rsidR="00CD6FC0" w:rsidRPr="00897E1B" w:rsidRDefault="00CD6FC0" w:rsidP="00CD6FC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897E1B">
              <w:rPr>
                <w:rFonts w:eastAsiaTheme="minorEastAsia" w:cs="Calibri"/>
                <w:iCs/>
                <w:color w:val="FFFFFF"/>
                <w:szCs w:val="16"/>
                <w:lang w:eastAsia="en-AU"/>
              </w:rPr>
              <w:t>% revised</w:t>
            </w:r>
            <w:r>
              <w:rPr>
                <w:rFonts w:eastAsiaTheme="minorEastAsia" w:cs="Calibri"/>
                <w:iCs/>
                <w:color w:val="FFFFFF"/>
                <w:szCs w:val="16"/>
                <w:lang w:eastAsia="en-AU"/>
              </w:rPr>
              <w:t xml:space="preserve"> </w:t>
            </w:r>
            <w:r w:rsidRPr="00897E1B">
              <w:rPr>
                <w:rFonts w:eastAsiaTheme="minorEastAsia" w:cs="Calibri"/>
                <w:iCs/>
                <w:color w:val="FFFFFF"/>
                <w:szCs w:val="16"/>
                <w:lang w:eastAsia="en-AU"/>
              </w:rPr>
              <w:t>variance</w:t>
            </w:r>
          </w:p>
        </w:tc>
        <w:tc>
          <w:tcPr>
            <w:tcW w:w="907" w:type="dxa"/>
            <w:tcBorders>
              <w:top w:val="nil"/>
              <w:left w:val="nil"/>
              <w:right w:val="nil"/>
            </w:tcBorders>
            <w:shd w:val="solid" w:color="000000" w:fill="auto"/>
          </w:tcPr>
          <w:p w:rsidR="00CD6FC0" w:rsidRPr="00897E1B" w:rsidRDefault="00CD6FC0" w:rsidP="00CD6FC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897E1B">
              <w:rPr>
                <w:rFonts w:eastAsiaTheme="minorEastAsia" w:cs="Calibri"/>
                <w:iCs/>
                <w:color w:val="FFFFFF"/>
                <w:szCs w:val="16"/>
                <w:lang w:eastAsia="en-AU"/>
              </w:rPr>
              <w:t>2016</w:t>
            </w:r>
            <w:r>
              <w:rPr>
                <w:rFonts w:eastAsiaTheme="minorEastAsia" w:cs="Calibri"/>
                <w:iCs/>
                <w:color w:val="FFFFFF"/>
                <w:szCs w:val="16"/>
                <w:lang w:eastAsia="en-AU"/>
              </w:rPr>
              <w:br/>
            </w:r>
            <w:r w:rsidRPr="00897E1B">
              <w:rPr>
                <w:rFonts w:eastAsiaTheme="minorEastAsia" w:cs="Calibri"/>
                <w:iCs/>
                <w:color w:val="FFFFFF"/>
                <w:szCs w:val="16"/>
                <w:lang w:eastAsia="en-AU"/>
              </w:rPr>
              <w:t>actual</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Revenue from transactions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Taxation revenue</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22 272</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22 189</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19 896</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Interest revenue</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863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889</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(26)</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786</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Dividends, income tax equivalent and rate equivalent revenue</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658</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564</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94</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17</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848</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Sales of goods and services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6 939</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6 886</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6 671</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Grant revenue</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27 542</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27 526</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25 406</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Other revenue</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2 645</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2 657</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3 108</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Total revenue from transactions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60 918</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60 711</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208</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56 716</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Expenses from transactions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Employee expenses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21 497</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22 060</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(564)</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20 002</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Net superannuation interest expense</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692</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692</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878</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Other superannuation</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2 332</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2 343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2 123</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Depreciation</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2 616</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2 671</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(55)</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2 504</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Interest expense</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2 028</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2 012</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2 076</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Other operating expenses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18 575</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19 210</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(636)</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17 905</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Grant expense</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10 471</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10 378</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8 564</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Total expenses from transactions</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58 210</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59 367</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(1 157)</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54 052</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Net result from transactions – net operating balance</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2 709</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1 344</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1 365</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102</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2 664</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Total other economic flows included in net result</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(150)</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(295)</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145</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(49)</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(847)</w:t>
            </w:r>
          </w:p>
        </w:tc>
      </w:tr>
      <w:tr w:rsidR="00BB6F1F" w:rsidRPr="00897E1B"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bottom w:val="single" w:sz="12" w:space="0" w:color="000000"/>
            </w:tcBorders>
          </w:tcPr>
          <w:p w:rsidR="00BB6F1F" w:rsidRPr="00897E1B" w:rsidRDefault="00BB6F1F" w:rsidP="00AC68FF">
            <w:pPr>
              <w:keepLines w:val="0"/>
              <w:autoSpaceDE w:val="0"/>
              <w:autoSpaceDN w:val="0"/>
              <w:adjustRightInd w:val="0"/>
              <w:rPr>
                <w:rFonts w:eastAsiaTheme="minorEastAsia" w:cs="Calibri"/>
                <w:bCs/>
                <w:color w:val="000000"/>
                <w:szCs w:val="18"/>
                <w:lang w:eastAsia="en-AU"/>
              </w:rPr>
            </w:pPr>
            <w:r w:rsidRPr="00897E1B">
              <w:rPr>
                <w:rFonts w:eastAsiaTheme="minorEastAsia" w:cs="Calibri"/>
                <w:bCs/>
                <w:color w:val="000000"/>
                <w:szCs w:val="18"/>
                <w:lang w:eastAsia="en-AU"/>
              </w:rPr>
              <w:t>Net result</w:t>
            </w:r>
          </w:p>
        </w:tc>
        <w:tc>
          <w:tcPr>
            <w:tcW w:w="907" w:type="dxa"/>
            <w:tcBorders>
              <w:top w:val="single" w:sz="6" w:space="0" w:color="000000"/>
              <w:bottom w:val="single" w:sz="12" w:space="0" w:color="000000"/>
            </w:tcBorders>
          </w:tcPr>
          <w:p w:rsidR="00BB6F1F" w:rsidRPr="00897E1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897E1B">
              <w:rPr>
                <w:rFonts w:eastAsiaTheme="minorEastAsia" w:cs="Calibri"/>
                <w:bCs/>
                <w:color w:val="000000"/>
                <w:szCs w:val="18"/>
                <w:lang w:eastAsia="en-AU"/>
              </w:rPr>
              <w:t>2 559</w:t>
            </w:r>
          </w:p>
        </w:tc>
        <w:tc>
          <w:tcPr>
            <w:tcW w:w="907" w:type="dxa"/>
            <w:tcBorders>
              <w:top w:val="single" w:sz="6" w:space="0" w:color="000000"/>
              <w:bottom w:val="single" w:sz="12" w:space="0" w:color="000000"/>
            </w:tcBorders>
          </w:tcPr>
          <w:p w:rsidR="00BB6F1F" w:rsidRPr="00897E1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897E1B">
              <w:rPr>
                <w:rFonts w:eastAsiaTheme="minorEastAsia" w:cs="Calibri"/>
                <w:bCs/>
                <w:color w:val="000000"/>
                <w:szCs w:val="18"/>
                <w:lang w:eastAsia="en-AU"/>
              </w:rPr>
              <w:t>1 049</w:t>
            </w:r>
          </w:p>
        </w:tc>
        <w:tc>
          <w:tcPr>
            <w:tcW w:w="907" w:type="dxa"/>
            <w:tcBorders>
              <w:top w:val="single" w:sz="6" w:space="0" w:color="000000"/>
              <w:bottom w:val="single" w:sz="12" w:space="0" w:color="000000"/>
            </w:tcBorders>
          </w:tcPr>
          <w:p w:rsidR="00BB6F1F" w:rsidRPr="00897E1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897E1B">
              <w:rPr>
                <w:rFonts w:eastAsiaTheme="minorEastAsia" w:cs="Calibri"/>
                <w:bCs/>
                <w:color w:val="000000"/>
                <w:szCs w:val="18"/>
                <w:lang w:eastAsia="en-AU"/>
              </w:rPr>
              <w:t>1 510</w:t>
            </w:r>
          </w:p>
        </w:tc>
        <w:tc>
          <w:tcPr>
            <w:tcW w:w="907" w:type="dxa"/>
            <w:tcBorders>
              <w:top w:val="single" w:sz="6" w:space="0" w:color="000000"/>
              <w:bottom w:val="single" w:sz="12" w:space="0" w:color="000000"/>
            </w:tcBorders>
          </w:tcPr>
          <w:p w:rsidR="00BB6F1F" w:rsidRPr="00897E1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144</w:t>
            </w:r>
          </w:p>
        </w:tc>
        <w:tc>
          <w:tcPr>
            <w:tcW w:w="907" w:type="dxa"/>
            <w:tcBorders>
              <w:top w:val="single" w:sz="6" w:space="0" w:color="000000"/>
              <w:bottom w:val="single" w:sz="12" w:space="0" w:color="000000"/>
            </w:tcBorders>
          </w:tcPr>
          <w:p w:rsidR="00BB6F1F" w:rsidRPr="00897E1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897E1B">
              <w:rPr>
                <w:rFonts w:eastAsiaTheme="minorEastAsia" w:cs="Calibri"/>
                <w:bCs/>
                <w:color w:val="000000"/>
                <w:szCs w:val="18"/>
                <w:lang w:eastAsia="en-AU"/>
              </w:rPr>
              <w:t>1 817</w:t>
            </w:r>
          </w:p>
        </w:tc>
      </w:tr>
    </w:tbl>
    <w:p w:rsidR="00BB6F1F" w:rsidRDefault="00BB6F1F" w:rsidP="00AC68FF">
      <w:pPr>
        <w:pStyle w:val="Note"/>
      </w:pPr>
    </w:p>
    <w:p w:rsidR="00BB6F1F" w:rsidRDefault="00BB6F1F" w:rsidP="00AC68FF">
      <w:pPr>
        <w:pStyle w:val="Note"/>
        <w:ind w:left="0" w:firstLine="0"/>
      </w:pPr>
    </w:p>
    <w:p w:rsidR="00BB6F1F" w:rsidRDefault="00BB6F1F" w:rsidP="00AC68FF">
      <w:pPr>
        <w:sectPr w:rsidR="00BB6F1F" w:rsidSect="00AC68FF">
          <w:type w:val="continuous"/>
          <w:pgSz w:w="11906" w:h="16838" w:code="9"/>
          <w:pgMar w:top="1134" w:right="1134" w:bottom="1134" w:left="1134" w:header="624" w:footer="567" w:gutter="0"/>
          <w:cols w:space="708"/>
          <w:docGrid w:linePitch="360"/>
        </w:sectPr>
      </w:pPr>
    </w:p>
    <w:p w:rsidR="00BB6F1F" w:rsidRDefault="00BB6F1F" w:rsidP="00AC68FF">
      <w:pPr>
        <w:pStyle w:val="Heading20"/>
      </w:pPr>
      <w:r>
        <w:lastRenderedPageBreak/>
        <w:t>Revenue</w:t>
      </w:r>
    </w:p>
    <w:p w:rsidR="00BB6F1F" w:rsidRDefault="00BB6F1F" w:rsidP="00AC68FF">
      <w:r>
        <w:t xml:space="preserve">Total revenue from transactions for the year was $60.9 billion, which was within </w:t>
      </w:r>
      <w:r w:rsidRPr="004A0EF8">
        <w:t>0.</w:t>
      </w:r>
      <w:r>
        <w:t>3 per cent</w:t>
      </w:r>
      <w:r w:rsidRPr="00E7489C">
        <w:t xml:space="preserve"> of the</w:t>
      </w:r>
      <w:r>
        <w:t xml:space="preserve"> revised estimate and </w:t>
      </w:r>
      <w:r w:rsidRPr="004A0EF8">
        <w:t>$4.</w:t>
      </w:r>
      <w:r>
        <w:t>2</w:t>
      </w:r>
      <w:r w:rsidRPr="004A0EF8">
        <w:t> billion (</w:t>
      </w:r>
      <w:r>
        <w:t>7.4</w:t>
      </w:r>
      <w:r w:rsidRPr="004A0EF8">
        <w:t> per cent)</w:t>
      </w:r>
      <w:r w:rsidRPr="00E7489C">
        <w:t xml:space="preserve"> higher than the previous year.</w:t>
      </w:r>
    </w:p>
    <w:p w:rsidR="00BB6F1F" w:rsidRDefault="00BB6F1F" w:rsidP="00AC68FF">
      <w:r>
        <w:t xml:space="preserve">Table 2.3 shows that State taxation revenue increased </w:t>
      </w:r>
      <w:r w:rsidRPr="00F638DB">
        <w:t>by $</w:t>
      </w:r>
      <w:r>
        <w:t>2.4 billion compared to 2015</w:t>
      </w:r>
      <w:r>
        <w:noBreakHyphen/>
        <w:t>16. This was principally driven by growth in land transfer duty</w:t>
      </w:r>
      <w:r w:rsidRPr="006F018C">
        <w:t xml:space="preserve"> ($</w:t>
      </w:r>
      <w:r>
        <w:t>295 million</w:t>
      </w:r>
      <w:r w:rsidRPr="006F018C">
        <w:t>)</w:t>
      </w:r>
      <w:r>
        <w:t xml:space="preserve"> and land tax ($730 million) on the back of continued strength in the Melbourne property market throughout 2016</w:t>
      </w:r>
      <w:r>
        <w:noBreakHyphen/>
      </w:r>
      <w:r w:rsidRPr="002E4BA7">
        <w:t>1</w:t>
      </w:r>
      <w:r>
        <w:t>7</w:t>
      </w:r>
      <w:r w:rsidRPr="002E4BA7">
        <w:t xml:space="preserve">. In addition, </w:t>
      </w:r>
      <w:r>
        <w:t>$</w:t>
      </w:r>
      <w:r w:rsidRPr="00DF5A87">
        <w:t>783</w:t>
      </w:r>
      <w:r>
        <w:t xml:space="preserve"> million was recognised from the prepaid port licence fees associated with entering into the medium-term lease over the operations of the Port of Melbourne. </w:t>
      </w:r>
    </w:p>
    <w:p w:rsidR="00BB6F1F" w:rsidRDefault="00BB6F1F" w:rsidP="00AC68FF">
      <w:r>
        <w:t>State taxation revenue in 2016</w:t>
      </w:r>
      <w:r>
        <w:noBreakHyphen/>
        <w:t xml:space="preserve">17 was consistent with the revised estimates. </w:t>
      </w:r>
    </w:p>
    <w:p w:rsidR="00BB6F1F" w:rsidRDefault="00BB6F1F" w:rsidP="00AC68FF">
      <w:r>
        <w:br w:type="column"/>
      </w:r>
    </w:p>
    <w:p w:rsidR="00BB6F1F" w:rsidRDefault="00BB6F1F" w:rsidP="00AC68FF"/>
    <w:p w:rsidR="00BB6F1F" w:rsidRDefault="00BB6F1F" w:rsidP="00AC68FF">
      <w:pPr>
        <w:sectPr w:rsidR="00BB6F1F" w:rsidSect="00AC68FF">
          <w:type w:val="continuous"/>
          <w:pgSz w:w="11906" w:h="16838" w:code="9"/>
          <w:pgMar w:top="1134" w:right="1134" w:bottom="1134" w:left="1134" w:header="624" w:footer="567" w:gutter="0"/>
          <w:cols w:num="2" w:space="708"/>
          <w:docGrid w:linePitch="360"/>
        </w:sectPr>
      </w:pPr>
    </w:p>
    <w:p w:rsidR="00BB6F1F" w:rsidRDefault="00BB6F1F" w:rsidP="00AC68FF">
      <w:pPr>
        <w:rPr>
          <w:rFonts w:asciiTheme="majorHAnsi" w:hAnsiTheme="majorHAnsi"/>
          <w:b/>
          <w:spacing w:val="-2"/>
        </w:rPr>
      </w:pPr>
      <w:r>
        <w:lastRenderedPageBreak/>
        <w:br w:type="page"/>
      </w:r>
    </w:p>
    <w:p w:rsidR="00BB6F1F" w:rsidRPr="00897E1B" w:rsidRDefault="00BB6F1F" w:rsidP="00AC68FF">
      <w:pPr>
        <w:pStyle w:val="TableHeading"/>
        <w:rPr>
          <w:bCs/>
          <w:lang w:val="en-US"/>
        </w:rPr>
      </w:pPr>
      <w:r>
        <w:lastRenderedPageBreak/>
        <w:t xml:space="preserve">Table 2.3: </w:t>
      </w:r>
      <w:r>
        <w:tab/>
        <w:t>Taxation</w:t>
      </w:r>
      <w:r>
        <w:tab/>
      </w:r>
      <w:r w:rsidRPr="00217AA1">
        <w:t xml:space="preserve">($ million) </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102"/>
        <w:gridCol w:w="907"/>
        <w:gridCol w:w="907"/>
        <w:gridCol w:w="907"/>
        <w:gridCol w:w="907"/>
        <w:gridCol w:w="907"/>
      </w:tblGrid>
      <w:tr w:rsidR="00CD6FC0" w:rsidRPr="00897E1B" w:rsidTr="00CD6FC0">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right w:val="nil"/>
            </w:tcBorders>
            <w:shd w:val="solid" w:color="000000" w:fill="auto"/>
          </w:tcPr>
          <w:p w:rsidR="00CD6FC0" w:rsidRPr="00897E1B" w:rsidRDefault="00CD6FC0" w:rsidP="00AC68FF">
            <w:pPr>
              <w:autoSpaceDE w:val="0"/>
              <w:autoSpaceDN w:val="0"/>
              <w:adjustRightInd w:val="0"/>
              <w:rPr>
                <w:rFonts w:eastAsiaTheme="minorEastAsia" w:cs="Calibri"/>
                <w:iCs/>
                <w:color w:val="FFFFFF"/>
                <w:lang w:eastAsia="en-AU"/>
              </w:rPr>
            </w:pPr>
          </w:p>
        </w:tc>
        <w:tc>
          <w:tcPr>
            <w:tcW w:w="907" w:type="dxa"/>
            <w:tcBorders>
              <w:top w:val="nil"/>
              <w:left w:val="nil"/>
              <w:right w:val="nil"/>
            </w:tcBorders>
            <w:shd w:val="solid" w:color="000000" w:fill="auto"/>
          </w:tcPr>
          <w:p w:rsidR="00CD6FC0" w:rsidRPr="00897E1B" w:rsidRDefault="00CD6FC0" w:rsidP="00CD6FC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897E1B">
              <w:rPr>
                <w:rFonts w:eastAsiaTheme="minorEastAsia" w:cs="Calibri"/>
                <w:iCs/>
                <w:color w:val="FFFFFF"/>
                <w:szCs w:val="18"/>
                <w:lang w:eastAsia="en-AU"/>
              </w:rPr>
              <w:t>201</w:t>
            </w:r>
            <w:r>
              <w:rPr>
                <w:rFonts w:eastAsiaTheme="minorEastAsia" w:cs="Calibri"/>
                <w:iCs/>
                <w:color w:val="FFFFFF"/>
                <w:szCs w:val="18"/>
                <w:lang w:eastAsia="en-AU"/>
              </w:rPr>
              <w:t xml:space="preserve">7 </w:t>
            </w:r>
            <w:r>
              <w:rPr>
                <w:rFonts w:eastAsiaTheme="minorEastAsia" w:cs="Calibri"/>
                <w:iCs/>
                <w:color w:val="FFFFFF"/>
                <w:szCs w:val="18"/>
                <w:lang w:eastAsia="en-AU"/>
              </w:rPr>
              <w:br/>
            </w:r>
            <w:r w:rsidRPr="00897E1B">
              <w:rPr>
                <w:rFonts w:eastAsiaTheme="minorEastAsia" w:cs="Calibri"/>
                <w:iCs/>
                <w:color w:val="FFFFFF"/>
                <w:szCs w:val="18"/>
                <w:lang w:eastAsia="en-AU"/>
              </w:rPr>
              <w:t>actual</w:t>
            </w:r>
          </w:p>
        </w:tc>
        <w:tc>
          <w:tcPr>
            <w:tcW w:w="907" w:type="dxa"/>
            <w:tcBorders>
              <w:top w:val="nil"/>
              <w:left w:val="nil"/>
              <w:right w:val="nil"/>
            </w:tcBorders>
            <w:shd w:val="solid" w:color="000000" w:fill="auto"/>
          </w:tcPr>
          <w:p w:rsidR="00CD6FC0" w:rsidRPr="00897E1B" w:rsidRDefault="00CD6FC0" w:rsidP="00CD6FC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897E1B">
              <w:rPr>
                <w:rFonts w:eastAsiaTheme="minorEastAsia" w:cs="Calibri"/>
                <w:iCs/>
                <w:color w:val="FFFFFF"/>
                <w:szCs w:val="18"/>
                <w:lang w:eastAsia="en-AU"/>
              </w:rPr>
              <w:t>2017</w:t>
            </w:r>
            <w:r>
              <w:rPr>
                <w:rFonts w:eastAsiaTheme="minorEastAsia" w:cs="Calibri"/>
                <w:iCs/>
                <w:color w:val="FFFFFF"/>
                <w:szCs w:val="18"/>
                <w:lang w:eastAsia="en-AU"/>
              </w:rPr>
              <w:t xml:space="preserve"> </w:t>
            </w:r>
            <w:r w:rsidRPr="00897E1B">
              <w:rPr>
                <w:rFonts w:eastAsiaTheme="minorEastAsia" w:cs="Calibri"/>
                <w:iCs/>
                <w:color w:val="FFFFFF"/>
                <w:szCs w:val="18"/>
                <w:lang w:eastAsia="en-AU"/>
              </w:rPr>
              <w:t>revised</w:t>
            </w:r>
          </w:p>
        </w:tc>
        <w:tc>
          <w:tcPr>
            <w:tcW w:w="907" w:type="dxa"/>
            <w:tcBorders>
              <w:top w:val="nil"/>
              <w:left w:val="nil"/>
              <w:right w:val="nil"/>
            </w:tcBorders>
            <w:shd w:val="solid" w:color="000000" w:fill="auto"/>
          </w:tcPr>
          <w:p w:rsidR="00CD6FC0" w:rsidRPr="00897E1B" w:rsidRDefault="00CD6FC0" w:rsidP="00CD6FC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897E1B">
              <w:rPr>
                <w:rFonts w:eastAsiaTheme="minorEastAsia" w:cs="Calibri"/>
                <w:iCs/>
                <w:color w:val="FFFFFF"/>
                <w:szCs w:val="18"/>
                <w:lang w:eastAsia="en-AU"/>
              </w:rPr>
              <w:t xml:space="preserve">Revised </w:t>
            </w:r>
            <w:r>
              <w:rPr>
                <w:rFonts w:eastAsiaTheme="minorEastAsia" w:cs="Calibri"/>
                <w:iCs/>
                <w:color w:val="FFFFFF"/>
                <w:szCs w:val="18"/>
                <w:lang w:eastAsia="en-AU"/>
              </w:rPr>
              <w:br/>
            </w:r>
            <w:r w:rsidRPr="00897E1B">
              <w:rPr>
                <w:rFonts w:eastAsiaTheme="minorEastAsia" w:cs="Calibri"/>
                <w:iCs/>
                <w:color w:val="FFFFFF"/>
                <w:szCs w:val="18"/>
                <w:lang w:eastAsia="en-AU"/>
              </w:rPr>
              <w:t>variance</w:t>
            </w:r>
          </w:p>
        </w:tc>
        <w:tc>
          <w:tcPr>
            <w:tcW w:w="907" w:type="dxa"/>
            <w:tcBorders>
              <w:top w:val="nil"/>
              <w:left w:val="nil"/>
              <w:right w:val="nil"/>
            </w:tcBorders>
            <w:shd w:val="solid" w:color="000000" w:fill="auto"/>
          </w:tcPr>
          <w:p w:rsidR="00CD6FC0" w:rsidRPr="00897E1B" w:rsidRDefault="00CD6FC0" w:rsidP="00CD6FC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897E1B">
              <w:rPr>
                <w:rFonts w:eastAsiaTheme="minorEastAsia" w:cs="Calibri"/>
                <w:iCs/>
                <w:color w:val="FFFFFF"/>
                <w:szCs w:val="18"/>
                <w:lang w:eastAsia="en-AU"/>
              </w:rPr>
              <w:t>% revised</w:t>
            </w:r>
            <w:r>
              <w:rPr>
                <w:rFonts w:eastAsiaTheme="minorEastAsia" w:cs="Calibri"/>
                <w:iCs/>
                <w:color w:val="FFFFFF"/>
                <w:szCs w:val="18"/>
                <w:lang w:eastAsia="en-AU"/>
              </w:rPr>
              <w:t xml:space="preserve"> </w:t>
            </w:r>
            <w:r w:rsidRPr="00897E1B">
              <w:rPr>
                <w:rFonts w:eastAsiaTheme="minorEastAsia" w:cs="Calibri"/>
                <w:iCs/>
                <w:color w:val="FFFFFF"/>
                <w:szCs w:val="18"/>
                <w:lang w:eastAsia="en-AU"/>
              </w:rPr>
              <w:t>variance</w:t>
            </w:r>
          </w:p>
        </w:tc>
        <w:tc>
          <w:tcPr>
            <w:tcW w:w="907" w:type="dxa"/>
            <w:tcBorders>
              <w:top w:val="nil"/>
              <w:left w:val="nil"/>
              <w:right w:val="nil"/>
            </w:tcBorders>
            <w:shd w:val="solid" w:color="000000" w:fill="auto"/>
          </w:tcPr>
          <w:p w:rsidR="00CD6FC0" w:rsidRPr="00897E1B" w:rsidRDefault="00CD6FC0" w:rsidP="00CD6FC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897E1B">
              <w:rPr>
                <w:rFonts w:eastAsiaTheme="minorEastAsia" w:cs="Calibri"/>
                <w:iCs/>
                <w:color w:val="FFFFFF"/>
                <w:szCs w:val="18"/>
                <w:lang w:eastAsia="en-AU"/>
              </w:rPr>
              <w:t xml:space="preserve">2016 </w:t>
            </w:r>
            <w:r>
              <w:rPr>
                <w:rFonts w:eastAsiaTheme="minorEastAsia" w:cs="Calibri"/>
                <w:iCs/>
                <w:color w:val="FFFFFF"/>
                <w:szCs w:val="18"/>
                <w:lang w:eastAsia="en-AU"/>
              </w:rPr>
              <w:br/>
            </w:r>
            <w:r w:rsidRPr="00897E1B">
              <w:rPr>
                <w:rFonts w:eastAsiaTheme="minorEastAsia" w:cs="Calibri"/>
                <w:iCs/>
                <w:color w:val="FFFFFF"/>
                <w:szCs w:val="18"/>
                <w:lang w:eastAsia="en-AU"/>
              </w:rPr>
              <w:t>actual</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Taxes on employers’ payroll and labour force</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5 689</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5 727</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(38)</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5 365</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Taxes on immovable property</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Land tax</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2 501</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2 499</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1 771</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Fire services property levy</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676</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669</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674</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Congestion levy</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119</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116</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102</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Metropolitan improvement levy</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167</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166</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160</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Total taxes on immovable property</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3 463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3 449</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2 707</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Financial and capital transactions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Land transfer duty</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6 134</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6 020</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114</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5 839</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Metropolitan planning levy</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27</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27</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Financial accommodation levy</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135</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136</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147</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Growth areas infrastructure contribution</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189</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166</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149</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Total financial and capital transactions</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6 484</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6 349</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135</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6 155</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6" w:space="0" w:color="000000"/>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Total taxes on property</w:t>
            </w:r>
          </w:p>
        </w:tc>
        <w:tc>
          <w:tcPr>
            <w:tcW w:w="907" w:type="dxa"/>
            <w:tcBorders>
              <w:top w:val="single" w:sz="6" w:space="0" w:color="000000"/>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9 947</w:t>
            </w:r>
          </w:p>
        </w:tc>
        <w:tc>
          <w:tcPr>
            <w:tcW w:w="907" w:type="dxa"/>
            <w:tcBorders>
              <w:top w:val="single" w:sz="6" w:space="0" w:color="000000"/>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9 799</w:t>
            </w:r>
          </w:p>
        </w:tc>
        <w:tc>
          <w:tcPr>
            <w:tcW w:w="907" w:type="dxa"/>
            <w:tcBorders>
              <w:top w:val="single" w:sz="6" w:space="0" w:color="000000"/>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148</w:t>
            </w:r>
          </w:p>
        </w:tc>
        <w:tc>
          <w:tcPr>
            <w:tcW w:w="907" w:type="dxa"/>
            <w:tcBorders>
              <w:top w:val="single" w:sz="6" w:space="0" w:color="000000"/>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w:t>
            </w:r>
          </w:p>
        </w:tc>
        <w:tc>
          <w:tcPr>
            <w:tcW w:w="907" w:type="dxa"/>
            <w:tcBorders>
              <w:top w:val="single" w:sz="6" w:space="0" w:color="000000"/>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8 862</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Taxes on the provision of goods and services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Gambling taxes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Public lotteries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402</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420</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427</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Electronic gaming machines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1 070</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1 101</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1 079</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Casino</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227</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232</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228</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Racing</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74</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75</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77</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Other</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26</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26</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Total gambling taxes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1 798</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1 855</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(56)</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1 834</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Levies on statutory corporations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112</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112</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112</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Taxes on insurance</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1 218</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1 216</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1 151</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6" w:space="0" w:color="000000"/>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Total taxes on the provision of goods and services</w:t>
            </w:r>
          </w:p>
        </w:tc>
        <w:tc>
          <w:tcPr>
            <w:tcW w:w="907" w:type="dxa"/>
            <w:tcBorders>
              <w:top w:val="single" w:sz="6" w:space="0" w:color="000000"/>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3 128</w:t>
            </w:r>
          </w:p>
        </w:tc>
        <w:tc>
          <w:tcPr>
            <w:tcW w:w="907" w:type="dxa"/>
            <w:tcBorders>
              <w:top w:val="single" w:sz="6" w:space="0" w:color="000000"/>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3 182</w:t>
            </w:r>
          </w:p>
        </w:tc>
        <w:tc>
          <w:tcPr>
            <w:tcW w:w="907" w:type="dxa"/>
            <w:tcBorders>
              <w:top w:val="single" w:sz="6" w:space="0" w:color="000000"/>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(55)</w:t>
            </w:r>
          </w:p>
        </w:tc>
        <w:tc>
          <w:tcPr>
            <w:tcW w:w="907" w:type="dxa"/>
            <w:tcBorders>
              <w:top w:val="single" w:sz="6" w:space="0" w:color="000000"/>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w:t>
            </w:r>
          </w:p>
        </w:tc>
        <w:tc>
          <w:tcPr>
            <w:tcW w:w="907" w:type="dxa"/>
            <w:tcBorders>
              <w:top w:val="single" w:sz="6" w:space="0" w:color="000000"/>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3 097</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Taxes on the use of goods and performance of activities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Motor vehicle taxes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Vehicle registration fees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1 553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1 539</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1 456</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Duty on vehicle registrations and transfers</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818</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807</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779</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Total motor vehicle taxes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2 371</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2 346</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25</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2 235</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Liquor licence fees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22</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Other</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1 115</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1 112</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315</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Total taxes on the use of goods and performance of activities</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3 508</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3 480</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28</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2 572</w:t>
            </w:r>
          </w:p>
        </w:tc>
      </w:tr>
      <w:tr w:rsidR="00BB6F1F" w:rsidRPr="00897E1B"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bottom w:val="single" w:sz="12" w:space="0" w:color="000000"/>
            </w:tcBorders>
          </w:tcPr>
          <w:p w:rsidR="00BB6F1F" w:rsidRPr="00897E1B" w:rsidRDefault="00BB6F1F" w:rsidP="00AC68FF">
            <w:pPr>
              <w:keepLines w:val="0"/>
              <w:autoSpaceDE w:val="0"/>
              <w:autoSpaceDN w:val="0"/>
              <w:adjustRightInd w:val="0"/>
              <w:rPr>
                <w:rFonts w:eastAsiaTheme="minorEastAsia" w:cs="Calibri"/>
                <w:bCs/>
                <w:color w:val="000000"/>
                <w:szCs w:val="18"/>
                <w:lang w:eastAsia="en-AU"/>
              </w:rPr>
            </w:pPr>
            <w:r w:rsidRPr="00897E1B">
              <w:rPr>
                <w:rFonts w:eastAsiaTheme="minorEastAsia" w:cs="Calibri"/>
                <w:bCs/>
                <w:color w:val="000000"/>
                <w:szCs w:val="18"/>
                <w:lang w:eastAsia="en-AU"/>
              </w:rPr>
              <w:t>Total taxation revenue</w:t>
            </w:r>
          </w:p>
        </w:tc>
        <w:tc>
          <w:tcPr>
            <w:tcW w:w="907" w:type="dxa"/>
            <w:tcBorders>
              <w:top w:val="single" w:sz="6" w:space="0" w:color="000000"/>
              <w:bottom w:val="single" w:sz="12" w:space="0" w:color="000000"/>
            </w:tcBorders>
          </w:tcPr>
          <w:p w:rsidR="00BB6F1F" w:rsidRPr="00897E1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897E1B">
              <w:rPr>
                <w:rFonts w:eastAsiaTheme="minorEastAsia" w:cs="Calibri"/>
                <w:bCs/>
                <w:color w:val="000000"/>
                <w:szCs w:val="18"/>
                <w:lang w:eastAsia="en-AU"/>
              </w:rPr>
              <w:t>22 272</w:t>
            </w:r>
          </w:p>
        </w:tc>
        <w:tc>
          <w:tcPr>
            <w:tcW w:w="907" w:type="dxa"/>
            <w:tcBorders>
              <w:top w:val="single" w:sz="6" w:space="0" w:color="000000"/>
              <w:bottom w:val="single" w:sz="12" w:space="0" w:color="000000"/>
            </w:tcBorders>
          </w:tcPr>
          <w:p w:rsidR="00BB6F1F" w:rsidRPr="00897E1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897E1B">
              <w:rPr>
                <w:rFonts w:eastAsiaTheme="minorEastAsia" w:cs="Calibri"/>
                <w:bCs/>
                <w:color w:val="000000"/>
                <w:szCs w:val="18"/>
                <w:lang w:eastAsia="en-AU"/>
              </w:rPr>
              <w:t>22 189</w:t>
            </w:r>
          </w:p>
        </w:tc>
        <w:tc>
          <w:tcPr>
            <w:tcW w:w="907" w:type="dxa"/>
            <w:tcBorders>
              <w:top w:val="single" w:sz="6" w:space="0" w:color="000000"/>
              <w:bottom w:val="single" w:sz="12" w:space="0" w:color="000000"/>
            </w:tcBorders>
          </w:tcPr>
          <w:p w:rsidR="00BB6F1F" w:rsidRPr="00897E1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83</w:t>
            </w:r>
          </w:p>
        </w:tc>
        <w:tc>
          <w:tcPr>
            <w:tcW w:w="907" w:type="dxa"/>
            <w:tcBorders>
              <w:top w:val="single" w:sz="6" w:space="0" w:color="000000"/>
              <w:bottom w:val="single" w:sz="12" w:space="0" w:color="000000"/>
            </w:tcBorders>
          </w:tcPr>
          <w:p w:rsidR="00BB6F1F" w:rsidRPr="00897E1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w:t>
            </w:r>
          </w:p>
        </w:tc>
        <w:tc>
          <w:tcPr>
            <w:tcW w:w="907" w:type="dxa"/>
            <w:tcBorders>
              <w:top w:val="single" w:sz="6" w:space="0" w:color="000000"/>
              <w:bottom w:val="single" w:sz="12" w:space="0" w:color="000000"/>
            </w:tcBorders>
          </w:tcPr>
          <w:p w:rsidR="00BB6F1F" w:rsidRPr="00897E1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897E1B">
              <w:rPr>
                <w:rFonts w:eastAsiaTheme="minorEastAsia" w:cs="Calibri"/>
                <w:bCs/>
                <w:color w:val="000000"/>
                <w:szCs w:val="18"/>
                <w:lang w:eastAsia="en-AU"/>
              </w:rPr>
              <w:t>19 896</w:t>
            </w:r>
          </w:p>
        </w:tc>
      </w:tr>
    </w:tbl>
    <w:p w:rsidR="00BB6F1F" w:rsidRDefault="00BB6F1F" w:rsidP="00AC68FF"/>
    <w:p w:rsidR="00BB6F1F" w:rsidRDefault="00BB6F1F" w:rsidP="00AC68FF">
      <w:pPr>
        <w:sectPr w:rsidR="00BB6F1F" w:rsidSect="00AC68FF">
          <w:type w:val="continuous"/>
          <w:pgSz w:w="11906" w:h="16838" w:code="9"/>
          <w:pgMar w:top="1134" w:right="1134" w:bottom="1134" w:left="1134" w:header="624" w:footer="567" w:gutter="0"/>
          <w:cols w:space="708"/>
          <w:docGrid w:linePitch="360"/>
        </w:sectPr>
      </w:pPr>
    </w:p>
    <w:p w:rsidR="00BB6F1F" w:rsidRDefault="00BB6F1F" w:rsidP="00AC68FF">
      <w:pPr>
        <w:spacing w:before="0" w:after="100" w:line="259" w:lineRule="auto"/>
      </w:pPr>
      <w:r w:rsidRPr="00840C3A">
        <w:lastRenderedPageBreak/>
        <w:t>Dividends, income tax and rate equivalent revenue of $</w:t>
      </w:r>
      <w:r>
        <w:t>658</w:t>
      </w:r>
      <w:r w:rsidRPr="00840C3A">
        <w:t> </w:t>
      </w:r>
      <w:r>
        <w:t>million</w:t>
      </w:r>
      <w:r w:rsidRPr="00840C3A">
        <w:t xml:space="preserve"> </w:t>
      </w:r>
      <w:r>
        <w:t xml:space="preserve">increased </w:t>
      </w:r>
      <w:r w:rsidRPr="00840C3A">
        <w:t>by $</w:t>
      </w:r>
      <w:r>
        <w:t>94</w:t>
      </w:r>
      <w:r w:rsidRPr="00840C3A">
        <w:t xml:space="preserve"> </w:t>
      </w:r>
      <w:r>
        <w:t>m</w:t>
      </w:r>
      <w:r w:rsidRPr="00840C3A">
        <w:t>illion compared to the revised estimate. The increase</w:t>
      </w:r>
      <w:r>
        <w:t xml:space="preserve"> is mainly due to higher dividends revenue received from the public financial corporations sector. </w:t>
      </w:r>
    </w:p>
    <w:p w:rsidR="00BB6F1F" w:rsidRDefault="00BB6F1F" w:rsidP="00AC68FF">
      <w:pPr>
        <w:spacing w:after="100" w:line="259" w:lineRule="auto"/>
      </w:pPr>
      <w:r>
        <w:t xml:space="preserve">Compared to 2015-16, dividends, income tax and rate equivalent revenue decreased </w:t>
      </w:r>
      <w:r w:rsidRPr="00D31737">
        <w:t>by $</w:t>
      </w:r>
      <w:r>
        <w:t xml:space="preserve">190 million. </w:t>
      </w:r>
    </w:p>
    <w:p w:rsidR="00BB6F1F" w:rsidRDefault="00BB6F1F" w:rsidP="00AC68FF">
      <w:pPr>
        <w:spacing w:after="100" w:line="259" w:lineRule="auto"/>
      </w:pPr>
      <w:r>
        <w:t xml:space="preserve">Revenue from the sale of goods and services of </w:t>
      </w:r>
      <w:r w:rsidRPr="00D31737">
        <w:t>$6.</w:t>
      </w:r>
      <w:r>
        <w:t xml:space="preserve">9 billion was consistent with the revised budget estimate </w:t>
      </w:r>
      <w:r w:rsidRPr="0034579D">
        <w:t>and $</w:t>
      </w:r>
      <w:r>
        <w:t>268 million</w:t>
      </w:r>
      <w:r w:rsidRPr="0034579D">
        <w:t xml:space="preserve"> (</w:t>
      </w:r>
      <w:r>
        <w:t>4.0 per cent</w:t>
      </w:r>
      <w:r w:rsidRPr="0034579D">
        <w:t>)</w:t>
      </w:r>
      <w:r>
        <w:t xml:space="preserve"> higher than in 2015-16</w:t>
      </w:r>
      <w:r w:rsidRPr="00C37A8E">
        <w:t>. The year on year increase</w:t>
      </w:r>
      <w:r>
        <w:t xml:space="preserve"> primarily related</w:t>
      </w:r>
      <w:r w:rsidRPr="00C37A8E">
        <w:t xml:space="preserve"> to the higher capital asset charge for increased asset holdings </w:t>
      </w:r>
      <w:r>
        <w:t>of</w:t>
      </w:r>
      <w:r w:rsidRPr="00C37A8E">
        <w:t xml:space="preserve"> Victoria</w:t>
      </w:r>
      <w:r>
        <w:t>n</w:t>
      </w:r>
      <w:r w:rsidRPr="00C37A8E">
        <w:t xml:space="preserve"> Rail Track in </w:t>
      </w:r>
      <w:r>
        <w:t>2016-17</w:t>
      </w:r>
      <w:r w:rsidRPr="00C37A8E">
        <w:t>.</w:t>
      </w:r>
    </w:p>
    <w:p w:rsidR="00BB6F1F" w:rsidRDefault="00BB6F1F" w:rsidP="00AC68FF">
      <w:pPr>
        <w:spacing w:after="100" w:line="259" w:lineRule="auto"/>
      </w:pPr>
      <w:r w:rsidRPr="0069563B">
        <w:lastRenderedPageBreak/>
        <w:t xml:space="preserve">Other revenue in </w:t>
      </w:r>
      <w:r>
        <w:t>2016-17</w:t>
      </w:r>
      <w:r w:rsidRPr="0069563B">
        <w:t xml:space="preserve"> was </w:t>
      </w:r>
      <w:r>
        <w:t>in line with</w:t>
      </w:r>
      <w:r w:rsidRPr="0069563B">
        <w:t xml:space="preserve"> the revised budget estimate</w:t>
      </w:r>
      <w:r>
        <w:t>. Compared to the same time last year, other revenue decreased by $463 million mainly attributable to the one</w:t>
      </w:r>
      <w:r>
        <w:noBreakHyphen/>
        <w:t>off revenue from the High Court of Australia’s decision to overturn the Court of Appeal’s previous decision relating to Tatts Group Limited’s (Tatts) ‘Gambling Licenses’ proceedings, which resulted in additional revenue plus interest recorded for the 2015-16 financial year.</w:t>
      </w:r>
    </w:p>
    <w:p w:rsidR="00BB6F1F" w:rsidRDefault="00BB6F1F">
      <w:pPr>
        <w:keepLines w:val="0"/>
        <w:rPr>
          <w:rFonts w:asciiTheme="majorHAnsi" w:eastAsiaTheme="majorEastAsia" w:hAnsiTheme="majorHAnsi" w:cstheme="majorBidi"/>
          <w:b/>
          <w:spacing w:val="-2"/>
          <w:sz w:val="26"/>
          <w:szCs w:val="26"/>
        </w:rPr>
      </w:pPr>
      <w:r>
        <w:br w:type="page"/>
      </w:r>
    </w:p>
    <w:p w:rsidR="00BB6F1F" w:rsidRDefault="00BB6F1F" w:rsidP="00AC68FF">
      <w:pPr>
        <w:pStyle w:val="Heading20"/>
      </w:pPr>
      <w:r>
        <w:lastRenderedPageBreak/>
        <w:t>Expenses</w:t>
      </w:r>
    </w:p>
    <w:p w:rsidR="00BB6F1F" w:rsidRDefault="00BB6F1F" w:rsidP="00AC68FF">
      <w:r>
        <w:t>Total general government sector expenses for 2016</w:t>
      </w:r>
      <w:r>
        <w:noBreakHyphen/>
      </w:r>
      <w:r w:rsidRPr="00390D1B">
        <w:t>1</w:t>
      </w:r>
      <w:r>
        <w:t>7</w:t>
      </w:r>
      <w:r w:rsidRPr="00390D1B">
        <w:t xml:space="preserve"> were $</w:t>
      </w:r>
      <w:r>
        <w:t>1.2 billion</w:t>
      </w:r>
      <w:r w:rsidRPr="00390D1B">
        <w:t xml:space="preserve"> lower than the revised estimate in the </w:t>
      </w:r>
      <w:r w:rsidRPr="00390D1B">
        <w:rPr>
          <w:i/>
        </w:rPr>
        <w:t>201</w:t>
      </w:r>
      <w:r>
        <w:rPr>
          <w:i/>
        </w:rPr>
        <w:t>7</w:t>
      </w:r>
      <w:r>
        <w:rPr>
          <w:i/>
        </w:rPr>
        <w:noBreakHyphen/>
      </w:r>
      <w:r w:rsidRPr="00390D1B">
        <w:rPr>
          <w:i/>
        </w:rPr>
        <w:t>1</w:t>
      </w:r>
      <w:r>
        <w:rPr>
          <w:i/>
        </w:rPr>
        <w:t>8</w:t>
      </w:r>
      <w:r w:rsidRPr="00390D1B">
        <w:rPr>
          <w:i/>
        </w:rPr>
        <w:t xml:space="preserve"> Budget</w:t>
      </w:r>
      <w:r w:rsidRPr="00390D1B">
        <w:t>. When compared with the previous year, total expenses increased by $</w:t>
      </w:r>
      <w:r>
        <w:t>4.2 billion</w:t>
      </w:r>
      <w:r w:rsidRPr="00390D1B">
        <w:t xml:space="preserve"> (</w:t>
      </w:r>
      <w:r>
        <w:t>7</w:t>
      </w:r>
      <w:r w:rsidRPr="00390D1B">
        <w:t>.</w:t>
      </w:r>
      <w:r>
        <w:t>7 per cent</w:t>
      </w:r>
      <w:r w:rsidRPr="00390D1B">
        <w:t>).</w:t>
      </w:r>
      <w:r>
        <w:t xml:space="preserve"> </w:t>
      </w:r>
    </w:p>
    <w:p w:rsidR="00BB6F1F" w:rsidRDefault="00BB6F1F" w:rsidP="00AC68FF">
      <w:r>
        <w:t>Employee expenses of $21.5 billion for 2016</w:t>
      </w:r>
      <w:r>
        <w:noBreakHyphen/>
        <w:t>17 were $564 million lower than the revised budget, driven by lower than expected spending in schools, hospitals and health services sectors. Employee expenses were 7</w:t>
      </w:r>
      <w:r w:rsidRPr="00390D1B">
        <w:t>.</w:t>
      </w:r>
      <w:r>
        <w:t>5 per cent</w:t>
      </w:r>
      <w:r w:rsidRPr="00390D1B">
        <w:t xml:space="preserve"> higher than in 201</w:t>
      </w:r>
      <w:r>
        <w:t>5</w:t>
      </w:r>
      <w:r>
        <w:noBreakHyphen/>
      </w:r>
      <w:r w:rsidRPr="00390D1B">
        <w:t>1</w:t>
      </w:r>
      <w:r>
        <w:t>6, mainly attributable to increased service delivery in the health and community safety sectors as well as salary growth in line with wages policy.</w:t>
      </w:r>
    </w:p>
    <w:p w:rsidR="00BB6F1F" w:rsidRDefault="00BB6F1F" w:rsidP="00AC68FF">
      <w:r>
        <w:t>Other superannuation expense of $2.3 billion for 2016</w:t>
      </w:r>
      <w:r>
        <w:noBreakHyphen/>
        <w:t xml:space="preserve">17 was in line </w:t>
      </w:r>
      <w:r w:rsidRPr="009C3411">
        <w:t>with the revised budget. This expense was $</w:t>
      </w:r>
      <w:r>
        <w:t>209 million</w:t>
      </w:r>
      <w:r w:rsidRPr="009C3411">
        <w:t xml:space="preserve"> higher than in 201</w:t>
      </w:r>
      <w:r>
        <w:t>5</w:t>
      </w:r>
      <w:r>
        <w:noBreakHyphen/>
      </w:r>
      <w:r w:rsidRPr="009C3411">
        <w:t>1</w:t>
      </w:r>
      <w:r>
        <w:t>6</w:t>
      </w:r>
      <w:r w:rsidRPr="009C3411">
        <w:t xml:space="preserve"> </w:t>
      </w:r>
      <w:r>
        <w:t xml:space="preserve">primarily </w:t>
      </w:r>
      <w:r w:rsidRPr="009C3411">
        <w:t xml:space="preserve">due to higher employer contributions to </w:t>
      </w:r>
      <w:r>
        <w:t xml:space="preserve">the </w:t>
      </w:r>
      <w:r w:rsidRPr="009C3411">
        <w:t>define</w:t>
      </w:r>
      <w:r>
        <w:t>d contribution</w:t>
      </w:r>
      <w:r w:rsidRPr="009C3411">
        <w:t xml:space="preserve"> plans</w:t>
      </w:r>
      <w:r>
        <w:t>.</w:t>
      </w:r>
    </w:p>
    <w:p w:rsidR="00BB6F1F" w:rsidRDefault="00BB6F1F" w:rsidP="00AC68FF">
      <w:r>
        <w:t>Other operating expenses for 2016</w:t>
      </w:r>
      <w:r>
        <w:noBreakHyphen/>
        <w:t xml:space="preserve">17 were </w:t>
      </w:r>
      <w:r w:rsidRPr="00765A34">
        <w:t>$</w:t>
      </w:r>
      <w:r>
        <w:t>18</w:t>
      </w:r>
      <w:r w:rsidRPr="00765A34">
        <w:t>.</w:t>
      </w:r>
      <w:r>
        <w:t>6 billion</w:t>
      </w:r>
      <w:r w:rsidRPr="00765A34">
        <w:t>, $</w:t>
      </w:r>
      <w:r>
        <w:t>636 million</w:t>
      </w:r>
      <w:r w:rsidRPr="00765A34">
        <w:t xml:space="preserve"> (</w:t>
      </w:r>
      <w:r>
        <w:t>3.3 per cent</w:t>
      </w:r>
      <w:r w:rsidRPr="00765A34">
        <w:t>) lower than the revised budget and $</w:t>
      </w:r>
      <w:r>
        <w:t>670 million</w:t>
      </w:r>
      <w:r w:rsidRPr="00765A34">
        <w:t xml:space="preserve"> higher than in 201</w:t>
      </w:r>
      <w:r>
        <w:t>5</w:t>
      </w:r>
      <w:r>
        <w:noBreakHyphen/>
      </w:r>
      <w:r w:rsidRPr="00765A34">
        <w:t>1</w:t>
      </w:r>
      <w:r>
        <w:t xml:space="preserve">6. The </w:t>
      </w:r>
      <w:r w:rsidRPr="00AE53E8">
        <w:t>increase</w:t>
      </w:r>
      <w:r>
        <w:t xml:space="preserve"> of 3.7 per cent </w:t>
      </w:r>
      <w:r w:rsidRPr="00AE53E8">
        <w:t xml:space="preserve">since </w:t>
      </w:r>
      <w:r>
        <w:t>2015-</w:t>
      </w:r>
      <w:r w:rsidRPr="00AE53E8">
        <w:t>1</w:t>
      </w:r>
      <w:r>
        <w:t>6</w:t>
      </w:r>
      <w:r w:rsidRPr="00AE53E8">
        <w:t xml:space="preserve"> </w:t>
      </w:r>
      <w:r>
        <w:t xml:space="preserve">is mainly reflecting additional spending in the health, community safety and transport sectors. </w:t>
      </w:r>
    </w:p>
    <w:p w:rsidR="00BB6F1F" w:rsidRDefault="00BB6F1F" w:rsidP="00AC68FF">
      <w:r>
        <w:br w:type="column"/>
      </w:r>
      <w:r>
        <w:lastRenderedPageBreak/>
        <w:t>Grant expense of $10.5 billion was in line with the revised budget and $1.9 billion higher than in 2015</w:t>
      </w:r>
      <w:r>
        <w:noBreakHyphen/>
        <w:t xml:space="preserve">16. The increase is attributed to the </w:t>
      </w:r>
      <w:r w:rsidRPr="00365737">
        <w:t xml:space="preserve">transfer of the Australian Synchrotron </w:t>
      </w:r>
      <w:r>
        <w:t>to the Commonwealth Government, higher grants on-passed to local government as a result of the Commonwealth bringing forward the first two quarters of 2017-18 grants into the 2016-17 financial year and the recognition of a provision for transition assistance grants to taxi licence holders as part of the government’s taxi, hire car and ride share industry reforms.</w:t>
      </w:r>
    </w:p>
    <w:p w:rsidR="00BB6F1F" w:rsidRDefault="00BB6F1F" w:rsidP="00AC68FF">
      <w:pPr>
        <w:pStyle w:val="Heading20"/>
      </w:pPr>
      <w:r>
        <w:t>Other economic flows included in the net result</w:t>
      </w:r>
    </w:p>
    <w:p w:rsidR="00BB6F1F" w:rsidRDefault="00BB6F1F" w:rsidP="00AC68FF">
      <w:r>
        <w:t>The net result differs from the net result from transactions due to other economic flows, which includes various revaluation gains and losses recognised for the period.</w:t>
      </w:r>
    </w:p>
    <w:p w:rsidR="00BB6F1F" w:rsidRDefault="00BB6F1F" w:rsidP="00AC68FF">
      <w:r>
        <w:t xml:space="preserve">The net result from transactions is the Government’s net surplus measure for the purposes of its fiscal strategy. </w:t>
      </w:r>
    </w:p>
    <w:p w:rsidR="00BB6F1F" w:rsidRDefault="00BB6F1F" w:rsidP="00AC68FF">
      <w:r w:rsidRPr="0069563B">
        <w:t xml:space="preserve">Other economic flows included in the net result for </w:t>
      </w:r>
      <w:r>
        <w:t>2016-17</w:t>
      </w:r>
      <w:r w:rsidRPr="0069563B">
        <w:t xml:space="preserve"> totalled a net loss of $</w:t>
      </w:r>
      <w:r>
        <w:t>150</w:t>
      </w:r>
      <w:r w:rsidRPr="0069563B">
        <w:t> million.</w:t>
      </w:r>
    </w:p>
    <w:p w:rsidR="00BB6F1F" w:rsidRDefault="00BB6F1F" w:rsidP="00AC68FF">
      <w:pPr>
        <w:rPr>
          <w:rFonts w:asciiTheme="majorHAnsi" w:hAnsiTheme="majorHAnsi"/>
          <w:b/>
          <w:spacing w:val="-2"/>
        </w:rPr>
      </w:pPr>
      <w:r>
        <w:br w:type="page"/>
      </w:r>
    </w:p>
    <w:p w:rsidR="00BB6F1F" w:rsidRDefault="00BB6F1F" w:rsidP="00AC68FF">
      <w:pPr>
        <w:pStyle w:val="Heading10"/>
      </w:pPr>
      <w:r>
        <w:lastRenderedPageBreak/>
        <w:t>FINANCIAL POSITION</w:t>
      </w:r>
    </w:p>
    <w:p w:rsidR="00BB6F1F" w:rsidRDefault="00BB6F1F" w:rsidP="00AC68FF">
      <w:r>
        <w:t xml:space="preserve">Table 2.4 shows the general government sector net assets </w:t>
      </w:r>
      <w:r w:rsidRPr="00CE0888">
        <w:t>increased by $</w:t>
      </w:r>
      <w:r>
        <w:t>16.2 billion</w:t>
      </w:r>
      <w:r w:rsidRPr="00CE0888">
        <w:t xml:space="preserve"> (</w:t>
      </w:r>
      <w:r>
        <w:t>10.7 per cent) to $168</w:t>
      </w:r>
      <w:r w:rsidRPr="00CE0888">
        <w:t>.</w:t>
      </w:r>
      <w:r>
        <w:t>0 billion in the 2016</w:t>
      </w:r>
      <w:r>
        <w:noBreakHyphen/>
        <w:t xml:space="preserve">17 financial year. This was </w:t>
      </w:r>
      <w:r w:rsidRPr="00CE0888">
        <w:t>$</w:t>
      </w:r>
      <w:r>
        <w:t>7.8 billion</w:t>
      </w:r>
      <w:r w:rsidRPr="00CE0888">
        <w:t xml:space="preserve"> (</w:t>
      </w:r>
      <w:r>
        <w:t>4.9 per cent</w:t>
      </w:r>
      <w:r w:rsidRPr="00CE0888">
        <w:t>) higher</w:t>
      </w:r>
      <w:r>
        <w:t xml:space="preserve"> than expected in the 2016</w:t>
      </w:r>
      <w:r>
        <w:noBreakHyphen/>
        <w:t>17 revised budget.</w:t>
      </w:r>
    </w:p>
    <w:p w:rsidR="00BB6F1F" w:rsidRDefault="00BB6F1F" w:rsidP="00AC68FF">
      <w:r>
        <w:br w:type="column"/>
      </w:r>
    </w:p>
    <w:p w:rsidR="00BB6F1F" w:rsidRDefault="00BB6F1F" w:rsidP="00AC68FF"/>
    <w:p w:rsidR="00BB6F1F" w:rsidRDefault="00BB6F1F" w:rsidP="00AC68FF">
      <w:pPr>
        <w:sectPr w:rsidR="00BB6F1F" w:rsidSect="00AC68FF">
          <w:type w:val="continuous"/>
          <w:pgSz w:w="11906" w:h="16838" w:code="9"/>
          <w:pgMar w:top="1134" w:right="1134" w:bottom="1134" w:left="1134" w:header="624" w:footer="567" w:gutter="0"/>
          <w:cols w:num="2" w:space="708"/>
          <w:docGrid w:linePitch="360"/>
        </w:sectPr>
      </w:pPr>
    </w:p>
    <w:p w:rsidR="00BB6F1F" w:rsidRPr="00897E1B" w:rsidRDefault="00BB6F1F" w:rsidP="00AC68FF">
      <w:pPr>
        <w:pStyle w:val="TableHeading"/>
        <w:rPr>
          <w:bCs/>
          <w:lang w:val="en-US"/>
        </w:rPr>
      </w:pPr>
      <w:r>
        <w:lastRenderedPageBreak/>
        <w:t>Table 2.4:</w:t>
      </w:r>
      <w:r>
        <w:tab/>
        <w:t>Summary balance sheet</w:t>
      </w:r>
      <w:r>
        <w:tab/>
      </w:r>
      <w:r w:rsidRPr="00217AA1">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102"/>
        <w:gridCol w:w="907"/>
        <w:gridCol w:w="907"/>
        <w:gridCol w:w="907"/>
        <w:gridCol w:w="907"/>
        <w:gridCol w:w="907"/>
      </w:tblGrid>
      <w:tr w:rsidR="00CD6FC0" w:rsidRPr="00897E1B" w:rsidTr="00CD6FC0">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right w:val="nil"/>
            </w:tcBorders>
            <w:shd w:val="solid" w:color="000000" w:fill="auto"/>
          </w:tcPr>
          <w:p w:rsidR="00CD6FC0" w:rsidRPr="00897E1B" w:rsidRDefault="00CD6FC0" w:rsidP="00AC68FF">
            <w:pPr>
              <w:autoSpaceDE w:val="0"/>
              <w:autoSpaceDN w:val="0"/>
              <w:adjustRightInd w:val="0"/>
              <w:rPr>
                <w:rFonts w:eastAsiaTheme="minorEastAsia" w:cs="Calibri"/>
                <w:iCs/>
                <w:color w:val="FFFFFF"/>
                <w:lang w:eastAsia="en-AU"/>
              </w:rPr>
            </w:pPr>
          </w:p>
        </w:tc>
        <w:tc>
          <w:tcPr>
            <w:tcW w:w="907" w:type="dxa"/>
            <w:tcBorders>
              <w:top w:val="nil"/>
              <w:left w:val="nil"/>
              <w:right w:val="nil"/>
            </w:tcBorders>
            <w:shd w:val="solid" w:color="000000" w:fill="auto"/>
          </w:tcPr>
          <w:p w:rsidR="00CD6FC0" w:rsidRPr="00897E1B" w:rsidRDefault="00CD6FC0" w:rsidP="00F2420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897E1B">
              <w:rPr>
                <w:rFonts w:eastAsiaTheme="minorEastAsia" w:cs="Calibri"/>
                <w:iCs/>
                <w:color w:val="FFFFFF"/>
                <w:szCs w:val="18"/>
                <w:lang w:eastAsia="en-AU"/>
              </w:rPr>
              <w:t>2017</w:t>
            </w:r>
            <w:r w:rsidR="00F2420E">
              <w:rPr>
                <w:rFonts w:eastAsiaTheme="minorEastAsia" w:cs="Calibri"/>
                <w:iCs/>
                <w:color w:val="FFFFFF"/>
                <w:szCs w:val="18"/>
                <w:lang w:eastAsia="en-AU"/>
              </w:rPr>
              <w:t xml:space="preserve"> </w:t>
            </w:r>
            <w:r w:rsidR="00F2420E">
              <w:rPr>
                <w:rFonts w:eastAsiaTheme="minorEastAsia" w:cs="Calibri"/>
                <w:iCs/>
                <w:color w:val="FFFFFF"/>
                <w:szCs w:val="18"/>
                <w:lang w:eastAsia="en-AU"/>
              </w:rPr>
              <w:br/>
            </w:r>
            <w:r w:rsidRPr="00897E1B">
              <w:rPr>
                <w:rFonts w:eastAsiaTheme="minorEastAsia" w:cs="Calibri"/>
                <w:iCs/>
                <w:color w:val="FFFFFF"/>
                <w:szCs w:val="18"/>
                <w:lang w:eastAsia="en-AU"/>
              </w:rPr>
              <w:t>actual</w:t>
            </w:r>
          </w:p>
        </w:tc>
        <w:tc>
          <w:tcPr>
            <w:tcW w:w="907" w:type="dxa"/>
            <w:tcBorders>
              <w:top w:val="nil"/>
              <w:left w:val="nil"/>
              <w:right w:val="nil"/>
            </w:tcBorders>
            <w:shd w:val="solid" w:color="000000" w:fill="auto"/>
          </w:tcPr>
          <w:p w:rsidR="00CD6FC0" w:rsidRPr="00897E1B" w:rsidRDefault="00CD6FC0" w:rsidP="00F2420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897E1B">
              <w:rPr>
                <w:rFonts w:eastAsiaTheme="minorEastAsia" w:cs="Calibri"/>
                <w:iCs/>
                <w:color w:val="FFFFFF"/>
                <w:szCs w:val="18"/>
                <w:lang w:eastAsia="en-AU"/>
              </w:rPr>
              <w:t>Revise</w:t>
            </w:r>
            <w:r>
              <w:rPr>
                <w:rFonts w:eastAsiaTheme="minorEastAsia" w:cs="Calibri"/>
                <w:iCs/>
                <w:color w:val="FFFFFF"/>
                <w:szCs w:val="18"/>
                <w:lang w:eastAsia="en-AU"/>
              </w:rPr>
              <w:t>d</w:t>
            </w:r>
            <w:r w:rsidR="00F2420E">
              <w:rPr>
                <w:rFonts w:eastAsiaTheme="minorEastAsia" w:cs="Calibri"/>
                <w:iCs/>
                <w:color w:val="FFFFFF"/>
                <w:szCs w:val="18"/>
                <w:lang w:eastAsia="en-AU"/>
              </w:rPr>
              <w:t xml:space="preserve"> </w:t>
            </w:r>
            <w:r w:rsidRPr="00897E1B">
              <w:rPr>
                <w:rFonts w:eastAsiaTheme="minorEastAsia" w:cs="Calibri"/>
                <w:iCs/>
                <w:color w:val="FFFFFF"/>
                <w:szCs w:val="18"/>
                <w:lang w:eastAsia="en-AU"/>
              </w:rPr>
              <w:t>variance</w:t>
            </w:r>
          </w:p>
        </w:tc>
        <w:tc>
          <w:tcPr>
            <w:tcW w:w="907" w:type="dxa"/>
            <w:tcBorders>
              <w:top w:val="nil"/>
              <w:left w:val="nil"/>
              <w:right w:val="nil"/>
            </w:tcBorders>
            <w:shd w:val="solid" w:color="000000" w:fill="auto"/>
          </w:tcPr>
          <w:p w:rsidR="00CD6FC0" w:rsidRPr="00897E1B" w:rsidRDefault="00CD6FC0" w:rsidP="00CD6FC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897E1B">
              <w:rPr>
                <w:rFonts w:eastAsiaTheme="minorEastAsia" w:cs="Calibri"/>
                <w:iCs/>
                <w:color w:val="FFFFFF"/>
                <w:szCs w:val="18"/>
                <w:lang w:eastAsia="en-AU"/>
              </w:rPr>
              <w:t>2017</w:t>
            </w:r>
            <w:r w:rsidR="00F2420E">
              <w:rPr>
                <w:rFonts w:eastAsiaTheme="minorEastAsia" w:cs="Calibri"/>
                <w:iCs/>
                <w:color w:val="FFFFFF"/>
                <w:szCs w:val="18"/>
                <w:lang w:eastAsia="en-AU"/>
              </w:rPr>
              <w:t xml:space="preserve"> </w:t>
            </w:r>
            <w:r w:rsidRPr="00897E1B">
              <w:rPr>
                <w:rFonts w:eastAsiaTheme="minorEastAsia" w:cs="Calibri"/>
                <w:iCs/>
                <w:color w:val="FFFFFF"/>
                <w:szCs w:val="18"/>
                <w:lang w:eastAsia="en-AU"/>
              </w:rPr>
              <w:t>revised</w:t>
            </w:r>
          </w:p>
        </w:tc>
        <w:tc>
          <w:tcPr>
            <w:tcW w:w="907" w:type="dxa"/>
            <w:tcBorders>
              <w:top w:val="nil"/>
              <w:left w:val="nil"/>
              <w:right w:val="nil"/>
            </w:tcBorders>
            <w:shd w:val="solid" w:color="000000" w:fill="auto"/>
          </w:tcPr>
          <w:p w:rsidR="00CD6FC0" w:rsidRPr="00897E1B" w:rsidRDefault="00CD6FC0" w:rsidP="00CD6FC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897E1B">
              <w:rPr>
                <w:rFonts w:eastAsiaTheme="minorEastAsia" w:cs="Calibri"/>
                <w:iCs/>
                <w:color w:val="FFFFFF"/>
                <w:szCs w:val="18"/>
                <w:lang w:eastAsia="en-AU"/>
              </w:rPr>
              <w:t>Actual</w:t>
            </w:r>
            <w:r w:rsidR="00F2420E">
              <w:rPr>
                <w:rFonts w:eastAsiaTheme="minorEastAsia" w:cs="Calibri"/>
                <w:iCs/>
                <w:color w:val="FFFFFF"/>
                <w:szCs w:val="18"/>
                <w:lang w:eastAsia="en-AU"/>
              </w:rPr>
              <w:t xml:space="preserve"> </w:t>
            </w:r>
            <w:r w:rsidRPr="00897E1B">
              <w:rPr>
                <w:rFonts w:eastAsiaTheme="minorEastAsia" w:cs="Calibri"/>
                <w:iCs/>
                <w:color w:val="FFFFFF"/>
                <w:szCs w:val="18"/>
                <w:lang w:eastAsia="en-AU"/>
              </w:rPr>
              <w:t>movement</w:t>
            </w:r>
          </w:p>
        </w:tc>
        <w:tc>
          <w:tcPr>
            <w:tcW w:w="907" w:type="dxa"/>
            <w:tcBorders>
              <w:top w:val="nil"/>
              <w:left w:val="nil"/>
              <w:right w:val="nil"/>
            </w:tcBorders>
            <w:shd w:val="solid" w:color="000000" w:fill="auto"/>
          </w:tcPr>
          <w:p w:rsidR="00CD6FC0" w:rsidRPr="00897E1B" w:rsidRDefault="00CD6FC0" w:rsidP="00F2420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897E1B">
              <w:rPr>
                <w:rFonts w:eastAsiaTheme="minorEastAsia" w:cs="Calibri"/>
                <w:iCs/>
                <w:color w:val="FFFFFF"/>
                <w:szCs w:val="18"/>
                <w:lang w:eastAsia="en-AU"/>
              </w:rPr>
              <w:t>2016</w:t>
            </w:r>
            <w:r w:rsidR="00F2420E">
              <w:rPr>
                <w:rFonts w:eastAsiaTheme="minorEastAsia" w:cs="Calibri"/>
                <w:iCs/>
                <w:color w:val="FFFFFF"/>
                <w:szCs w:val="18"/>
                <w:lang w:eastAsia="en-AU"/>
              </w:rPr>
              <w:br/>
            </w:r>
            <w:r w:rsidRPr="00897E1B">
              <w:rPr>
                <w:rFonts w:eastAsiaTheme="minorEastAsia" w:cs="Calibri"/>
                <w:iCs/>
                <w:color w:val="FFFFFF"/>
                <w:szCs w:val="18"/>
                <w:lang w:eastAsia="en-AU"/>
              </w:rPr>
              <w:t>actual</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6"/>
                <w:lang w:eastAsia="en-AU"/>
              </w:rPr>
            </w:pPr>
            <w:r w:rsidRPr="00897E1B">
              <w:rPr>
                <w:rFonts w:eastAsiaTheme="minorEastAsia" w:cs="Calibri"/>
                <w:b/>
                <w:bCs/>
                <w:color w:val="000000"/>
                <w:szCs w:val="16"/>
                <w:lang w:eastAsia="en-AU"/>
              </w:rPr>
              <w:t>Assets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6"/>
                <w:lang w:eastAsia="en-AU"/>
              </w:rPr>
            </w:pPr>
            <w:r w:rsidRPr="00897E1B">
              <w:rPr>
                <w:rFonts w:eastAsiaTheme="minorEastAsia" w:cs="Calibri"/>
                <w:color w:val="000000"/>
                <w:szCs w:val="16"/>
                <w:lang w:eastAsia="en-AU"/>
              </w:rPr>
              <w:t>Financial assets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28 120</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1 593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26 527</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10 300</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17 820</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6"/>
                <w:vertAlign w:val="superscript"/>
                <w:lang w:eastAsia="en-AU"/>
              </w:rPr>
            </w:pPr>
            <w:r w:rsidRPr="00897E1B">
              <w:rPr>
                <w:rFonts w:eastAsiaTheme="minorEastAsia" w:cs="Calibri"/>
                <w:color w:val="000000"/>
                <w:szCs w:val="16"/>
                <w:lang w:eastAsia="en-AU"/>
              </w:rPr>
              <w:t xml:space="preserve">Non-financial assets </w:t>
            </w:r>
            <w:r w:rsidRPr="00897E1B">
              <w:rPr>
                <w:rFonts w:eastAsiaTheme="minorEastAsia" w:cs="Calibri"/>
                <w:color w:val="000000"/>
                <w:szCs w:val="16"/>
                <w:vertAlign w:val="superscript"/>
                <w:lang w:eastAsia="en-AU"/>
              </w:rPr>
              <w:t>(a)</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123 849</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3 612</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120 237</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8 034</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115 814</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6"/>
                <w:lang w:eastAsia="en-AU"/>
              </w:rPr>
            </w:pPr>
            <w:r w:rsidRPr="00897E1B">
              <w:rPr>
                <w:rFonts w:eastAsiaTheme="minorEastAsia" w:cs="Calibri"/>
                <w:b/>
                <w:bCs/>
                <w:color w:val="000000"/>
                <w:szCs w:val="16"/>
                <w:lang w:eastAsia="en-AU"/>
              </w:rPr>
              <w:t>Investment in other sector entities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6"/>
                <w:lang w:eastAsia="en-AU"/>
              </w:rPr>
            </w:pPr>
            <w:r w:rsidRPr="00897E1B">
              <w:rPr>
                <w:rFonts w:eastAsiaTheme="minorEastAsia" w:cs="Calibri"/>
                <w:color w:val="000000"/>
                <w:szCs w:val="16"/>
                <w:lang w:eastAsia="en-AU"/>
              </w:rPr>
              <w:t>Public non-financial corporations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89 126</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1 853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87 274</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(3 107)</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92 233</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rPr>
                <w:rFonts w:eastAsiaTheme="minorEastAsia" w:cs="Calibri"/>
                <w:color w:val="000000"/>
                <w:szCs w:val="16"/>
                <w:lang w:eastAsia="en-AU"/>
              </w:rPr>
            </w:pPr>
            <w:r w:rsidRPr="00897E1B">
              <w:rPr>
                <w:rFonts w:eastAsiaTheme="minorEastAsia" w:cs="Calibri"/>
                <w:color w:val="000000"/>
                <w:szCs w:val="16"/>
                <w:lang w:eastAsia="en-AU"/>
              </w:rPr>
              <w:t>Public financial corporations</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3 383</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(52)</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3 435</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906</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2 477</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6"/>
                <w:vertAlign w:val="superscript"/>
                <w:lang w:eastAsia="en-AU"/>
              </w:rPr>
            </w:pPr>
            <w:r w:rsidRPr="00897E1B">
              <w:rPr>
                <w:rFonts w:eastAsiaTheme="minorEastAsia" w:cs="Calibri"/>
                <w:b/>
                <w:bCs/>
                <w:color w:val="000000"/>
                <w:szCs w:val="16"/>
                <w:lang w:eastAsia="en-AU"/>
              </w:rPr>
              <w:t xml:space="preserve">Total assets </w:t>
            </w:r>
            <w:r w:rsidRPr="00897E1B">
              <w:rPr>
                <w:rFonts w:eastAsiaTheme="minorEastAsia" w:cs="Calibri"/>
                <w:b/>
                <w:bCs/>
                <w:color w:val="000000"/>
                <w:szCs w:val="16"/>
                <w:vertAlign w:val="superscript"/>
                <w:lang w:eastAsia="en-AU"/>
              </w:rPr>
              <w:t>(a)</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244 478</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7 006</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237 472</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16 133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228 345</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6"/>
                <w:lang w:eastAsia="en-AU"/>
              </w:rPr>
            </w:pPr>
            <w:r w:rsidRPr="00897E1B">
              <w:rPr>
                <w:rFonts w:eastAsiaTheme="minorEastAsia" w:cs="Calibri"/>
                <w:b/>
                <w:bCs/>
                <w:color w:val="000000"/>
                <w:szCs w:val="16"/>
                <w:lang w:eastAsia="en-AU"/>
              </w:rPr>
              <w:t>Liabilities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6"/>
                <w:lang w:eastAsia="en-AU"/>
              </w:rPr>
            </w:pPr>
            <w:r w:rsidRPr="00897E1B">
              <w:rPr>
                <w:rFonts w:eastAsiaTheme="minorEastAsia" w:cs="Calibri"/>
                <w:color w:val="000000"/>
                <w:szCs w:val="16"/>
                <w:lang w:eastAsia="en-AU"/>
              </w:rPr>
              <w:t>Superannuation</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24 900</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(524)</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25 424</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(4 390)</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29 291</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6"/>
                <w:lang w:eastAsia="en-AU"/>
              </w:rPr>
            </w:pPr>
            <w:r w:rsidRPr="00897E1B">
              <w:rPr>
                <w:rFonts w:eastAsiaTheme="minorEastAsia" w:cs="Calibri"/>
                <w:color w:val="000000"/>
                <w:szCs w:val="16"/>
                <w:lang w:eastAsia="en-AU"/>
              </w:rPr>
              <w:t>Borrowings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28 816</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(1 655)</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30 471</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(4 995)</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33 811</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6"/>
                <w:lang w:eastAsia="en-AU"/>
              </w:rPr>
            </w:pPr>
            <w:r w:rsidRPr="00897E1B">
              <w:rPr>
                <w:rFonts w:eastAsiaTheme="minorEastAsia" w:cs="Calibri"/>
                <w:color w:val="000000"/>
                <w:szCs w:val="16"/>
                <w:lang w:eastAsia="en-AU"/>
              </w:rPr>
              <w:t>Other liabilities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22 735</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1 387</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21 347</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9 289</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13 445</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6"/>
                <w:lang w:eastAsia="en-AU"/>
              </w:rPr>
            </w:pPr>
            <w:r w:rsidRPr="00897E1B">
              <w:rPr>
                <w:rFonts w:eastAsiaTheme="minorEastAsia" w:cs="Calibri"/>
                <w:b/>
                <w:bCs/>
                <w:color w:val="000000"/>
                <w:szCs w:val="16"/>
                <w:lang w:eastAsia="en-AU"/>
              </w:rPr>
              <w:t>Total liabilities</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76 451</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(792)</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77 243</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(96)</w:t>
            </w:r>
          </w:p>
        </w:tc>
        <w:tc>
          <w:tcPr>
            <w:tcW w:w="907" w:type="dxa"/>
            <w:tcBorders>
              <w:top w:val="single" w:sz="6" w:space="0" w:color="000000"/>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76 547</w:t>
            </w:r>
          </w:p>
        </w:tc>
      </w:tr>
      <w:tr w:rsidR="00BB6F1F" w:rsidRPr="00897E1B"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bottom w:val="single" w:sz="12" w:space="0" w:color="000000"/>
            </w:tcBorders>
          </w:tcPr>
          <w:p w:rsidR="00BB6F1F" w:rsidRPr="00897E1B" w:rsidRDefault="00BB6F1F" w:rsidP="00AC68FF">
            <w:pPr>
              <w:keepLines w:val="0"/>
              <w:autoSpaceDE w:val="0"/>
              <w:autoSpaceDN w:val="0"/>
              <w:adjustRightInd w:val="0"/>
              <w:rPr>
                <w:rFonts w:eastAsiaTheme="minorEastAsia" w:cs="Calibri"/>
                <w:bCs/>
                <w:color w:val="000000"/>
                <w:szCs w:val="16"/>
                <w:vertAlign w:val="superscript"/>
                <w:lang w:eastAsia="en-AU"/>
              </w:rPr>
            </w:pPr>
            <w:r w:rsidRPr="00897E1B">
              <w:rPr>
                <w:rFonts w:eastAsiaTheme="minorEastAsia" w:cs="Calibri"/>
                <w:bCs/>
                <w:color w:val="000000"/>
                <w:szCs w:val="16"/>
                <w:lang w:eastAsia="en-AU"/>
              </w:rPr>
              <w:t xml:space="preserve">Net assets </w:t>
            </w:r>
            <w:r w:rsidRPr="00897E1B">
              <w:rPr>
                <w:rFonts w:eastAsiaTheme="minorEastAsia" w:cs="Calibri"/>
                <w:bCs/>
                <w:color w:val="000000"/>
                <w:szCs w:val="16"/>
                <w:vertAlign w:val="superscript"/>
                <w:lang w:eastAsia="en-AU"/>
              </w:rPr>
              <w:t>(a)</w:t>
            </w:r>
          </w:p>
        </w:tc>
        <w:tc>
          <w:tcPr>
            <w:tcW w:w="907" w:type="dxa"/>
            <w:tcBorders>
              <w:top w:val="single" w:sz="6" w:space="0" w:color="000000"/>
              <w:bottom w:val="single" w:sz="12" w:space="0" w:color="000000"/>
            </w:tcBorders>
          </w:tcPr>
          <w:p w:rsidR="00BB6F1F" w:rsidRPr="00897E1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897E1B">
              <w:rPr>
                <w:rFonts w:eastAsiaTheme="minorEastAsia" w:cs="Calibri"/>
                <w:bCs/>
                <w:color w:val="000000"/>
                <w:szCs w:val="18"/>
                <w:lang w:eastAsia="en-AU"/>
              </w:rPr>
              <w:t>168 027</w:t>
            </w:r>
          </w:p>
        </w:tc>
        <w:tc>
          <w:tcPr>
            <w:tcW w:w="907" w:type="dxa"/>
            <w:tcBorders>
              <w:top w:val="single" w:sz="6" w:space="0" w:color="000000"/>
              <w:bottom w:val="single" w:sz="12" w:space="0" w:color="000000"/>
            </w:tcBorders>
          </w:tcPr>
          <w:p w:rsidR="00BB6F1F" w:rsidRPr="00897E1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897E1B">
              <w:rPr>
                <w:rFonts w:eastAsiaTheme="minorEastAsia" w:cs="Calibri"/>
                <w:bCs/>
                <w:color w:val="000000"/>
                <w:szCs w:val="18"/>
                <w:lang w:eastAsia="en-AU"/>
              </w:rPr>
              <w:t>7 798</w:t>
            </w:r>
          </w:p>
        </w:tc>
        <w:tc>
          <w:tcPr>
            <w:tcW w:w="907" w:type="dxa"/>
            <w:tcBorders>
              <w:top w:val="single" w:sz="6" w:space="0" w:color="000000"/>
              <w:bottom w:val="single" w:sz="12" w:space="0" w:color="000000"/>
            </w:tcBorders>
          </w:tcPr>
          <w:p w:rsidR="00BB6F1F" w:rsidRPr="00897E1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897E1B">
              <w:rPr>
                <w:rFonts w:eastAsiaTheme="minorEastAsia" w:cs="Calibri"/>
                <w:bCs/>
                <w:color w:val="000000"/>
                <w:szCs w:val="18"/>
                <w:lang w:eastAsia="en-AU"/>
              </w:rPr>
              <w:t>160 229</w:t>
            </w:r>
          </w:p>
        </w:tc>
        <w:tc>
          <w:tcPr>
            <w:tcW w:w="907" w:type="dxa"/>
            <w:tcBorders>
              <w:top w:val="single" w:sz="6" w:space="0" w:color="000000"/>
              <w:bottom w:val="single" w:sz="12" w:space="0" w:color="000000"/>
            </w:tcBorders>
          </w:tcPr>
          <w:p w:rsidR="00BB6F1F" w:rsidRPr="00897E1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897E1B">
              <w:rPr>
                <w:rFonts w:eastAsiaTheme="minorEastAsia" w:cs="Calibri"/>
                <w:bCs/>
                <w:color w:val="000000"/>
                <w:szCs w:val="18"/>
                <w:lang w:eastAsia="en-AU"/>
              </w:rPr>
              <w:t>16 229</w:t>
            </w:r>
          </w:p>
        </w:tc>
        <w:tc>
          <w:tcPr>
            <w:tcW w:w="907" w:type="dxa"/>
            <w:tcBorders>
              <w:top w:val="single" w:sz="6" w:space="0" w:color="000000"/>
              <w:bottom w:val="single" w:sz="12" w:space="0" w:color="000000"/>
            </w:tcBorders>
          </w:tcPr>
          <w:p w:rsidR="00BB6F1F" w:rsidRPr="00897E1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897E1B">
              <w:rPr>
                <w:rFonts w:eastAsiaTheme="minorEastAsia" w:cs="Calibri"/>
                <w:bCs/>
                <w:color w:val="000000"/>
                <w:szCs w:val="18"/>
                <w:lang w:eastAsia="en-AU"/>
              </w:rPr>
              <w:t>151 798</w:t>
            </w:r>
          </w:p>
        </w:tc>
      </w:tr>
    </w:tbl>
    <w:p w:rsidR="00BB6F1F" w:rsidRDefault="00BB6F1F" w:rsidP="00AC68FF">
      <w:pPr>
        <w:pStyle w:val="Note"/>
      </w:pPr>
      <w:r>
        <w:t>Note:</w:t>
      </w:r>
    </w:p>
    <w:p w:rsidR="00BB6F1F" w:rsidRDefault="00BB6F1F" w:rsidP="00AC68FF">
      <w:pPr>
        <w:pStyle w:val="Note"/>
      </w:pPr>
      <w:r>
        <w:t>(a)</w:t>
      </w:r>
      <w:r>
        <w:tab/>
      </w:r>
      <w:r w:rsidRPr="00181405">
        <w:t>June 2016 comparative figures have been restated to reflect an adjustment to the Department of Environment, Land, Water and Planning</w:t>
      </w:r>
      <w:r>
        <w:t>’</w:t>
      </w:r>
      <w:r w:rsidRPr="00181405">
        <w:t xml:space="preserve">s intangible produced assets due to the </w:t>
      </w:r>
      <w:r>
        <w:t xml:space="preserve">first-time </w:t>
      </w:r>
      <w:r w:rsidRPr="00181405">
        <w:t>recognition of Renewable Energy Certificates</w:t>
      </w:r>
      <w:r>
        <w:t xml:space="preserve">. </w:t>
      </w:r>
    </w:p>
    <w:p w:rsidR="00BB6F1F" w:rsidRDefault="00BB6F1F" w:rsidP="00AC68FF">
      <w:pPr>
        <w:pStyle w:val="Note"/>
        <w:rPr>
          <w:rFonts w:cs="Helv"/>
          <w:iCs/>
          <w:color w:val="000000"/>
          <w:szCs w:val="16"/>
        </w:rPr>
      </w:pPr>
    </w:p>
    <w:p w:rsidR="00BB6F1F" w:rsidRDefault="00BB6F1F" w:rsidP="00AC68FF">
      <w:pPr>
        <w:pStyle w:val="Note"/>
        <w:sectPr w:rsidR="00BB6F1F" w:rsidSect="00AC68FF">
          <w:type w:val="continuous"/>
          <w:pgSz w:w="11906" w:h="16838" w:code="9"/>
          <w:pgMar w:top="1134" w:right="1134" w:bottom="1134" w:left="1134" w:header="624" w:footer="567" w:gutter="0"/>
          <w:cols w:space="708"/>
          <w:docGrid w:linePitch="360"/>
        </w:sectPr>
      </w:pPr>
    </w:p>
    <w:p w:rsidR="00BB6F1F" w:rsidRDefault="00BB6F1F" w:rsidP="00AC68FF">
      <w:pPr>
        <w:pStyle w:val="Heading20"/>
        <w:spacing w:before="0"/>
      </w:pPr>
      <w:r>
        <w:lastRenderedPageBreak/>
        <w:t>Assets</w:t>
      </w:r>
    </w:p>
    <w:p w:rsidR="00BB6F1F" w:rsidRDefault="00BB6F1F" w:rsidP="00AC68FF">
      <w:r>
        <w:t xml:space="preserve">Financial assets in Table 2.4 include cash, investments, loans and placements. The value of financial assets held by the general government sector increased by </w:t>
      </w:r>
      <w:r w:rsidRPr="0015475E">
        <w:t>$</w:t>
      </w:r>
      <w:r>
        <w:t>10</w:t>
      </w:r>
      <w:r w:rsidRPr="0015475E">
        <w:t>.</w:t>
      </w:r>
      <w:r>
        <w:t>3 billion during the year. The increase is mainly due to higher advances associated with the arrangements established to invest and ultimately apply the proceeds of the Port of Melbourne lease transaction. The actual outcome was $1.6 billion higher than the revised estimates, reflecting the stronger than expected operating result in the year.</w:t>
      </w:r>
    </w:p>
    <w:p w:rsidR="00BB6F1F" w:rsidRDefault="00BB6F1F" w:rsidP="00AC68FF">
      <w:r>
        <w:t>Non</w:t>
      </w:r>
      <w:r>
        <w:noBreakHyphen/>
        <w:t xml:space="preserve">financial </w:t>
      </w:r>
      <w:r w:rsidRPr="00E3150B">
        <w:t>assets increased by $</w:t>
      </w:r>
      <w:r>
        <w:t xml:space="preserve">8.0 billion during 2016-17, mainly due to the Government’s investment in infrastructure, the </w:t>
      </w:r>
      <w:r w:rsidRPr="00742962">
        <w:t xml:space="preserve">revaluation of </w:t>
      </w:r>
      <w:r>
        <w:t>land under roads and the recognition of the Bendigo Hospital and new schools public private partnerships.</w:t>
      </w:r>
    </w:p>
    <w:p w:rsidR="00BB6F1F" w:rsidRDefault="00BB6F1F" w:rsidP="00AC68FF">
      <w:r w:rsidRPr="00762D96">
        <w:t>General government investments in other sector entities decreased by $2.</w:t>
      </w:r>
      <w:r>
        <w:t>2</w:t>
      </w:r>
      <w:r w:rsidRPr="00762D96">
        <w:t xml:space="preserve"> billion in the year. This is mainly due to </w:t>
      </w:r>
      <w:r>
        <w:t xml:space="preserve">the reduction of the State’s investment in the Port of Melbourne Corporation following the entering into the medium-term lease over its operations. This decrease was partially offset by infrastructure investment in Victorian Rail Track, the </w:t>
      </w:r>
      <w:r w:rsidRPr="00762D96">
        <w:t>revaluation of the Director of Housing</w:t>
      </w:r>
      <w:r>
        <w:t xml:space="preserve">’s land holdings and </w:t>
      </w:r>
      <w:r w:rsidRPr="00762D96">
        <w:t xml:space="preserve">the strong investment </w:t>
      </w:r>
      <w:r>
        <w:t xml:space="preserve">market </w:t>
      </w:r>
      <w:r w:rsidRPr="00762D96">
        <w:t xml:space="preserve">performance in the insurance </w:t>
      </w:r>
      <w:r>
        <w:t xml:space="preserve">entities investment </w:t>
      </w:r>
      <w:r w:rsidRPr="00781CC7">
        <w:t>portfolios.</w:t>
      </w:r>
      <w:r>
        <w:t xml:space="preserve"> </w:t>
      </w:r>
    </w:p>
    <w:p w:rsidR="00BB6F1F" w:rsidRDefault="00BB6F1F" w:rsidP="00AC68FF">
      <w:pPr>
        <w:pStyle w:val="Heading20"/>
        <w:spacing w:before="0"/>
      </w:pPr>
      <w:r>
        <w:lastRenderedPageBreak/>
        <w:t>Liabilities</w:t>
      </w:r>
    </w:p>
    <w:p w:rsidR="00BB6F1F" w:rsidRDefault="00BB6F1F" w:rsidP="00AC68FF">
      <w:r>
        <w:t xml:space="preserve">Total liabilities as at 30 June 2017 were </w:t>
      </w:r>
      <w:r w:rsidRPr="00D81FDA">
        <w:t>$</w:t>
      </w:r>
      <w:r>
        <w:t>792 million and $96 million lower</w:t>
      </w:r>
      <w:r w:rsidRPr="00D81FDA">
        <w:t xml:space="preserve"> than the 201</w:t>
      </w:r>
      <w:r>
        <w:t>6</w:t>
      </w:r>
      <w:r>
        <w:noBreakHyphen/>
      </w:r>
      <w:r w:rsidRPr="00D81FDA">
        <w:t>1</w:t>
      </w:r>
      <w:r>
        <w:t>7</w:t>
      </w:r>
      <w:r w:rsidRPr="00D81FDA">
        <w:t xml:space="preserve"> revised budget</w:t>
      </w:r>
      <w:r>
        <w:t xml:space="preserve"> and the 2015</w:t>
      </w:r>
      <w:r>
        <w:noBreakHyphen/>
        <w:t xml:space="preserve">16 actual outcome respectively. The decrease compared with the revised budget is mainly attributable to the stronger than expected operating result in the year. </w:t>
      </w:r>
      <w:r w:rsidRPr="00DB77C5">
        <w:t xml:space="preserve">The reduction compared to the prior year mainly reflects a reduction in the unfunded superannuation liability due to </w:t>
      </w:r>
      <w:r>
        <w:t>increased</w:t>
      </w:r>
      <w:r w:rsidRPr="00DB77C5">
        <w:t xml:space="preserve"> bond yields and a reduction in borrowings reflecting the impact of th</w:t>
      </w:r>
      <w:r>
        <w:t>e Port of Melbourne transaction</w:t>
      </w:r>
      <w:r w:rsidRPr="00DB77C5">
        <w:t>, net of the progressive application of the proceeds.</w:t>
      </w:r>
      <w:r>
        <w:t xml:space="preserve"> </w:t>
      </w:r>
      <w:r>
        <w:br w:type="page"/>
      </w:r>
    </w:p>
    <w:p w:rsidR="00BB6F1F" w:rsidRDefault="00BB6F1F" w:rsidP="00AC68FF">
      <w:pPr>
        <w:pStyle w:val="Heading10"/>
      </w:pPr>
      <w:r>
        <w:lastRenderedPageBreak/>
        <w:t>CASH FLOWS</w:t>
      </w:r>
    </w:p>
    <w:p w:rsidR="00BB6F1F" w:rsidRDefault="00BB6F1F" w:rsidP="00AC68FF">
      <w:r>
        <w:t>Table 2.5 outlines the use of cash resources. It summarises cash generated through the operations of Victorian government departments and other general government sector agencies, and how the cash has been invested in fixed assets.</w:t>
      </w:r>
    </w:p>
    <w:p w:rsidR="00BB6F1F" w:rsidRDefault="00BB6F1F" w:rsidP="00AC68FF">
      <w:r>
        <w:t>A detailed cash flow statement is provided in Chapter 4.</w:t>
      </w:r>
    </w:p>
    <w:p w:rsidR="00BB6F1F" w:rsidRDefault="00BB6F1F" w:rsidP="00AC68FF">
      <w:pPr>
        <w:sectPr w:rsidR="00BB6F1F" w:rsidSect="00AC68FF">
          <w:type w:val="continuous"/>
          <w:pgSz w:w="11906" w:h="16838" w:code="9"/>
          <w:pgMar w:top="1134" w:right="1134" w:bottom="1134" w:left="1134" w:header="624" w:footer="567" w:gutter="0"/>
          <w:cols w:num="2" w:space="708"/>
          <w:docGrid w:linePitch="360"/>
        </w:sectPr>
      </w:pPr>
      <w:r>
        <w:br w:type="column"/>
      </w:r>
    </w:p>
    <w:p w:rsidR="00BB6F1F" w:rsidRPr="00897E1B" w:rsidRDefault="00BB6F1F" w:rsidP="00AC68FF">
      <w:pPr>
        <w:pStyle w:val="TableHeading"/>
        <w:rPr>
          <w:bCs/>
          <w:lang w:val="en-US"/>
        </w:rPr>
      </w:pPr>
      <w:r>
        <w:lastRenderedPageBreak/>
        <w:t>Table 2.5:</w:t>
      </w:r>
      <w:r>
        <w:tab/>
        <w:t>Application of cash resources</w:t>
      </w:r>
      <w:r>
        <w:tab/>
      </w:r>
      <w:r w:rsidRPr="00217AA1">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6917"/>
        <w:gridCol w:w="907"/>
        <w:gridCol w:w="907"/>
        <w:gridCol w:w="907"/>
      </w:tblGrid>
      <w:tr w:rsidR="00CD6FC0" w:rsidRPr="00897E1B" w:rsidTr="00CD6FC0">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6917" w:type="dxa"/>
            <w:tcBorders>
              <w:top w:val="nil"/>
              <w:left w:val="nil"/>
              <w:right w:val="nil"/>
            </w:tcBorders>
            <w:shd w:val="solid" w:color="000000" w:fill="auto"/>
          </w:tcPr>
          <w:p w:rsidR="00CD6FC0" w:rsidRPr="00897E1B" w:rsidRDefault="00CD6FC0" w:rsidP="00AC68FF">
            <w:pPr>
              <w:autoSpaceDE w:val="0"/>
              <w:autoSpaceDN w:val="0"/>
              <w:adjustRightInd w:val="0"/>
              <w:rPr>
                <w:rFonts w:eastAsiaTheme="minorEastAsia" w:cs="Calibri"/>
                <w:iCs/>
                <w:color w:val="FFFFFF"/>
                <w:lang w:eastAsia="en-AU"/>
              </w:rPr>
            </w:pPr>
          </w:p>
        </w:tc>
        <w:tc>
          <w:tcPr>
            <w:tcW w:w="907" w:type="dxa"/>
            <w:tcBorders>
              <w:top w:val="nil"/>
              <w:left w:val="nil"/>
              <w:right w:val="nil"/>
            </w:tcBorders>
            <w:shd w:val="solid" w:color="000000" w:fill="auto"/>
          </w:tcPr>
          <w:p w:rsidR="00CD6FC0" w:rsidRPr="00897E1B" w:rsidRDefault="00CD6FC0" w:rsidP="00F2420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897E1B">
              <w:rPr>
                <w:rFonts w:eastAsiaTheme="minorEastAsia" w:cs="Calibri"/>
                <w:iCs/>
                <w:color w:val="FFFFFF"/>
                <w:szCs w:val="16"/>
                <w:lang w:eastAsia="en-AU"/>
              </w:rPr>
              <w:t>2016</w:t>
            </w:r>
            <w:r w:rsidR="00F2420E">
              <w:rPr>
                <w:rFonts w:eastAsiaTheme="minorEastAsia" w:cs="Calibri"/>
                <w:iCs/>
                <w:color w:val="FFFFFF"/>
                <w:szCs w:val="16"/>
                <w:lang w:eastAsia="en-AU"/>
              </w:rPr>
              <w:br/>
            </w:r>
            <w:r w:rsidRPr="00897E1B">
              <w:rPr>
                <w:rFonts w:eastAsiaTheme="minorEastAsia" w:cs="Calibri"/>
                <w:iCs/>
                <w:color w:val="FFFFFF"/>
                <w:szCs w:val="16"/>
                <w:lang w:eastAsia="en-AU"/>
              </w:rPr>
              <w:t>actual</w:t>
            </w:r>
          </w:p>
        </w:tc>
        <w:tc>
          <w:tcPr>
            <w:tcW w:w="907" w:type="dxa"/>
            <w:tcBorders>
              <w:top w:val="nil"/>
              <w:left w:val="nil"/>
              <w:right w:val="nil"/>
            </w:tcBorders>
            <w:shd w:val="solid" w:color="000000" w:fill="auto"/>
          </w:tcPr>
          <w:p w:rsidR="00CD6FC0" w:rsidRPr="00897E1B" w:rsidRDefault="00CD6FC0" w:rsidP="00F2420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897E1B">
              <w:rPr>
                <w:rFonts w:eastAsiaTheme="minorEastAsia" w:cs="Calibri"/>
                <w:iCs/>
                <w:color w:val="FFFFFF"/>
                <w:szCs w:val="16"/>
                <w:lang w:eastAsia="en-AU"/>
              </w:rPr>
              <w:t>2017</w:t>
            </w:r>
            <w:r w:rsidR="00F2420E">
              <w:rPr>
                <w:rFonts w:eastAsiaTheme="minorEastAsia" w:cs="Calibri"/>
                <w:iCs/>
                <w:color w:val="FFFFFF"/>
                <w:szCs w:val="16"/>
                <w:lang w:eastAsia="en-AU"/>
              </w:rPr>
              <w:br/>
            </w:r>
            <w:r w:rsidRPr="00897E1B">
              <w:rPr>
                <w:rFonts w:eastAsiaTheme="minorEastAsia" w:cs="Calibri"/>
                <w:iCs/>
                <w:color w:val="FFFFFF"/>
                <w:szCs w:val="16"/>
                <w:lang w:eastAsia="en-AU"/>
              </w:rPr>
              <w:t>actual</w:t>
            </w:r>
          </w:p>
        </w:tc>
        <w:tc>
          <w:tcPr>
            <w:tcW w:w="907" w:type="dxa"/>
            <w:tcBorders>
              <w:top w:val="nil"/>
              <w:left w:val="nil"/>
              <w:right w:val="nil"/>
            </w:tcBorders>
            <w:shd w:val="solid" w:color="000000" w:fill="auto"/>
          </w:tcPr>
          <w:p w:rsidR="00CD6FC0" w:rsidRPr="00897E1B" w:rsidRDefault="00CD6FC0" w:rsidP="00F2420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897E1B">
              <w:rPr>
                <w:rFonts w:eastAsiaTheme="minorEastAsia" w:cs="Calibri"/>
                <w:iCs/>
                <w:color w:val="FFFFFF"/>
                <w:szCs w:val="16"/>
                <w:lang w:eastAsia="en-AU"/>
              </w:rPr>
              <w:t>201</w:t>
            </w:r>
            <w:r>
              <w:rPr>
                <w:rFonts w:eastAsiaTheme="minorEastAsia" w:cs="Calibri"/>
                <w:iCs/>
                <w:color w:val="FFFFFF"/>
                <w:szCs w:val="16"/>
                <w:lang w:eastAsia="en-AU"/>
              </w:rPr>
              <w:t>7</w:t>
            </w:r>
            <w:r w:rsidR="00F2420E">
              <w:rPr>
                <w:rFonts w:eastAsiaTheme="minorEastAsia" w:cs="Calibri"/>
                <w:iCs/>
                <w:color w:val="FFFFFF"/>
                <w:szCs w:val="16"/>
                <w:lang w:eastAsia="en-AU"/>
              </w:rPr>
              <w:t xml:space="preserve"> </w:t>
            </w:r>
            <w:r w:rsidRPr="00897E1B">
              <w:rPr>
                <w:rFonts w:eastAsiaTheme="minorEastAsia" w:cs="Calibri"/>
                <w:iCs/>
                <w:color w:val="FFFFFF"/>
                <w:szCs w:val="16"/>
                <w:lang w:eastAsia="en-AU"/>
              </w:rPr>
              <w:t>revised</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Net result from transactions – net operating balance</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2 664</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2 709</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1 344</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rPr>
                <w:rFonts w:eastAsiaTheme="minorEastAsia" w:cs="Calibri"/>
                <w:color w:val="000000"/>
                <w:szCs w:val="18"/>
                <w:vertAlign w:val="superscript"/>
                <w:lang w:eastAsia="en-AU"/>
              </w:rPr>
            </w:pPr>
            <w:r w:rsidRPr="00897E1B">
              <w:rPr>
                <w:rFonts w:eastAsiaTheme="minorEastAsia" w:cs="Calibri"/>
                <w:color w:val="000000"/>
                <w:szCs w:val="18"/>
                <w:lang w:eastAsia="en-AU"/>
              </w:rPr>
              <w:t xml:space="preserve">Add back: Non-cash revenues and expenses (net) </w:t>
            </w:r>
            <w:r w:rsidRPr="00897E1B">
              <w:rPr>
                <w:rFonts w:eastAsiaTheme="minorEastAsia" w:cs="Calibri"/>
                <w:color w:val="000000"/>
                <w:szCs w:val="18"/>
                <w:vertAlign w:val="superscript"/>
                <w:lang w:eastAsia="en-AU"/>
              </w:rPr>
              <w:t>(a)</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2 695</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2 816</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2 300</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Net cash flows from operating activities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5 359</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5 524</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3 644</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Less: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897E1B">
              <w:rPr>
                <w:rFonts w:eastAsiaTheme="minorEastAsia" w:cs="Calibri"/>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897E1B">
              <w:rPr>
                <w:rFonts w:eastAsiaTheme="minorEastAsia" w:cs="Calibri"/>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897E1B">
              <w:rPr>
                <w:rFonts w:eastAsiaTheme="minorEastAsia" w:cs="Calibri"/>
                <w:color w:val="000000"/>
                <w:lang w:eastAsia="en-AU"/>
              </w:rPr>
              <w:t xml:space="preserve"> </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Net investment in fixed assets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897E1B">
              <w:rPr>
                <w:rFonts w:eastAsiaTheme="minorEastAsia" w:cs="Calibri"/>
                <w:b/>
                <w:bCs/>
                <w:color w:val="000000"/>
                <w:lang w:eastAsia="en-AU"/>
              </w:rPr>
              <w:t xml:space="preserve"> </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Expenditure on approved projects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4 327</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7 144</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7 155</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Less: Sale of non-financial assets</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190</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287</w:t>
            </w:r>
          </w:p>
        </w:tc>
        <w:tc>
          <w:tcPr>
            <w:tcW w:w="907" w:type="dxa"/>
            <w:tcBorders>
              <w:top w:val="nil"/>
              <w:left w:val="nil"/>
              <w:bottom w:val="single" w:sz="6" w:space="0" w:color="000000"/>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392</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b/>
                <w:bCs/>
                <w:color w:val="000000"/>
                <w:szCs w:val="18"/>
                <w:lang w:eastAsia="en-AU"/>
              </w:rPr>
            </w:pPr>
            <w:r w:rsidRPr="00897E1B">
              <w:rPr>
                <w:rFonts w:eastAsiaTheme="minorEastAsia" w:cs="Calibri"/>
                <w:b/>
                <w:bCs/>
                <w:color w:val="000000"/>
                <w:szCs w:val="18"/>
                <w:lang w:eastAsia="en-AU"/>
              </w:rPr>
              <w:t>Net investment in fixed assets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4 137</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6 857</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897E1B">
              <w:rPr>
                <w:rFonts w:eastAsiaTheme="minorEastAsia" w:cs="Calibri"/>
                <w:b/>
                <w:bCs/>
                <w:color w:val="000000"/>
                <w:szCs w:val="18"/>
                <w:lang w:eastAsia="en-AU"/>
              </w:rPr>
              <w:t>6 763</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lang w:eastAsia="en-AU"/>
              </w:rPr>
            </w:pPr>
            <w:r w:rsidRPr="00897E1B">
              <w:rPr>
                <w:rFonts w:eastAsiaTheme="minorEastAsia" w:cs="Calibri"/>
                <w:color w:val="000000"/>
                <w:szCs w:val="18"/>
                <w:lang w:eastAsia="en-AU"/>
              </w:rPr>
              <w:t>Finance leases</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897E1B">
              <w:rPr>
                <w:rFonts w:eastAsiaTheme="minorEastAsia" w:cs="Calibri"/>
                <w:color w:val="000000"/>
                <w:szCs w:val="18"/>
                <w:lang w:eastAsia="en-AU"/>
              </w:rPr>
              <w:t>1 050</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544</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517</w:t>
            </w:r>
          </w:p>
        </w:tc>
      </w:tr>
      <w:tr w:rsidR="00BB6F1F" w:rsidRPr="00897E1B" w:rsidTr="00AC68FF">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rsidR="00BB6F1F" w:rsidRPr="00897E1B" w:rsidRDefault="00BB6F1F" w:rsidP="00AC68FF">
            <w:pPr>
              <w:keepLines w:val="0"/>
              <w:autoSpaceDE w:val="0"/>
              <w:autoSpaceDN w:val="0"/>
              <w:adjustRightInd w:val="0"/>
              <w:rPr>
                <w:rFonts w:eastAsiaTheme="minorEastAsia" w:cs="Calibri"/>
                <w:color w:val="000000"/>
                <w:szCs w:val="18"/>
                <w:vertAlign w:val="superscript"/>
                <w:lang w:eastAsia="en-AU"/>
              </w:rPr>
            </w:pPr>
            <w:r w:rsidRPr="00897E1B">
              <w:rPr>
                <w:rFonts w:eastAsiaTheme="minorEastAsia" w:cs="Calibri"/>
                <w:color w:val="000000"/>
                <w:szCs w:val="18"/>
                <w:lang w:eastAsia="en-AU"/>
              </w:rPr>
              <w:t xml:space="preserve">Other investment activities (net) </w:t>
            </w:r>
            <w:r w:rsidRPr="00897E1B">
              <w:rPr>
                <w:rFonts w:eastAsiaTheme="minorEastAsia" w:cs="Calibri"/>
                <w:color w:val="000000"/>
                <w:szCs w:val="18"/>
                <w:vertAlign w:val="superscript"/>
                <w:lang w:eastAsia="en-AU"/>
              </w:rPr>
              <w:t>(b)</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(8 423)</w:t>
            </w:r>
          </w:p>
        </w:tc>
        <w:tc>
          <w:tcPr>
            <w:tcW w:w="907" w:type="dxa"/>
            <w:tcBorders>
              <w:top w:val="nil"/>
              <w:left w:val="nil"/>
              <w:bottom w:val="nil"/>
              <w:right w:val="nil"/>
            </w:tcBorders>
          </w:tcPr>
          <w:p w:rsidR="00BB6F1F" w:rsidRPr="00897E1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(7 820)</w:t>
            </w:r>
          </w:p>
        </w:tc>
      </w:tr>
      <w:tr w:rsidR="00BB6F1F" w:rsidRPr="00897E1B"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000000"/>
              <w:bottom w:val="single" w:sz="12" w:space="0" w:color="000000"/>
            </w:tcBorders>
          </w:tcPr>
          <w:p w:rsidR="00BB6F1F" w:rsidRPr="00897E1B" w:rsidRDefault="00BB6F1F" w:rsidP="00AC68FF">
            <w:pPr>
              <w:keepLines w:val="0"/>
              <w:autoSpaceDE w:val="0"/>
              <w:autoSpaceDN w:val="0"/>
              <w:adjustRightInd w:val="0"/>
              <w:rPr>
                <w:rFonts w:eastAsiaTheme="minorEastAsia" w:cs="Calibri"/>
                <w:bCs/>
                <w:color w:val="000000"/>
                <w:szCs w:val="18"/>
                <w:lang w:eastAsia="en-AU"/>
              </w:rPr>
            </w:pPr>
            <w:r w:rsidRPr="00897E1B">
              <w:rPr>
                <w:rFonts w:eastAsiaTheme="minorEastAsia" w:cs="Calibri"/>
                <w:bCs/>
                <w:color w:val="000000"/>
                <w:szCs w:val="18"/>
                <w:lang w:eastAsia="en-AU"/>
              </w:rPr>
              <w:t>Decrease/(increase) in net debt</w:t>
            </w:r>
          </w:p>
        </w:tc>
        <w:tc>
          <w:tcPr>
            <w:tcW w:w="907" w:type="dxa"/>
            <w:tcBorders>
              <w:top w:val="single" w:sz="6" w:space="0" w:color="000000"/>
              <w:bottom w:val="single" w:sz="12" w:space="0" w:color="000000"/>
            </w:tcBorders>
          </w:tcPr>
          <w:p w:rsidR="00BB6F1F" w:rsidRPr="00897E1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19</w:t>
            </w:r>
          </w:p>
        </w:tc>
        <w:tc>
          <w:tcPr>
            <w:tcW w:w="907" w:type="dxa"/>
            <w:tcBorders>
              <w:top w:val="single" w:sz="6" w:space="0" w:color="000000"/>
              <w:bottom w:val="single" w:sz="12" w:space="0" w:color="000000"/>
            </w:tcBorders>
          </w:tcPr>
          <w:p w:rsidR="00BB6F1F" w:rsidRPr="00897E1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897E1B">
              <w:rPr>
                <w:rFonts w:eastAsiaTheme="minorEastAsia" w:cs="Calibri"/>
                <w:bCs/>
                <w:color w:val="000000"/>
                <w:szCs w:val="18"/>
                <w:lang w:eastAsia="en-AU"/>
              </w:rPr>
              <w:t>6 546</w:t>
            </w:r>
          </w:p>
        </w:tc>
        <w:tc>
          <w:tcPr>
            <w:tcW w:w="907" w:type="dxa"/>
            <w:tcBorders>
              <w:top w:val="single" w:sz="6" w:space="0" w:color="000000"/>
              <w:bottom w:val="single" w:sz="12" w:space="0" w:color="000000"/>
            </w:tcBorders>
          </w:tcPr>
          <w:p w:rsidR="00BB6F1F" w:rsidRPr="00897E1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897E1B">
              <w:rPr>
                <w:rFonts w:eastAsiaTheme="minorEastAsia" w:cs="Calibri"/>
                <w:bCs/>
                <w:color w:val="000000"/>
                <w:szCs w:val="18"/>
                <w:lang w:eastAsia="en-AU"/>
              </w:rPr>
              <w:t>4 184</w:t>
            </w:r>
          </w:p>
        </w:tc>
      </w:tr>
    </w:tbl>
    <w:p w:rsidR="00BB6F1F" w:rsidRDefault="00BB6F1F" w:rsidP="00AC68FF">
      <w:pPr>
        <w:pStyle w:val="Source"/>
      </w:pPr>
      <w:r>
        <w:t>Source: Department of Treasury and Finance</w:t>
      </w:r>
    </w:p>
    <w:p w:rsidR="00BB6F1F" w:rsidRPr="002039F5" w:rsidRDefault="00BB6F1F" w:rsidP="00AC68FF">
      <w:pPr>
        <w:pStyle w:val="Note"/>
      </w:pPr>
      <w:r>
        <w:t>Notes:</w:t>
      </w:r>
    </w:p>
    <w:p w:rsidR="00BB6F1F" w:rsidRDefault="00BB6F1F" w:rsidP="00AC68FF">
      <w:pPr>
        <w:pStyle w:val="Note"/>
      </w:pPr>
      <w:r>
        <w:t>(a)</w:t>
      </w:r>
      <w:r>
        <w:tab/>
        <w:t>Includes depreciation and movements in liabilities such as superannuation and employee benefits.</w:t>
      </w:r>
    </w:p>
    <w:p w:rsidR="00BB6F1F" w:rsidRDefault="00BB6F1F" w:rsidP="00AC68FF">
      <w:pPr>
        <w:pStyle w:val="Note"/>
      </w:pPr>
      <w:r>
        <w:t>(b)</w:t>
      </w:r>
      <w:r>
        <w:tab/>
      </w:r>
      <w:r w:rsidRPr="00F23F5B">
        <w:t>The main driver of the variance between 2016 and 2017 actuals reflects the impact of the arrangements established to invest and ultimately apply the proceeds of Port of Melbourne lease transaction.</w:t>
      </w:r>
    </w:p>
    <w:p w:rsidR="00BB6F1F" w:rsidRDefault="00BB6F1F" w:rsidP="00AC68FF">
      <w:pPr>
        <w:pStyle w:val="Note"/>
      </w:pPr>
    </w:p>
    <w:p w:rsidR="00BB6F1F" w:rsidRDefault="00BB6F1F" w:rsidP="00AC68FF">
      <w:pPr>
        <w:pStyle w:val="Note"/>
        <w:sectPr w:rsidR="00BB6F1F" w:rsidSect="00AC68FF">
          <w:type w:val="continuous"/>
          <w:pgSz w:w="11906" w:h="16838" w:code="9"/>
          <w:pgMar w:top="1134" w:right="1134" w:bottom="1134" w:left="1134" w:header="624" w:footer="567" w:gutter="0"/>
          <w:cols w:space="708"/>
          <w:docGrid w:linePitch="360"/>
        </w:sectPr>
      </w:pPr>
    </w:p>
    <w:p w:rsidR="00BB6F1F" w:rsidRDefault="00BB6F1F" w:rsidP="00AC68FF">
      <w:pPr>
        <w:pStyle w:val="Heading10"/>
      </w:pPr>
      <w:r>
        <w:lastRenderedPageBreak/>
        <w:t>GOVERNMENT INFRASTRUCTURE INVESTMENT</w:t>
      </w:r>
    </w:p>
    <w:p w:rsidR="00BB6F1F" w:rsidRDefault="00BB6F1F" w:rsidP="00AC68FF">
      <w:r>
        <w:t xml:space="preserve">Infrastructure supports delivery of high quality services to the community. It has a significant and ongoing impact on state and national productivity and has the ability to generate significant direct and indirect employment, and wider economic benefits. </w:t>
      </w:r>
    </w:p>
    <w:p w:rsidR="00BB6F1F" w:rsidRDefault="00BB6F1F" w:rsidP="005F3DE5">
      <w:r>
        <w:t xml:space="preserve">The Government infrastructure investment, which includes general government net infrastructure investment and estimated cash outflows for Partnership Victoria projects (net of asset sales), was </w:t>
      </w:r>
      <w:r w:rsidRPr="00A11094">
        <w:t>$</w:t>
      </w:r>
      <w:r>
        <w:t xml:space="preserve">9.1 billion. This is </w:t>
      </w:r>
      <w:r w:rsidRPr="00231315">
        <w:t>$</w:t>
      </w:r>
      <w:r>
        <w:t>286 million lower than the re</w:t>
      </w:r>
      <w:r w:rsidRPr="00231315">
        <w:t>vised budget</w:t>
      </w:r>
      <w:r w:rsidRPr="00F333DF">
        <w:t>.</w:t>
      </w:r>
    </w:p>
    <w:p w:rsidR="00BB6F1F" w:rsidRDefault="00BB6F1F" w:rsidP="00AC68FF">
      <w:pPr>
        <w:sectPr w:rsidR="00BB6F1F" w:rsidSect="00AC68FF">
          <w:type w:val="continuous"/>
          <w:pgSz w:w="11906" w:h="16838" w:code="9"/>
          <w:pgMar w:top="1134" w:right="1134" w:bottom="1134" w:left="1134" w:header="624" w:footer="567" w:gutter="0"/>
          <w:cols w:num="2" w:space="708"/>
          <w:docGrid w:linePitch="360"/>
        </w:sectPr>
      </w:pPr>
      <w:r>
        <w:br w:type="column"/>
      </w:r>
    </w:p>
    <w:p w:rsidR="00BB6F1F" w:rsidRDefault="00BB6F1F" w:rsidP="00AC68FF"/>
    <w:p w:rsidR="00BB6F1F" w:rsidRDefault="00BB6F1F" w:rsidP="00AC68FF">
      <w:pPr>
        <w:sectPr w:rsidR="00BB6F1F" w:rsidSect="00AC68FF">
          <w:type w:val="continuous"/>
          <w:pgSz w:w="11906" w:h="16838" w:code="9"/>
          <w:pgMar w:top="1134" w:right="1134" w:bottom="1134" w:left="1134" w:header="624" w:footer="567" w:gutter="0"/>
          <w:cols w:space="708"/>
          <w:docGrid w:linePitch="360"/>
        </w:sectPr>
      </w:pPr>
    </w:p>
    <w:p w:rsidR="00BB6F1F" w:rsidRDefault="00BB6F1F" w:rsidP="00AC68FF">
      <w:r>
        <w:lastRenderedPageBreak/>
        <w:t>For the 2016</w:t>
      </w:r>
      <w:r>
        <w:noBreakHyphen/>
        <w:t xml:space="preserve">17 year, the Government undertook </w:t>
      </w:r>
      <w:r>
        <w:br/>
        <w:t>the following major infrastructure projects.</w:t>
      </w:r>
    </w:p>
    <w:p w:rsidR="00BB6F1F" w:rsidRPr="0042610A" w:rsidRDefault="00BB6F1F" w:rsidP="00AC68FF">
      <w:pPr>
        <w:pStyle w:val="HighlightBoxHeading"/>
      </w:pPr>
      <w:r w:rsidRPr="0042610A">
        <w:t>The Government</w:t>
      </w:r>
      <w:r>
        <w:t>’</w:t>
      </w:r>
      <w:r w:rsidRPr="0042610A">
        <w:t>s infrastructure scorecard 2016-17</w:t>
      </w:r>
    </w:p>
    <w:p w:rsidR="00BB6F1F" w:rsidRDefault="00BB6F1F" w:rsidP="00AC68FF">
      <w:pPr>
        <w:pStyle w:val="HighlightBoxText"/>
      </w:pPr>
      <w:r>
        <w:t>Major projects completed during the year include:</w:t>
      </w:r>
    </w:p>
    <w:p w:rsidR="00BB6F1F" w:rsidRDefault="00BB6F1F" w:rsidP="00AC68FF">
      <w:pPr>
        <w:pStyle w:val="HighlightBoxBullet"/>
        <w:spacing w:before="40"/>
      </w:pPr>
      <w:r>
        <w:t xml:space="preserve">New Bendigo Hospital (stage one); </w:t>
      </w:r>
    </w:p>
    <w:p w:rsidR="00BB6F1F" w:rsidRPr="00045197" w:rsidRDefault="00BB6F1F" w:rsidP="00AC68FF">
      <w:pPr>
        <w:pStyle w:val="HighlightBoxBullet"/>
        <w:spacing w:before="40"/>
      </w:pPr>
      <w:r>
        <w:t>Box Hill Hospital Redevelopment;</w:t>
      </w:r>
    </w:p>
    <w:p w:rsidR="00BB6F1F" w:rsidRDefault="00BB6F1F" w:rsidP="00AC68FF">
      <w:pPr>
        <w:pStyle w:val="HighlightBoxBullet"/>
        <w:spacing w:before="40"/>
      </w:pPr>
      <w:r>
        <w:t>New Schools PPP project (tranche one);</w:t>
      </w:r>
    </w:p>
    <w:p w:rsidR="00BB6F1F" w:rsidRDefault="00BB6F1F" w:rsidP="00AC68FF">
      <w:pPr>
        <w:pStyle w:val="HighlightBoxBullet"/>
        <w:spacing w:before="40"/>
      </w:pPr>
      <w:r>
        <w:t>Port Capacity (Webb Dock) – substructure; and</w:t>
      </w:r>
    </w:p>
    <w:p w:rsidR="00BB6F1F" w:rsidRDefault="00BB6F1F" w:rsidP="00AC68FF">
      <w:pPr>
        <w:pStyle w:val="HighlightBoxBullet"/>
        <w:spacing w:before="40"/>
      </w:pPr>
      <w:r>
        <w:t>Regional Rolling Stock.</w:t>
      </w:r>
    </w:p>
    <w:p w:rsidR="00BB6F1F" w:rsidRDefault="00BB6F1F" w:rsidP="00AC68FF">
      <w:pPr>
        <w:pStyle w:val="HighlightBoxText"/>
      </w:pPr>
      <w:r>
        <w:t>Major projects in progress include:</w:t>
      </w:r>
    </w:p>
    <w:p w:rsidR="00BB6F1F" w:rsidRPr="009A690F" w:rsidRDefault="00BB6F1F" w:rsidP="00AC68FF">
      <w:pPr>
        <w:pStyle w:val="HighlightBoxBullet"/>
        <w:spacing w:before="40"/>
      </w:pPr>
      <w:r>
        <w:t xml:space="preserve">Ballarat Line Upgrade; </w:t>
      </w:r>
    </w:p>
    <w:p w:rsidR="00BB6F1F" w:rsidRDefault="00BB6F1F" w:rsidP="00AC68FF">
      <w:pPr>
        <w:pStyle w:val="HighlightBoxBullet"/>
        <w:spacing w:before="40"/>
      </w:pPr>
      <w:r>
        <w:t>Bendigo Hospital (stage two);</w:t>
      </w:r>
    </w:p>
    <w:p w:rsidR="00BB6F1F" w:rsidRDefault="00BB6F1F" w:rsidP="00AC68FF">
      <w:pPr>
        <w:pStyle w:val="HighlightBoxBullet"/>
        <w:spacing w:before="40"/>
      </w:pPr>
      <w:r>
        <w:t xml:space="preserve">Casey Hospital Expansion; </w:t>
      </w:r>
    </w:p>
    <w:p w:rsidR="00BB6F1F" w:rsidRDefault="00BB6F1F" w:rsidP="00AC68FF">
      <w:pPr>
        <w:pStyle w:val="HighlightBoxBullet"/>
        <w:spacing w:before="40"/>
      </w:pPr>
      <w:proofErr w:type="spellStart"/>
      <w:r>
        <w:t>CityLink</w:t>
      </w:r>
      <w:proofErr w:type="spellEnd"/>
      <w:r>
        <w:t>–</w:t>
      </w:r>
      <w:proofErr w:type="spellStart"/>
      <w:r>
        <w:t>Tulla</w:t>
      </w:r>
      <w:proofErr w:type="spellEnd"/>
      <w:r>
        <w:t xml:space="preserve"> widening;</w:t>
      </w:r>
    </w:p>
    <w:p w:rsidR="00BB6F1F" w:rsidRDefault="00BB6F1F" w:rsidP="00AC68FF">
      <w:pPr>
        <w:pStyle w:val="HighlightBoxBullet"/>
        <w:spacing w:before="40"/>
      </w:pPr>
      <w:r>
        <w:t>Chandler Highway Bridge duplication;</w:t>
      </w:r>
    </w:p>
    <w:p w:rsidR="00BB6F1F" w:rsidRDefault="00BB6F1F" w:rsidP="00AC68FF">
      <w:pPr>
        <w:pStyle w:val="HighlightBoxBullet"/>
        <w:spacing w:before="40"/>
      </w:pPr>
      <w:r>
        <w:t xml:space="preserve">Drysdale Bypass and High Street upgrades; </w:t>
      </w:r>
    </w:p>
    <w:p w:rsidR="00BB6F1F" w:rsidRDefault="00BB6F1F" w:rsidP="00AC68FF">
      <w:pPr>
        <w:pStyle w:val="HighlightBoxBullet"/>
        <w:spacing w:before="40"/>
      </w:pPr>
      <w:r>
        <w:t>Echuca-Moama Bridge;</w:t>
      </w:r>
    </w:p>
    <w:p w:rsidR="00BB6F1F" w:rsidRDefault="00BB6F1F" w:rsidP="00AC68FF">
      <w:pPr>
        <w:pStyle w:val="HighlightBoxBullet"/>
      </w:pPr>
      <w:r>
        <w:t>Goulburn-Murray Water Connections Project (Northern Victoria Irrigation Renewal Project);</w:t>
      </w:r>
    </w:p>
    <w:p w:rsidR="00BB6F1F" w:rsidRDefault="00BB6F1F" w:rsidP="00AC68FF">
      <w:pPr>
        <w:pStyle w:val="HighlightBoxBullet"/>
        <w:spacing w:before="40"/>
      </w:pPr>
      <w:r>
        <w:t>Goulburn Valley Health redevelopment;</w:t>
      </w:r>
    </w:p>
    <w:p w:rsidR="00BB6F1F" w:rsidRDefault="00BB6F1F" w:rsidP="00AC68FF">
      <w:pPr>
        <w:pStyle w:val="HighlightBoxBullet"/>
        <w:spacing w:before="40"/>
      </w:pPr>
      <w:r>
        <w:t xml:space="preserve">Joan </w:t>
      </w:r>
      <w:proofErr w:type="spellStart"/>
      <w:r>
        <w:t>Kirner</w:t>
      </w:r>
      <w:proofErr w:type="spellEnd"/>
      <w:r>
        <w:t xml:space="preserve"> Women’s and Children’s Hospital;</w:t>
      </w:r>
    </w:p>
    <w:p w:rsidR="00BB6F1F" w:rsidRDefault="00BB6F1F" w:rsidP="00AC68FF">
      <w:pPr>
        <w:pStyle w:val="HighlightBoxBullet"/>
        <w:spacing w:before="40"/>
      </w:pPr>
      <w:r>
        <w:t>Level Crossing Removal Program;</w:t>
      </w:r>
    </w:p>
    <w:p w:rsidR="00BB6F1F" w:rsidRDefault="00BB6F1F" w:rsidP="00AC68FF">
      <w:pPr>
        <w:pStyle w:val="HighlightBoxBullet"/>
        <w:spacing w:before="40"/>
      </w:pPr>
      <w:r>
        <w:t xml:space="preserve">M80 Ring Road Upgrade – Sunshine Avenue to Calder Freeway; </w:t>
      </w:r>
    </w:p>
    <w:p w:rsidR="00BB6F1F" w:rsidRDefault="00BB6F1F" w:rsidP="00AC68FF">
      <w:pPr>
        <w:pStyle w:val="HighlightBoxBullet"/>
        <w:spacing w:before="40"/>
      </w:pPr>
      <w:r>
        <w:t>M80 Ring Road Upgrade – Princes Freeway to Western Highway;</w:t>
      </w:r>
    </w:p>
    <w:p w:rsidR="00BB6F1F" w:rsidRDefault="00BB6F1F" w:rsidP="00AC68FF">
      <w:pPr>
        <w:pStyle w:val="HighlightBoxBullet"/>
        <w:spacing w:before="40"/>
      </w:pPr>
      <w:r>
        <w:t>Melbourne Convention and Exhibition Centre – Stage 2 development;</w:t>
      </w:r>
    </w:p>
    <w:p w:rsidR="00BB6F1F" w:rsidRDefault="00BB6F1F" w:rsidP="00AC68FF">
      <w:pPr>
        <w:pStyle w:val="HighlightBoxBullet"/>
        <w:spacing w:before="40"/>
      </w:pPr>
      <w:r>
        <w:t>Melbourne Park redevelopment – Stage two;</w:t>
      </w:r>
    </w:p>
    <w:p w:rsidR="00BB6F1F" w:rsidRDefault="00BB6F1F" w:rsidP="00AC68FF">
      <w:pPr>
        <w:pStyle w:val="HighlightBoxBullet"/>
        <w:spacing w:before="40"/>
      </w:pPr>
      <w:r>
        <w:t>Melbourne Park redevelopment – Stage three;</w:t>
      </w:r>
    </w:p>
    <w:p w:rsidR="00BB6F1F" w:rsidRDefault="00BB6F1F" w:rsidP="00AC68FF">
      <w:pPr>
        <w:pStyle w:val="HighlightBoxBullet"/>
        <w:spacing w:before="40"/>
      </w:pPr>
      <w:r>
        <w:t>Mernda Rail Extension Project;</w:t>
      </w:r>
    </w:p>
    <w:p w:rsidR="00BB6F1F" w:rsidRDefault="00BB6F1F" w:rsidP="00AC68FF">
      <w:pPr>
        <w:pStyle w:val="HighlightBoxBullet"/>
        <w:spacing w:before="40"/>
      </w:pPr>
      <w:r>
        <w:t>Metro Tunnel;</w:t>
      </w:r>
    </w:p>
    <w:p w:rsidR="00BB6F1F" w:rsidRDefault="00BB6F1F" w:rsidP="00AC68FF">
      <w:pPr>
        <w:pStyle w:val="HighlightBoxBullet"/>
        <w:spacing w:before="40"/>
      </w:pPr>
      <w:r>
        <w:t>Monash Children’s Hospital;</w:t>
      </w:r>
    </w:p>
    <w:p w:rsidR="00BB6F1F" w:rsidRDefault="00BB6F1F" w:rsidP="00AC68FF">
      <w:pPr>
        <w:pStyle w:val="HighlightBoxBullet"/>
        <w:spacing w:before="40"/>
      </w:pPr>
      <w:r>
        <w:t>Murray Basin Rail Project;</w:t>
      </w:r>
    </w:p>
    <w:p w:rsidR="00BB6F1F" w:rsidRDefault="00BB6F1F" w:rsidP="00AC68FF">
      <w:pPr>
        <w:pStyle w:val="HighlightBoxBullet"/>
        <w:spacing w:before="40"/>
      </w:pPr>
      <w:r>
        <w:t>New Schools PPP project (tranche two);</w:t>
      </w:r>
    </w:p>
    <w:p w:rsidR="00BB6F1F" w:rsidRDefault="00BB6F1F" w:rsidP="00AC68FF">
      <w:pPr>
        <w:pStyle w:val="HighlightBoxBullet"/>
        <w:spacing w:before="40"/>
      </w:pPr>
      <w:r>
        <w:t xml:space="preserve">New trains, trams and associated infrastructure for Melbourne commuters; </w:t>
      </w:r>
    </w:p>
    <w:p w:rsidR="00BB6F1F" w:rsidRDefault="00BB6F1F" w:rsidP="00AC68FF">
      <w:pPr>
        <w:pStyle w:val="HighlightBoxBullet"/>
        <w:spacing w:before="40"/>
      </w:pPr>
      <w:r w:rsidRPr="00876F25">
        <w:t>New Youth Justice Facility</w:t>
      </w:r>
      <w:r>
        <w:t>;</w:t>
      </w:r>
    </w:p>
    <w:p w:rsidR="00BB6F1F" w:rsidRPr="00876F25" w:rsidRDefault="00BB6F1F" w:rsidP="00AC68FF">
      <w:pPr>
        <w:pStyle w:val="HighlightBoxBullet"/>
        <w:spacing w:before="40"/>
      </w:pPr>
      <w:r w:rsidRPr="00876F25">
        <w:t>Princes Highway duplication project – Winchelsea to Colac;</w:t>
      </w:r>
    </w:p>
    <w:p w:rsidR="00BB6F1F" w:rsidRDefault="00BB6F1F" w:rsidP="00AC68FF">
      <w:pPr>
        <w:pStyle w:val="HighlightBoxBullet"/>
        <w:spacing w:before="40"/>
      </w:pPr>
      <w:r>
        <w:t>Ravenhall Prison;</w:t>
      </w:r>
    </w:p>
    <w:p w:rsidR="00BB6F1F" w:rsidRDefault="00BB6F1F" w:rsidP="00AC68FF">
      <w:pPr>
        <w:pStyle w:val="HighlightBoxBullet"/>
        <w:spacing w:before="40"/>
      </w:pPr>
      <w:r>
        <w:t>Royal Victorian Eye and Ear Hospital redevelopment;</w:t>
      </w:r>
    </w:p>
    <w:p w:rsidR="00BB6F1F" w:rsidRDefault="00BB6F1F" w:rsidP="00AC68FF">
      <w:pPr>
        <w:pStyle w:val="HighlightBoxBullet"/>
        <w:spacing w:before="40"/>
      </w:pPr>
      <w:r>
        <w:t>Thompsons Road duplication;</w:t>
      </w:r>
    </w:p>
    <w:p w:rsidR="00BB6F1F" w:rsidRDefault="00BB6F1F" w:rsidP="00AC68FF">
      <w:pPr>
        <w:pStyle w:val="HighlightBoxBullet"/>
        <w:spacing w:before="40"/>
      </w:pPr>
      <w:r>
        <w:t>West Gate Tunnel Project;</w:t>
      </w:r>
    </w:p>
    <w:p w:rsidR="00BB6F1F" w:rsidRDefault="00BB6F1F" w:rsidP="00AC68FF">
      <w:pPr>
        <w:pStyle w:val="HighlightBoxBullet"/>
        <w:spacing w:before="40"/>
      </w:pPr>
      <w:r>
        <w:t xml:space="preserve">Western Highway duplication; </w:t>
      </w:r>
    </w:p>
    <w:p w:rsidR="00BB6F1F" w:rsidRDefault="00BB6F1F" w:rsidP="00AC68FF">
      <w:pPr>
        <w:pStyle w:val="HighlightBoxBullet"/>
        <w:spacing w:before="40"/>
      </w:pPr>
      <w:r>
        <w:t>Western Suburbs Roads Package; and</w:t>
      </w:r>
    </w:p>
    <w:p w:rsidR="00BB6F1F" w:rsidRDefault="00BB6F1F" w:rsidP="00AC68FF">
      <w:pPr>
        <w:pStyle w:val="HighlightBoxBullet"/>
      </w:pPr>
      <w:r>
        <w:t>Yan Yean Road duplication.</w:t>
      </w:r>
    </w:p>
    <w:p w:rsidR="00BB6F1F" w:rsidRDefault="00BB6F1F">
      <w:pPr>
        <w:keepLines w:val="0"/>
        <w:rPr>
          <w:rFonts w:asciiTheme="majorHAnsi" w:hAnsiTheme="majorHAnsi"/>
          <w:i/>
          <w:spacing w:val="-2"/>
          <w:sz w:val="14"/>
        </w:rPr>
      </w:pPr>
      <w:r>
        <w:br w:type="page"/>
      </w:r>
    </w:p>
    <w:p w:rsidR="00BB6F1F" w:rsidRDefault="00BB6F1F" w:rsidP="00AC68FF">
      <w:pPr>
        <w:pStyle w:val="Note"/>
        <w:sectPr w:rsidR="00BB6F1F" w:rsidSect="00AC68FF">
          <w:headerReference w:type="even" r:id="rId21"/>
          <w:headerReference w:type="default" r:id="rId22"/>
          <w:footerReference w:type="even" r:id="rId23"/>
          <w:type w:val="continuous"/>
          <w:pgSz w:w="11907" w:h="16839" w:code="9"/>
          <w:pgMar w:top="1134" w:right="1134" w:bottom="1276" w:left="1134" w:header="624" w:footer="567" w:gutter="0"/>
          <w:cols w:sep="1" w:space="567"/>
          <w:docGrid w:linePitch="360"/>
        </w:sectPr>
      </w:pPr>
    </w:p>
    <w:p w:rsidR="00BB6F1F" w:rsidRDefault="00BB6F1F" w:rsidP="00A46F1A">
      <w:pPr>
        <w:sectPr w:rsidR="00BB6F1F" w:rsidSect="00A46F1A">
          <w:headerReference w:type="even" r:id="rId24"/>
          <w:headerReference w:type="default" r:id="rId25"/>
          <w:footerReference w:type="even" r:id="rId26"/>
          <w:type w:val="continuous"/>
          <w:pgSz w:w="11907" w:h="16839" w:code="9"/>
          <w:pgMar w:top="1134" w:right="1134" w:bottom="1134" w:left="1134" w:header="624" w:footer="567" w:gutter="0"/>
          <w:cols w:space="567"/>
          <w:docGrid w:linePitch="360"/>
        </w:sectPr>
      </w:pPr>
    </w:p>
    <w:p w:rsidR="00BB6F1F" w:rsidRDefault="00BB6F1F" w:rsidP="00AC68FF">
      <w:pPr>
        <w:pStyle w:val="Chapterheading"/>
      </w:pPr>
      <w:bookmarkStart w:id="2" w:name="_Toc492985870"/>
      <w:r>
        <w:lastRenderedPageBreak/>
        <w:t xml:space="preserve">Chapter 3 – State of Victoria </w:t>
      </w:r>
      <w:r w:rsidRPr="00AC0B94">
        <w:t>outcome</w:t>
      </w:r>
      <w:bookmarkEnd w:id="2"/>
    </w:p>
    <w:p w:rsidR="00BB6F1F" w:rsidRDefault="00BB6F1F" w:rsidP="00AC68FF">
      <w:pPr>
        <w:pStyle w:val="ListBullet"/>
        <w:numPr>
          <w:ilvl w:val="0"/>
          <w:numId w:val="0"/>
        </w:numPr>
        <w:sectPr w:rsidR="00BB6F1F" w:rsidSect="00D97443">
          <w:footerReference w:type="even" r:id="rId27"/>
          <w:footerReference w:type="default" r:id="rId28"/>
          <w:type w:val="continuous"/>
          <w:pgSz w:w="11906" w:h="16838" w:code="9"/>
          <w:pgMar w:top="1134" w:right="1134" w:bottom="1134" w:left="1134" w:header="624" w:footer="567" w:gutter="0"/>
          <w:cols w:sep="1" w:space="567"/>
          <w:docGrid w:linePitch="360"/>
        </w:sectPr>
      </w:pPr>
    </w:p>
    <w:p w:rsidR="00BB6F1F" w:rsidRDefault="00BB6F1F" w:rsidP="00AC68FF">
      <w:pPr>
        <w:pStyle w:val="HighlightBoxBullet"/>
      </w:pPr>
      <w:r>
        <w:lastRenderedPageBreak/>
        <w:t>The State remains in a strong and sustainable financial position, with net assets of $172 billion at 30 June 2017. The balance sheet was strengthened during 2016-17 due to strong operating cash flow, which lowered borrowing levels and reduced liability balances from market</w:t>
      </w:r>
      <w:r>
        <w:noBreakHyphen/>
        <w:t xml:space="preserve">related revaluations. </w:t>
      </w:r>
    </w:p>
    <w:p w:rsidR="00BB6F1F" w:rsidRDefault="00BB6F1F" w:rsidP="00AC68FF">
      <w:pPr>
        <w:pStyle w:val="HighlightBoxBullet"/>
      </w:pPr>
      <w:r>
        <w:t xml:space="preserve">The </w:t>
      </w:r>
      <w:r w:rsidRPr="009B5DCA">
        <w:rPr>
          <w:b/>
        </w:rPr>
        <w:t>net</w:t>
      </w:r>
      <w:r>
        <w:t xml:space="preserve"> </w:t>
      </w:r>
      <w:r w:rsidRPr="00505A55">
        <w:rPr>
          <w:b/>
        </w:rPr>
        <w:t>result from transactions</w:t>
      </w:r>
      <w:r>
        <w:t xml:space="preserve"> for the State in 2016-17 was a surplus of $754 million, compared with a surplus of $1.6 billion in the previous year. </w:t>
      </w:r>
    </w:p>
    <w:p w:rsidR="00BB6F1F" w:rsidRDefault="00BB6F1F" w:rsidP="00AC68FF">
      <w:pPr>
        <w:pStyle w:val="HighlightBoxBullet"/>
      </w:pPr>
      <w:r>
        <w:t xml:space="preserve">The </w:t>
      </w:r>
      <w:r w:rsidRPr="00505A55">
        <w:rPr>
          <w:b/>
        </w:rPr>
        <w:t>net result</w:t>
      </w:r>
      <w:r>
        <w:t xml:space="preserve"> for the State was a surplus of $6.6 billion in 2016-17 compared with a $1.6 billion deficit in 2015-16. This improvement was mainly driven by mark-to-market gains on borrowings and movements in bond rates, which impacted the valuation of insurance claims and superannuation liabilities, and strong returns on investments used to fund these liabilities.</w:t>
      </w:r>
    </w:p>
    <w:p w:rsidR="00BB6F1F" w:rsidRDefault="00BB6F1F" w:rsidP="00AC68FF">
      <w:r>
        <w:t>This chapter sets out the financial results for the State of Victoria for 2016-17.</w:t>
      </w:r>
    </w:p>
    <w:p w:rsidR="00BB6F1F" w:rsidRDefault="00BB6F1F" w:rsidP="00AC68FF">
      <w:r>
        <w:t>The State comprises the general government sector, discussed in Chapter 2, the public non-financial corporations (PNFC) sector and the public financial corporations (PFC) sector.</w:t>
      </w:r>
    </w:p>
    <w:p w:rsidR="00BB6F1F" w:rsidRDefault="00BB6F1F" w:rsidP="00AC68FF">
      <w:r>
        <w:t>The PFC and PNFC sectors, which are discussed in this chapter, comprise a wide range of entities that generally provide goods and services on a commercial basis, primarily funded from user charges and fees.</w:t>
      </w:r>
    </w:p>
    <w:p w:rsidR="00BB6F1F" w:rsidRDefault="00BB6F1F" w:rsidP="00AC68FF">
      <w:r>
        <w:t>When considering the State of Victoria results, it should be noted transactions between the sectors are eliminated in arriving at the consolidated position. These eliminations mean the State of Victoria result is not the sum of results and variations from each individual sector.</w:t>
      </w:r>
    </w:p>
    <w:p w:rsidR="00BB6F1F" w:rsidRDefault="00BB6F1F" w:rsidP="00AC68FF">
      <w:r>
        <w:t>The full financial statements for the State of Victoria are provided in Chapter 4.</w:t>
      </w:r>
    </w:p>
    <w:p w:rsidR="00BB6F1F" w:rsidRDefault="00BB6F1F" w:rsidP="00AC68FF">
      <w:pPr>
        <w:pStyle w:val="Heading10"/>
        <w:spacing w:before="0"/>
      </w:pPr>
      <w:r>
        <w:br w:type="column"/>
      </w:r>
      <w:r>
        <w:lastRenderedPageBreak/>
        <w:t>FINANCIAL PEFORMANCE</w:t>
      </w:r>
    </w:p>
    <w:p w:rsidR="00BB6F1F" w:rsidRDefault="00BB6F1F" w:rsidP="00AC68FF">
      <w:r>
        <w:t>Table 3.1 summarises the operating performance for the State of Victoria. This table shows the State recorded a net surplus from transactions of $754 million in 2016-17 compared with a surplus of $1.6 billion in 2015-16. This result reflects:</w:t>
      </w:r>
    </w:p>
    <w:p w:rsidR="00BB6F1F" w:rsidRDefault="00BB6F1F" w:rsidP="00AC68FF">
      <w:pPr>
        <w:pStyle w:val="ListBullet"/>
      </w:pPr>
      <w:r>
        <w:t>a $2.7 billion surplus within the general government sector (discussed in the preceding chapter);</w:t>
      </w:r>
    </w:p>
    <w:p w:rsidR="00BB6F1F" w:rsidRDefault="00BB6F1F" w:rsidP="00AC68FF">
      <w:pPr>
        <w:pStyle w:val="ListBullet"/>
      </w:pPr>
      <w:r>
        <w:t>a $436 million deficit within the PNFC sector; and</w:t>
      </w:r>
    </w:p>
    <w:p w:rsidR="00BB6F1F" w:rsidRDefault="00BB6F1F" w:rsidP="00AC68FF">
      <w:pPr>
        <w:pStyle w:val="ListBullet"/>
      </w:pPr>
      <w:r>
        <w:t>a $2 billion deficit within the PFC sector.</w:t>
      </w:r>
    </w:p>
    <w:p w:rsidR="00BB6F1F" w:rsidRDefault="00BB6F1F" w:rsidP="00AC68FF">
      <w:r>
        <w:t xml:space="preserve">The </w:t>
      </w:r>
      <w:r w:rsidRPr="007B4E37">
        <w:rPr>
          <w:b/>
        </w:rPr>
        <w:t>net result</w:t>
      </w:r>
      <w:r>
        <w:t xml:space="preserve"> for the State is a surplus of $6.6 billion after including other economic flows. These outcomes are explained in Table 3.1.</w:t>
      </w:r>
    </w:p>
    <w:p w:rsidR="00BB6F1F" w:rsidRPr="00A929E6" w:rsidRDefault="00BB6F1F" w:rsidP="00AC68FF"/>
    <w:p w:rsidR="00BB6F1F" w:rsidRDefault="00BB6F1F" w:rsidP="00A171DC">
      <w:pPr>
        <w:sectPr w:rsidR="00BB6F1F" w:rsidSect="00AC68FF">
          <w:type w:val="continuous"/>
          <w:pgSz w:w="11906" w:h="16838" w:code="9"/>
          <w:pgMar w:top="1134" w:right="1134" w:bottom="1134" w:left="1134" w:header="624" w:footer="567" w:gutter="0"/>
          <w:cols w:num="2" w:space="567"/>
          <w:docGrid w:linePitch="360"/>
        </w:sectPr>
      </w:pPr>
    </w:p>
    <w:p w:rsidR="00BB6F1F" w:rsidRDefault="00BB6F1F" w:rsidP="00A171DC"/>
    <w:p w:rsidR="00BB6F1F" w:rsidRDefault="00BB6F1F" w:rsidP="00A171DC">
      <w:r>
        <w:br w:type="page"/>
      </w:r>
    </w:p>
    <w:p w:rsidR="00BB6F1F" w:rsidRDefault="00BB6F1F" w:rsidP="00AC68FF">
      <w:pPr>
        <w:pStyle w:val="Heading10"/>
      </w:pPr>
      <w:r>
        <w:lastRenderedPageBreak/>
        <w:t>OPERATING STATEMENT</w:t>
      </w:r>
    </w:p>
    <w:p w:rsidR="00BB6F1F" w:rsidRPr="00B43541" w:rsidRDefault="00BB6F1F" w:rsidP="00AC68FF">
      <w:pPr>
        <w:pStyle w:val="TableHeading"/>
        <w:rPr>
          <w:bCs/>
          <w:lang w:val="en-US"/>
        </w:rPr>
      </w:pPr>
      <w:r>
        <w:t>Table 3.1:</w:t>
      </w:r>
      <w:r>
        <w:tab/>
        <w:t>2016-17 summary operating statement – State of Victoria</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102"/>
        <w:gridCol w:w="907"/>
        <w:gridCol w:w="907"/>
        <w:gridCol w:w="907"/>
        <w:gridCol w:w="907"/>
        <w:gridCol w:w="907"/>
      </w:tblGrid>
      <w:tr w:rsidR="003631D0" w:rsidRPr="00B43541" w:rsidTr="000B3D1D">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right w:val="nil"/>
            </w:tcBorders>
            <w:shd w:val="solid" w:color="000000" w:fill="auto"/>
          </w:tcPr>
          <w:p w:rsidR="003631D0" w:rsidRPr="00B43541" w:rsidRDefault="003631D0" w:rsidP="00AC68FF">
            <w:pPr>
              <w:autoSpaceDE w:val="0"/>
              <w:autoSpaceDN w:val="0"/>
              <w:adjustRightInd w:val="0"/>
              <w:rPr>
                <w:rFonts w:eastAsiaTheme="minorEastAsia" w:cs="Calibri"/>
                <w:iCs/>
                <w:color w:val="FFFFFF"/>
                <w:lang w:eastAsia="en-AU"/>
              </w:rPr>
            </w:pPr>
          </w:p>
        </w:tc>
        <w:tc>
          <w:tcPr>
            <w:tcW w:w="907" w:type="dxa"/>
            <w:tcBorders>
              <w:top w:val="nil"/>
              <w:left w:val="nil"/>
              <w:right w:val="nil"/>
            </w:tcBorders>
            <w:shd w:val="solid" w:color="000000" w:fill="auto"/>
          </w:tcPr>
          <w:p w:rsidR="003631D0" w:rsidRPr="003631D0" w:rsidRDefault="003631D0" w:rsidP="003631D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3631D0">
              <w:t>2016-17</w:t>
            </w:r>
            <w:r w:rsidR="00F2420E">
              <w:t xml:space="preserve"> </w:t>
            </w:r>
            <w:r w:rsidRPr="003631D0">
              <w:t>actual</w:t>
            </w:r>
          </w:p>
        </w:tc>
        <w:tc>
          <w:tcPr>
            <w:tcW w:w="907" w:type="dxa"/>
            <w:tcBorders>
              <w:top w:val="nil"/>
              <w:left w:val="nil"/>
              <w:right w:val="nil"/>
            </w:tcBorders>
            <w:shd w:val="solid" w:color="000000" w:fill="auto"/>
          </w:tcPr>
          <w:p w:rsidR="003631D0" w:rsidRPr="003631D0" w:rsidRDefault="003631D0" w:rsidP="003631D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3631D0">
              <w:t>2016-17</w:t>
            </w:r>
            <w:r w:rsidR="00F2420E">
              <w:t xml:space="preserve"> </w:t>
            </w:r>
            <w:r w:rsidRPr="003631D0">
              <w:t>revised</w:t>
            </w:r>
          </w:p>
        </w:tc>
        <w:tc>
          <w:tcPr>
            <w:tcW w:w="907" w:type="dxa"/>
            <w:tcBorders>
              <w:top w:val="nil"/>
              <w:left w:val="nil"/>
              <w:right w:val="nil"/>
            </w:tcBorders>
            <w:shd w:val="solid" w:color="000000" w:fill="auto"/>
          </w:tcPr>
          <w:p w:rsidR="003631D0" w:rsidRPr="003631D0" w:rsidRDefault="003631D0" w:rsidP="003631D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3631D0">
              <w:t>Revised</w:t>
            </w:r>
            <w:r w:rsidR="00F2420E">
              <w:t xml:space="preserve"> </w:t>
            </w:r>
            <w:r w:rsidRPr="003631D0">
              <w:t>variance</w:t>
            </w:r>
          </w:p>
        </w:tc>
        <w:tc>
          <w:tcPr>
            <w:tcW w:w="907" w:type="dxa"/>
            <w:tcBorders>
              <w:top w:val="nil"/>
              <w:left w:val="nil"/>
              <w:right w:val="nil"/>
            </w:tcBorders>
            <w:shd w:val="solid" w:color="000000" w:fill="auto"/>
          </w:tcPr>
          <w:p w:rsidR="003631D0" w:rsidRPr="003631D0" w:rsidRDefault="003631D0" w:rsidP="003631D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3631D0">
              <w:t>%</w:t>
            </w:r>
            <w:r w:rsidR="00F2420E">
              <w:t xml:space="preserve"> </w:t>
            </w:r>
            <w:r w:rsidRPr="003631D0">
              <w:t>revised</w:t>
            </w:r>
            <w:r>
              <w:br/>
            </w:r>
            <w:r w:rsidRPr="003631D0">
              <w:t>variance</w:t>
            </w:r>
          </w:p>
        </w:tc>
        <w:tc>
          <w:tcPr>
            <w:tcW w:w="907" w:type="dxa"/>
            <w:tcBorders>
              <w:top w:val="nil"/>
              <w:left w:val="nil"/>
              <w:right w:val="nil"/>
            </w:tcBorders>
            <w:shd w:val="solid" w:color="000000" w:fill="auto"/>
          </w:tcPr>
          <w:p w:rsidR="003631D0" w:rsidRPr="003631D0" w:rsidRDefault="003631D0" w:rsidP="003631D0">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3631D0">
              <w:t>2015-16</w:t>
            </w:r>
            <w:r>
              <w:br/>
            </w:r>
            <w:r w:rsidRPr="003631D0">
              <w:t>actual</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B43541" w:rsidRDefault="00BB6F1F" w:rsidP="00AC68FF">
            <w:pPr>
              <w:keepLines w:val="0"/>
              <w:autoSpaceDE w:val="0"/>
              <w:autoSpaceDN w:val="0"/>
              <w:adjustRightInd w:val="0"/>
              <w:rPr>
                <w:rFonts w:eastAsiaTheme="minorEastAsia" w:cs="Calibri"/>
                <w:b/>
                <w:bCs/>
                <w:color w:val="000000"/>
                <w:szCs w:val="18"/>
                <w:lang w:eastAsia="en-AU"/>
              </w:rPr>
            </w:pPr>
            <w:r w:rsidRPr="00B43541">
              <w:rPr>
                <w:rFonts w:eastAsiaTheme="minorEastAsia" w:cs="Calibri"/>
                <w:b/>
                <w:bCs/>
                <w:color w:val="000000"/>
                <w:szCs w:val="18"/>
                <w:lang w:eastAsia="en-AU"/>
              </w:rPr>
              <w:t>Revenue from transactions</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43541">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43541">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43541">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43541">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43541">
              <w:rPr>
                <w:rFonts w:eastAsiaTheme="minorEastAsia" w:cs="Calibri"/>
                <w:b/>
                <w:bCs/>
                <w:color w:val="000000"/>
                <w:lang w:eastAsia="en-AU"/>
              </w:rPr>
              <w:t xml:space="preserve"> </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B43541" w:rsidRDefault="00BB6F1F" w:rsidP="00AC68FF">
            <w:pPr>
              <w:keepLines w:val="0"/>
              <w:autoSpaceDE w:val="0"/>
              <w:autoSpaceDN w:val="0"/>
              <w:adjustRightInd w:val="0"/>
              <w:rPr>
                <w:rFonts w:eastAsiaTheme="minorEastAsia" w:cs="Calibri"/>
                <w:color w:val="000000"/>
                <w:szCs w:val="18"/>
                <w:lang w:eastAsia="en-AU"/>
              </w:rPr>
            </w:pPr>
            <w:r w:rsidRPr="00B43541">
              <w:rPr>
                <w:rFonts w:eastAsiaTheme="minorEastAsia" w:cs="Calibri"/>
                <w:color w:val="000000"/>
                <w:szCs w:val="18"/>
                <w:lang w:eastAsia="en-AU"/>
              </w:rPr>
              <w:t>Taxation revenue</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21 892</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21 812</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80</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0.4</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19 446</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B43541" w:rsidRDefault="00BB6F1F" w:rsidP="00AC68FF">
            <w:pPr>
              <w:keepLines w:val="0"/>
              <w:autoSpaceDE w:val="0"/>
              <w:autoSpaceDN w:val="0"/>
              <w:adjustRightInd w:val="0"/>
              <w:rPr>
                <w:rFonts w:eastAsiaTheme="minorEastAsia" w:cs="Calibri"/>
                <w:color w:val="000000"/>
                <w:szCs w:val="18"/>
                <w:vertAlign w:val="superscript"/>
                <w:lang w:eastAsia="en-AU"/>
              </w:rPr>
            </w:pPr>
            <w:r w:rsidRPr="00B43541">
              <w:rPr>
                <w:rFonts w:eastAsiaTheme="minorEastAsia" w:cs="Calibri"/>
                <w:color w:val="000000"/>
                <w:szCs w:val="18"/>
                <w:lang w:eastAsia="en-AU"/>
              </w:rPr>
              <w:t xml:space="preserve">Interest revenue </w:t>
            </w:r>
            <w:r w:rsidRPr="00B43541">
              <w:rPr>
                <w:rFonts w:eastAsiaTheme="minorEastAsia" w:cs="Calibri"/>
                <w:color w:val="000000"/>
                <w:szCs w:val="18"/>
                <w:vertAlign w:val="superscript"/>
                <w:lang w:eastAsia="en-AU"/>
              </w:rPr>
              <w:t>(a)</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711</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720</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(10)</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(1.4)</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724</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B43541" w:rsidRDefault="00BB6F1F" w:rsidP="00AC68FF">
            <w:pPr>
              <w:keepLines w:val="0"/>
              <w:autoSpaceDE w:val="0"/>
              <w:autoSpaceDN w:val="0"/>
              <w:adjustRightInd w:val="0"/>
            </w:pPr>
            <w:r w:rsidRPr="00B43541">
              <w:rPr>
                <w:rFonts w:eastAsiaTheme="minorEastAsia" w:cs="Calibri"/>
                <w:color w:val="000000"/>
                <w:szCs w:val="18"/>
                <w:lang w:eastAsia="en-AU"/>
              </w:rPr>
              <w:t>Dividends and income tax equivalent and rate equivalent revenue</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914</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1 165</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(251)</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(21.6)</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1 159</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B43541" w:rsidRDefault="00BB6F1F" w:rsidP="00AC68FF">
            <w:pPr>
              <w:keepLines w:val="0"/>
              <w:autoSpaceDE w:val="0"/>
              <w:autoSpaceDN w:val="0"/>
              <w:adjustRightInd w:val="0"/>
              <w:rPr>
                <w:rFonts w:eastAsiaTheme="minorEastAsia" w:cs="Calibri"/>
                <w:color w:val="000000"/>
                <w:szCs w:val="18"/>
                <w:lang w:eastAsia="en-AU"/>
              </w:rPr>
            </w:pPr>
            <w:r w:rsidRPr="00B43541">
              <w:rPr>
                <w:rFonts w:eastAsiaTheme="minorEastAsia" w:cs="Calibri"/>
                <w:color w:val="000000"/>
                <w:szCs w:val="18"/>
                <w:lang w:eastAsia="en-AU"/>
              </w:rPr>
              <w:t>Sales of goods and services</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14 539</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14 470</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69</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0.5</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14 324</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B43541" w:rsidRDefault="00BB6F1F" w:rsidP="00AC68FF">
            <w:pPr>
              <w:keepLines w:val="0"/>
              <w:autoSpaceDE w:val="0"/>
              <w:autoSpaceDN w:val="0"/>
              <w:adjustRightInd w:val="0"/>
              <w:rPr>
                <w:rFonts w:eastAsiaTheme="minorEastAsia" w:cs="Calibri"/>
                <w:color w:val="000000"/>
                <w:szCs w:val="18"/>
                <w:lang w:eastAsia="en-AU"/>
              </w:rPr>
            </w:pPr>
            <w:r w:rsidRPr="00B43541">
              <w:rPr>
                <w:rFonts w:eastAsiaTheme="minorEastAsia" w:cs="Calibri"/>
                <w:color w:val="000000"/>
                <w:szCs w:val="18"/>
                <w:lang w:eastAsia="en-AU"/>
              </w:rPr>
              <w:t>Grant revenue</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27 350</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27 259</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91</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0.3</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25 241</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000000"/>
              <w:right w:val="nil"/>
            </w:tcBorders>
          </w:tcPr>
          <w:p w:rsidR="00BB6F1F" w:rsidRPr="00B43541" w:rsidRDefault="00BB6F1F" w:rsidP="00AC68FF">
            <w:pPr>
              <w:keepLines w:val="0"/>
              <w:autoSpaceDE w:val="0"/>
              <w:autoSpaceDN w:val="0"/>
              <w:adjustRightInd w:val="0"/>
              <w:rPr>
                <w:rFonts w:eastAsiaTheme="minorEastAsia" w:cs="Calibri"/>
                <w:color w:val="000000"/>
                <w:szCs w:val="18"/>
                <w:lang w:eastAsia="en-AU"/>
              </w:rPr>
            </w:pPr>
            <w:r w:rsidRPr="00B43541">
              <w:rPr>
                <w:rFonts w:eastAsiaTheme="minorEastAsia" w:cs="Calibri"/>
                <w:color w:val="000000"/>
                <w:szCs w:val="18"/>
                <w:lang w:eastAsia="en-AU"/>
              </w:rPr>
              <w:t>Other revenue</w:t>
            </w:r>
          </w:p>
        </w:tc>
        <w:tc>
          <w:tcPr>
            <w:tcW w:w="907" w:type="dxa"/>
            <w:tcBorders>
              <w:top w:val="nil"/>
              <w:left w:val="nil"/>
              <w:bottom w:val="single" w:sz="6" w:space="0" w:color="000000"/>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3 406</w:t>
            </w:r>
          </w:p>
        </w:tc>
        <w:tc>
          <w:tcPr>
            <w:tcW w:w="907" w:type="dxa"/>
            <w:tcBorders>
              <w:top w:val="nil"/>
              <w:left w:val="nil"/>
              <w:bottom w:val="single" w:sz="6" w:space="0" w:color="000000"/>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3 286</w:t>
            </w:r>
          </w:p>
        </w:tc>
        <w:tc>
          <w:tcPr>
            <w:tcW w:w="907" w:type="dxa"/>
            <w:tcBorders>
              <w:top w:val="nil"/>
              <w:left w:val="nil"/>
              <w:bottom w:val="single" w:sz="6" w:space="0" w:color="000000"/>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120</w:t>
            </w:r>
          </w:p>
        </w:tc>
        <w:tc>
          <w:tcPr>
            <w:tcW w:w="907" w:type="dxa"/>
            <w:tcBorders>
              <w:top w:val="nil"/>
              <w:left w:val="nil"/>
              <w:bottom w:val="single" w:sz="6" w:space="0" w:color="000000"/>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3.7</w:t>
            </w:r>
          </w:p>
        </w:tc>
        <w:tc>
          <w:tcPr>
            <w:tcW w:w="907" w:type="dxa"/>
            <w:tcBorders>
              <w:top w:val="nil"/>
              <w:left w:val="nil"/>
              <w:bottom w:val="single" w:sz="6" w:space="0" w:color="000000"/>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3 835</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B43541" w:rsidRDefault="00BB6F1F" w:rsidP="00AC68FF">
            <w:pPr>
              <w:keepLines w:val="0"/>
              <w:autoSpaceDE w:val="0"/>
              <w:autoSpaceDN w:val="0"/>
              <w:adjustRightInd w:val="0"/>
              <w:rPr>
                <w:rFonts w:eastAsiaTheme="minorEastAsia" w:cs="Calibri"/>
                <w:b/>
                <w:bCs/>
                <w:color w:val="000000"/>
                <w:szCs w:val="18"/>
                <w:vertAlign w:val="superscript"/>
                <w:lang w:eastAsia="en-AU"/>
              </w:rPr>
            </w:pPr>
            <w:r w:rsidRPr="00B43541">
              <w:rPr>
                <w:rFonts w:eastAsiaTheme="minorEastAsia" w:cs="Calibri"/>
                <w:b/>
                <w:bCs/>
                <w:color w:val="000000"/>
                <w:szCs w:val="18"/>
                <w:lang w:eastAsia="en-AU"/>
              </w:rPr>
              <w:t xml:space="preserve">Total revenue from transactions </w:t>
            </w:r>
            <w:r w:rsidRPr="00B43541">
              <w:rPr>
                <w:rFonts w:eastAsiaTheme="minorEastAsia" w:cs="Calibri"/>
                <w:b/>
                <w:bCs/>
                <w:color w:val="000000"/>
                <w:szCs w:val="18"/>
                <w:vertAlign w:val="superscript"/>
                <w:lang w:eastAsia="en-AU"/>
              </w:rPr>
              <w:t>(a)</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43541">
              <w:rPr>
                <w:rFonts w:eastAsiaTheme="minorEastAsia" w:cs="Calibri"/>
                <w:b/>
                <w:bCs/>
                <w:color w:val="000000"/>
                <w:szCs w:val="18"/>
                <w:lang w:eastAsia="en-AU"/>
              </w:rPr>
              <w:t>68 812</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43541">
              <w:rPr>
                <w:rFonts w:eastAsiaTheme="minorEastAsia" w:cs="Calibri"/>
                <w:b/>
                <w:bCs/>
                <w:color w:val="000000"/>
                <w:szCs w:val="18"/>
                <w:lang w:eastAsia="en-AU"/>
              </w:rPr>
              <w:t>68 713</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99</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0.1</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43541">
              <w:rPr>
                <w:rFonts w:eastAsiaTheme="minorEastAsia" w:cs="Calibri"/>
                <w:b/>
                <w:bCs/>
                <w:color w:val="000000"/>
                <w:szCs w:val="18"/>
                <w:lang w:eastAsia="en-AU"/>
              </w:rPr>
              <w:t>64 729</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B43541" w:rsidRDefault="00BB6F1F" w:rsidP="00AC68FF">
            <w:pPr>
              <w:keepLines w:val="0"/>
              <w:autoSpaceDE w:val="0"/>
              <w:autoSpaceDN w:val="0"/>
              <w:adjustRightInd w:val="0"/>
              <w:rPr>
                <w:rFonts w:eastAsiaTheme="minorEastAsia" w:cs="Calibri"/>
                <w:b/>
                <w:bCs/>
                <w:color w:val="000000"/>
                <w:szCs w:val="18"/>
                <w:lang w:eastAsia="en-AU"/>
              </w:rPr>
            </w:pPr>
            <w:r w:rsidRPr="00B43541">
              <w:rPr>
                <w:rFonts w:eastAsiaTheme="minorEastAsia" w:cs="Calibri"/>
                <w:b/>
                <w:bCs/>
                <w:color w:val="000000"/>
                <w:szCs w:val="18"/>
                <w:lang w:eastAsia="en-AU"/>
              </w:rPr>
              <w:t>Expenses from transactions</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43541">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43541">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43541">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43541">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43541">
              <w:rPr>
                <w:rFonts w:eastAsiaTheme="minorEastAsia" w:cs="Calibri"/>
                <w:b/>
                <w:bCs/>
                <w:color w:val="000000"/>
                <w:lang w:eastAsia="en-AU"/>
              </w:rPr>
              <w:t xml:space="preserve"> </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B43541" w:rsidRDefault="00BB6F1F" w:rsidP="00AC68FF">
            <w:pPr>
              <w:keepLines w:val="0"/>
              <w:autoSpaceDE w:val="0"/>
              <w:autoSpaceDN w:val="0"/>
              <w:adjustRightInd w:val="0"/>
              <w:rPr>
                <w:rFonts w:eastAsiaTheme="minorEastAsia" w:cs="Calibri"/>
                <w:color w:val="000000"/>
                <w:szCs w:val="18"/>
                <w:lang w:eastAsia="en-AU"/>
              </w:rPr>
            </w:pPr>
            <w:r w:rsidRPr="00B43541">
              <w:rPr>
                <w:rFonts w:eastAsiaTheme="minorEastAsia" w:cs="Calibri"/>
                <w:color w:val="000000"/>
                <w:szCs w:val="18"/>
                <w:lang w:eastAsia="en-AU"/>
              </w:rPr>
              <w:t>Employee expenses</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22 617</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23 154</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(537)</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(2.3)</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21 066</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B43541" w:rsidRDefault="00BB6F1F" w:rsidP="00AC68FF">
            <w:pPr>
              <w:keepLines w:val="0"/>
              <w:autoSpaceDE w:val="0"/>
              <w:autoSpaceDN w:val="0"/>
              <w:adjustRightInd w:val="0"/>
              <w:rPr>
                <w:rFonts w:eastAsiaTheme="minorEastAsia" w:cs="Calibri"/>
                <w:color w:val="000000"/>
                <w:szCs w:val="18"/>
                <w:lang w:eastAsia="en-AU"/>
              </w:rPr>
            </w:pPr>
            <w:r w:rsidRPr="00B43541">
              <w:rPr>
                <w:rFonts w:eastAsiaTheme="minorEastAsia" w:cs="Calibri"/>
                <w:color w:val="000000"/>
                <w:szCs w:val="18"/>
                <w:lang w:eastAsia="en-AU"/>
              </w:rPr>
              <w:t>Superannuation interest expense</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693</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692</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2</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0.2</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880</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B43541" w:rsidRDefault="00BB6F1F" w:rsidP="00AC68FF">
            <w:pPr>
              <w:keepLines w:val="0"/>
              <w:autoSpaceDE w:val="0"/>
              <w:autoSpaceDN w:val="0"/>
              <w:adjustRightInd w:val="0"/>
              <w:rPr>
                <w:rFonts w:eastAsiaTheme="minorEastAsia" w:cs="Calibri"/>
                <w:color w:val="000000"/>
                <w:szCs w:val="18"/>
                <w:lang w:eastAsia="en-AU"/>
              </w:rPr>
            </w:pPr>
            <w:r w:rsidRPr="00B43541">
              <w:rPr>
                <w:rFonts w:eastAsiaTheme="minorEastAsia" w:cs="Calibri"/>
                <w:color w:val="000000"/>
                <w:szCs w:val="18"/>
                <w:lang w:eastAsia="en-AU"/>
              </w:rPr>
              <w:t>Other superannuation</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2 475</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2 473</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2</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0.1</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2 254</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B43541" w:rsidRDefault="00BB6F1F" w:rsidP="00AC68FF">
            <w:pPr>
              <w:keepLines w:val="0"/>
              <w:autoSpaceDE w:val="0"/>
              <w:autoSpaceDN w:val="0"/>
              <w:adjustRightInd w:val="0"/>
              <w:rPr>
                <w:rFonts w:eastAsiaTheme="minorEastAsia" w:cs="Calibri"/>
                <w:color w:val="000000"/>
                <w:szCs w:val="18"/>
                <w:lang w:eastAsia="en-AU"/>
              </w:rPr>
            </w:pPr>
            <w:r w:rsidRPr="00B43541">
              <w:rPr>
                <w:rFonts w:eastAsiaTheme="minorEastAsia" w:cs="Calibri"/>
                <w:color w:val="000000"/>
                <w:szCs w:val="18"/>
                <w:lang w:eastAsia="en-AU"/>
              </w:rPr>
              <w:t>Depreciation</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4 869</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4 929</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(60)</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(1.2)</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4 706</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B43541" w:rsidRDefault="00BB6F1F" w:rsidP="00AC68FF">
            <w:pPr>
              <w:keepLines w:val="0"/>
              <w:autoSpaceDE w:val="0"/>
              <w:autoSpaceDN w:val="0"/>
              <w:adjustRightInd w:val="0"/>
              <w:rPr>
                <w:rFonts w:eastAsiaTheme="minorEastAsia" w:cs="Calibri"/>
                <w:color w:val="000000"/>
                <w:szCs w:val="18"/>
                <w:vertAlign w:val="superscript"/>
                <w:lang w:eastAsia="en-AU"/>
              </w:rPr>
            </w:pPr>
            <w:r w:rsidRPr="00B43541">
              <w:rPr>
                <w:rFonts w:eastAsiaTheme="minorEastAsia" w:cs="Calibri"/>
                <w:color w:val="000000"/>
                <w:szCs w:val="18"/>
                <w:lang w:eastAsia="en-AU"/>
              </w:rPr>
              <w:t xml:space="preserve">Interest expense </w:t>
            </w:r>
            <w:r w:rsidRPr="00B43541">
              <w:rPr>
                <w:rFonts w:eastAsiaTheme="minorEastAsia" w:cs="Calibri"/>
                <w:color w:val="000000"/>
                <w:szCs w:val="18"/>
                <w:vertAlign w:val="superscript"/>
                <w:lang w:eastAsia="en-AU"/>
              </w:rPr>
              <w:t>(a)</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2 729</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2 628</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101</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3.9</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2 802</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B43541" w:rsidRDefault="00BB6F1F" w:rsidP="00AC68FF">
            <w:pPr>
              <w:keepLines w:val="0"/>
              <w:autoSpaceDE w:val="0"/>
              <w:autoSpaceDN w:val="0"/>
              <w:adjustRightInd w:val="0"/>
              <w:rPr>
                <w:rFonts w:eastAsiaTheme="minorEastAsia" w:cs="Calibri"/>
                <w:color w:val="000000"/>
                <w:szCs w:val="18"/>
                <w:lang w:eastAsia="en-AU"/>
              </w:rPr>
            </w:pPr>
            <w:r w:rsidRPr="00B43541">
              <w:rPr>
                <w:rFonts w:eastAsiaTheme="minorEastAsia" w:cs="Calibri"/>
                <w:color w:val="000000"/>
                <w:szCs w:val="18"/>
                <w:lang w:eastAsia="en-AU"/>
              </w:rPr>
              <w:t>Other operating expenses</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27 053</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28 005</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(952)</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(3.4)</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25 720</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B43541" w:rsidRDefault="00BB6F1F" w:rsidP="00AC68FF">
            <w:pPr>
              <w:keepLines w:val="0"/>
              <w:autoSpaceDE w:val="0"/>
              <w:autoSpaceDN w:val="0"/>
              <w:adjustRightInd w:val="0"/>
              <w:rPr>
                <w:rFonts w:eastAsiaTheme="minorEastAsia" w:cs="Calibri"/>
                <w:color w:val="000000"/>
                <w:szCs w:val="18"/>
                <w:lang w:eastAsia="en-AU"/>
              </w:rPr>
            </w:pPr>
            <w:r w:rsidRPr="00B43541">
              <w:rPr>
                <w:rFonts w:eastAsiaTheme="minorEastAsia" w:cs="Calibri"/>
                <w:color w:val="000000"/>
                <w:szCs w:val="18"/>
                <w:lang w:eastAsia="en-AU"/>
              </w:rPr>
              <w:t>Grant expense</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7 624</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7 516</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108</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1.4</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43541">
              <w:rPr>
                <w:rFonts w:eastAsiaTheme="minorEastAsia" w:cs="Calibri"/>
                <w:color w:val="000000"/>
                <w:szCs w:val="18"/>
                <w:lang w:eastAsia="en-AU"/>
              </w:rPr>
              <w:t>5 657</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rPr>
                <w:rFonts w:eastAsiaTheme="minorEastAsia" w:cs="Calibri"/>
                <w:b/>
                <w:bCs/>
                <w:color w:val="000000"/>
                <w:szCs w:val="18"/>
                <w:vertAlign w:val="superscript"/>
                <w:lang w:eastAsia="en-AU"/>
              </w:rPr>
            </w:pPr>
            <w:r w:rsidRPr="00B43541">
              <w:rPr>
                <w:rFonts w:eastAsiaTheme="minorEastAsia" w:cs="Calibri"/>
                <w:b/>
                <w:bCs/>
                <w:color w:val="000000"/>
                <w:szCs w:val="18"/>
                <w:lang w:eastAsia="en-AU"/>
              </w:rPr>
              <w:t xml:space="preserve">Total expenses from transactions </w:t>
            </w:r>
            <w:r w:rsidRPr="00B43541">
              <w:rPr>
                <w:rFonts w:eastAsiaTheme="minorEastAsia" w:cs="Calibri"/>
                <w:b/>
                <w:bCs/>
                <w:color w:val="000000"/>
                <w:szCs w:val="18"/>
                <w:vertAlign w:val="superscript"/>
                <w:lang w:eastAsia="en-AU"/>
              </w:rPr>
              <w:t>(a)</w:t>
            </w:r>
          </w:p>
        </w:tc>
        <w:tc>
          <w:tcPr>
            <w:tcW w:w="907"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43541">
              <w:rPr>
                <w:rFonts w:eastAsiaTheme="minorEastAsia" w:cs="Calibri"/>
                <w:b/>
                <w:bCs/>
                <w:color w:val="000000"/>
                <w:szCs w:val="18"/>
                <w:lang w:eastAsia="en-AU"/>
              </w:rPr>
              <w:t>68 058</w:t>
            </w:r>
          </w:p>
        </w:tc>
        <w:tc>
          <w:tcPr>
            <w:tcW w:w="907"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43541">
              <w:rPr>
                <w:rFonts w:eastAsiaTheme="minorEastAsia" w:cs="Calibri"/>
                <w:b/>
                <w:bCs/>
                <w:color w:val="000000"/>
                <w:szCs w:val="18"/>
                <w:lang w:eastAsia="en-AU"/>
              </w:rPr>
              <w:t>69 396</w:t>
            </w:r>
          </w:p>
        </w:tc>
        <w:tc>
          <w:tcPr>
            <w:tcW w:w="907"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(1 337)</w:t>
            </w:r>
          </w:p>
        </w:tc>
        <w:tc>
          <w:tcPr>
            <w:tcW w:w="907"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(1.9)</w:t>
            </w:r>
          </w:p>
        </w:tc>
        <w:tc>
          <w:tcPr>
            <w:tcW w:w="907"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43541">
              <w:rPr>
                <w:rFonts w:eastAsiaTheme="minorEastAsia" w:cs="Calibri"/>
                <w:b/>
                <w:bCs/>
                <w:color w:val="000000"/>
                <w:szCs w:val="18"/>
                <w:lang w:eastAsia="en-AU"/>
              </w:rPr>
              <w:t>63 085</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rPr>
                <w:rFonts w:eastAsiaTheme="minorEastAsia" w:cs="Calibri"/>
                <w:b/>
                <w:bCs/>
                <w:color w:val="000000"/>
                <w:szCs w:val="18"/>
                <w:lang w:eastAsia="en-AU"/>
              </w:rPr>
            </w:pPr>
            <w:r w:rsidRPr="00B43541">
              <w:rPr>
                <w:rFonts w:eastAsiaTheme="minorEastAsia" w:cs="Calibri"/>
                <w:b/>
                <w:bCs/>
                <w:color w:val="000000"/>
                <w:szCs w:val="18"/>
                <w:lang w:eastAsia="en-AU"/>
              </w:rPr>
              <w:t>Net result from transactions – net operating balance</w:t>
            </w:r>
          </w:p>
        </w:tc>
        <w:tc>
          <w:tcPr>
            <w:tcW w:w="907"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754</w:t>
            </w:r>
          </w:p>
        </w:tc>
        <w:tc>
          <w:tcPr>
            <w:tcW w:w="907"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(682)</w:t>
            </w:r>
          </w:p>
        </w:tc>
        <w:tc>
          <w:tcPr>
            <w:tcW w:w="907"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43541">
              <w:rPr>
                <w:rFonts w:eastAsiaTheme="minorEastAsia" w:cs="Calibri"/>
                <w:b/>
                <w:bCs/>
                <w:color w:val="000000"/>
                <w:szCs w:val="18"/>
                <w:lang w:eastAsia="en-AU"/>
              </w:rPr>
              <w:t>1 437</w:t>
            </w:r>
          </w:p>
        </w:tc>
        <w:tc>
          <w:tcPr>
            <w:tcW w:w="907"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(210.5)</w:t>
            </w:r>
          </w:p>
        </w:tc>
        <w:tc>
          <w:tcPr>
            <w:tcW w:w="907"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43541">
              <w:rPr>
                <w:rFonts w:eastAsiaTheme="minorEastAsia" w:cs="Calibri"/>
                <w:b/>
                <w:bCs/>
                <w:color w:val="000000"/>
                <w:szCs w:val="18"/>
                <w:lang w:eastAsia="en-AU"/>
              </w:rPr>
              <w:t>1 645</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rPr>
                <w:rFonts w:eastAsiaTheme="minorEastAsia" w:cs="Calibri"/>
                <w:b/>
                <w:bCs/>
                <w:color w:val="000000"/>
                <w:szCs w:val="18"/>
                <w:lang w:eastAsia="en-AU"/>
              </w:rPr>
            </w:pPr>
            <w:r w:rsidRPr="00B43541">
              <w:rPr>
                <w:rFonts w:eastAsiaTheme="minorEastAsia" w:cs="Calibri"/>
                <w:b/>
                <w:bCs/>
                <w:color w:val="000000"/>
                <w:szCs w:val="18"/>
                <w:lang w:eastAsia="en-AU"/>
              </w:rPr>
              <w:t>Total other economic flows included in net result</w:t>
            </w:r>
          </w:p>
        </w:tc>
        <w:tc>
          <w:tcPr>
            <w:tcW w:w="907"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43541">
              <w:rPr>
                <w:rFonts w:eastAsiaTheme="minorEastAsia" w:cs="Calibri"/>
                <w:b/>
                <w:bCs/>
                <w:color w:val="000000"/>
                <w:szCs w:val="18"/>
                <w:lang w:eastAsia="en-AU"/>
              </w:rPr>
              <w:t>5 816</w:t>
            </w:r>
          </w:p>
        </w:tc>
        <w:tc>
          <w:tcPr>
            <w:tcW w:w="907"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43541">
              <w:rPr>
                <w:rFonts w:eastAsiaTheme="minorEastAsia" w:cs="Calibri"/>
                <w:b/>
                <w:bCs/>
                <w:color w:val="000000"/>
                <w:szCs w:val="18"/>
                <w:lang w:eastAsia="en-AU"/>
              </w:rPr>
              <w:t>5 835</w:t>
            </w:r>
          </w:p>
        </w:tc>
        <w:tc>
          <w:tcPr>
            <w:tcW w:w="907"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(19)</w:t>
            </w:r>
          </w:p>
        </w:tc>
        <w:tc>
          <w:tcPr>
            <w:tcW w:w="907"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(0.3)</w:t>
            </w:r>
          </w:p>
        </w:tc>
        <w:tc>
          <w:tcPr>
            <w:tcW w:w="907"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(3 284)</w:t>
            </w:r>
          </w:p>
        </w:tc>
      </w:tr>
      <w:tr w:rsidR="00BB6F1F" w:rsidRPr="00B43541"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bottom w:val="single" w:sz="12" w:space="0" w:color="000000"/>
            </w:tcBorders>
          </w:tcPr>
          <w:p w:rsidR="00BB6F1F" w:rsidRPr="00B43541" w:rsidRDefault="00BB6F1F" w:rsidP="00AC68FF">
            <w:pPr>
              <w:keepLines w:val="0"/>
              <w:autoSpaceDE w:val="0"/>
              <w:autoSpaceDN w:val="0"/>
              <w:adjustRightInd w:val="0"/>
              <w:rPr>
                <w:rFonts w:eastAsiaTheme="minorEastAsia" w:cs="Calibri"/>
                <w:bCs/>
                <w:color w:val="000000"/>
                <w:szCs w:val="18"/>
                <w:lang w:eastAsia="en-AU"/>
              </w:rPr>
            </w:pPr>
            <w:r w:rsidRPr="00B43541">
              <w:rPr>
                <w:rFonts w:eastAsiaTheme="minorEastAsia" w:cs="Calibri"/>
                <w:bCs/>
                <w:color w:val="000000"/>
                <w:szCs w:val="18"/>
                <w:lang w:eastAsia="en-AU"/>
              </w:rPr>
              <w:t>Net result</w:t>
            </w:r>
          </w:p>
        </w:tc>
        <w:tc>
          <w:tcPr>
            <w:tcW w:w="907" w:type="dxa"/>
            <w:tcBorders>
              <w:top w:val="single" w:sz="6" w:space="0" w:color="000000"/>
              <w:bottom w:val="single" w:sz="12" w:space="0" w:color="000000"/>
            </w:tcBorders>
          </w:tcPr>
          <w:p w:rsidR="00BB6F1F" w:rsidRPr="00B43541"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B43541">
              <w:rPr>
                <w:rFonts w:eastAsiaTheme="minorEastAsia" w:cs="Calibri"/>
                <w:bCs/>
                <w:color w:val="000000"/>
                <w:szCs w:val="18"/>
                <w:lang w:eastAsia="en-AU"/>
              </w:rPr>
              <w:t>6 570</w:t>
            </w:r>
          </w:p>
        </w:tc>
        <w:tc>
          <w:tcPr>
            <w:tcW w:w="907" w:type="dxa"/>
            <w:tcBorders>
              <w:top w:val="single" w:sz="6" w:space="0" w:color="000000"/>
              <w:bottom w:val="single" w:sz="12" w:space="0" w:color="000000"/>
            </w:tcBorders>
          </w:tcPr>
          <w:p w:rsidR="00BB6F1F" w:rsidRPr="00B43541"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B43541">
              <w:rPr>
                <w:rFonts w:eastAsiaTheme="minorEastAsia" w:cs="Calibri"/>
                <w:bCs/>
                <w:color w:val="000000"/>
                <w:szCs w:val="18"/>
                <w:lang w:eastAsia="en-AU"/>
              </w:rPr>
              <w:t>5 152</w:t>
            </w:r>
          </w:p>
        </w:tc>
        <w:tc>
          <w:tcPr>
            <w:tcW w:w="907" w:type="dxa"/>
            <w:tcBorders>
              <w:top w:val="single" w:sz="6" w:space="0" w:color="000000"/>
              <w:bottom w:val="single" w:sz="12" w:space="0" w:color="000000"/>
            </w:tcBorders>
          </w:tcPr>
          <w:p w:rsidR="00BB6F1F" w:rsidRPr="00B43541"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B43541">
              <w:rPr>
                <w:rFonts w:eastAsiaTheme="minorEastAsia" w:cs="Calibri"/>
                <w:bCs/>
                <w:color w:val="000000"/>
                <w:szCs w:val="18"/>
                <w:lang w:eastAsia="en-AU"/>
              </w:rPr>
              <w:t>1 417</w:t>
            </w:r>
          </w:p>
        </w:tc>
        <w:tc>
          <w:tcPr>
            <w:tcW w:w="907" w:type="dxa"/>
            <w:tcBorders>
              <w:top w:val="single" w:sz="6" w:space="0" w:color="000000"/>
              <w:bottom w:val="single" w:sz="12" w:space="0" w:color="000000"/>
            </w:tcBorders>
          </w:tcPr>
          <w:p w:rsidR="00BB6F1F" w:rsidRPr="00B43541"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Pr>
                <w:rFonts w:eastAsiaTheme="minorEastAsia" w:cs="Calibri"/>
                <w:bCs/>
                <w:color w:val="000000"/>
                <w:szCs w:val="18"/>
                <w:lang w:eastAsia="en-AU"/>
              </w:rPr>
              <w:t>27.5</w:t>
            </w:r>
          </w:p>
        </w:tc>
        <w:tc>
          <w:tcPr>
            <w:tcW w:w="907" w:type="dxa"/>
            <w:tcBorders>
              <w:top w:val="single" w:sz="6" w:space="0" w:color="000000"/>
              <w:bottom w:val="single" w:sz="12" w:space="0" w:color="000000"/>
            </w:tcBorders>
          </w:tcPr>
          <w:p w:rsidR="00BB6F1F" w:rsidRPr="00B43541"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Pr>
                <w:rFonts w:eastAsiaTheme="minorEastAsia" w:cs="Calibri"/>
                <w:bCs/>
                <w:color w:val="000000"/>
                <w:szCs w:val="18"/>
                <w:lang w:eastAsia="en-AU"/>
              </w:rPr>
              <w:t>(1 640)</w:t>
            </w:r>
          </w:p>
        </w:tc>
      </w:tr>
    </w:tbl>
    <w:p w:rsidR="00BB6F1F" w:rsidRDefault="00BB6F1F" w:rsidP="00AC68FF">
      <w:pPr>
        <w:pStyle w:val="Source"/>
      </w:pPr>
      <w:r>
        <w:t>Source: Department of Treasury and Finance</w:t>
      </w:r>
    </w:p>
    <w:p w:rsidR="00BB6F1F" w:rsidRPr="005F3DE5" w:rsidRDefault="00BB6F1F" w:rsidP="005F3DE5">
      <w:pPr>
        <w:pStyle w:val="Note"/>
      </w:pPr>
      <w:r w:rsidRPr="005F3DE5">
        <w:t xml:space="preserve">Note: </w:t>
      </w:r>
    </w:p>
    <w:p w:rsidR="00BB6F1F" w:rsidRPr="005F3DE5" w:rsidRDefault="00BB6F1F" w:rsidP="005F3DE5">
      <w:pPr>
        <w:pStyle w:val="Note"/>
      </w:pPr>
      <w:r w:rsidRPr="005F3DE5">
        <w:t>(a)</w:t>
      </w:r>
      <w:r w:rsidRPr="005F3DE5">
        <w:tab/>
        <w:t>June 2016 comparative figures have been restated to reflect the reclassification of borrowings and investments sold at a premium/discount, from interes</w:t>
      </w:r>
      <w:r w:rsidR="00AC68FF" w:rsidRPr="005F3DE5">
        <w:t>t expense to interest revenue.</w:t>
      </w:r>
    </w:p>
    <w:p w:rsidR="00BB6F1F" w:rsidRDefault="00BB6F1F" w:rsidP="00AC68FF">
      <w:pPr>
        <w:pStyle w:val="Heading20"/>
      </w:pPr>
      <w:r>
        <w:t>Revenue</w:t>
      </w:r>
    </w:p>
    <w:p w:rsidR="00BB6F1F" w:rsidRDefault="00BB6F1F" w:rsidP="00AC68FF">
      <w:pPr>
        <w:sectPr w:rsidR="00BB6F1F" w:rsidSect="00D97443">
          <w:type w:val="continuous"/>
          <w:pgSz w:w="11906" w:h="16838" w:code="9"/>
          <w:pgMar w:top="1134" w:right="1134" w:bottom="1134" w:left="1134" w:header="624" w:footer="567" w:gutter="0"/>
          <w:cols w:sep="1" w:space="567"/>
          <w:docGrid w:linePitch="360"/>
        </w:sectPr>
      </w:pPr>
    </w:p>
    <w:p w:rsidR="00BB6F1F" w:rsidRDefault="00BB6F1F" w:rsidP="00AC68FF">
      <w:r>
        <w:lastRenderedPageBreak/>
        <w:t xml:space="preserve">Total State revenue increased by 6.3 per cent in 2016-17 to $68.8 billion. This was $99 million higher than the revised estimate reflected in the </w:t>
      </w:r>
      <w:r w:rsidRPr="007B4E37">
        <w:rPr>
          <w:i/>
        </w:rPr>
        <w:t>2017-18 Budget</w:t>
      </w:r>
      <w:r>
        <w:t>. The general government sector accounts for 89 p</w:t>
      </w:r>
      <w:r w:rsidR="00AC68FF">
        <w:t>er cent of total State revenue.</w:t>
      </w:r>
    </w:p>
    <w:p w:rsidR="00BB6F1F" w:rsidRDefault="00BB6F1F" w:rsidP="00AC68FF">
      <w:r>
        <w:br w:type="column"/>
      </w:r>
      <w:r>
        <w:lastRenderedPageBreak/>
        <w:t xml:space="preserve">Increases in taxation revenue and grant revenue in the general government sector were the main contributors toward the increase in State revenue. </w:t>
      </w:r>
    </w:p>
    <w:p w:rsidR="00BB6F1F" w:rsidRDefault="00BB6F1F" w:rsidP="00AC68FF">
      <w:pPr>
        <w:sectPr w:rsidR="00BB6F1F" w:rsidSect="00AC68FF">
          <w:type w:val="continuous"/>
          <w:pgSz w:w="11906" w:h="16838" w:code="9"/>
          <w:pgMar w:top="1134" w:right="1134" w:bottom="1134" w:left="1134" w:header="624" w:footer="567" w:gutter="0"/>
          <w:cols w:num="2" w:space="567"/>
          <w:docGrid w:linePitch="360"/>
        </w:sectPr>
      </w:pPr>
    </w:p>
    <w:p w:rsidR="00BB6F1F" w:rsidRDefault="00BB6F1F" w:rsidP="006C0F1F">
      <w:pPr>
        <w:pStyle w:val="TableHeading"/>
        <w:spacing w:before="0"/>
      </w:pPr>
      <w:r>
        <w:lastRenderedPageBreak/>
        <w:t>Chart 3.1:</w:t>
      </w:r>
      <w:r>
        <w:tab/>
        <w:t>Revenue contributions by sector</w:t>
      </w:r>
    </w:p>
    <w:p w:rsidR="00BB6F1F" w:rsidRPr="00505A55" w:rsidRDefault="00E73501" w:rsidP="00AC68FF">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330pt">
            <v:imagedata r:id="rId29" o:title=""/>
          </v:shape>
        </w:pict>
      </w:r>
    </w:p>
    <w:p w:rsidR="00BB6F1F" w:rsidRDefault="00BB6F1F" w:rsidP="00AC68FF">
      <w:pPr>
        <w:pStyle w:val="Source"/>
      </w:pPr>
      <w:r>
        <w:t>Source: Department of Treasury and Finance</w:t>
      </w:r>
    </w:p>
    <w:p w:rsidR="00BB6F1F" w:rsidRDefault="00BB6F1F" w:rsidP="00F078AA">
      <w:pPr>
        <w:pStyle w:val="Note"/>
        <w:ind w:left="426" w:hanging="426"/>
      </w:pPr>
      <w:r>
        <w:t xml:space="preserve">Note: </w:t>
      </w:r>
      <w:r w:rsidR="005F3DE5">
        <w:tab/>
      </w:r>
      <w:r>
        <w:t>The State of Victoria will not equal the sum of the general government, PNFC and PFC sectors due to inter-sector eliminations.</w:t>
      </w:r>
    </w:p>
    <w:p w:rsidR="00BB6F1F" w:rsidRDefault="00BB6F1F" w:rsidP="00AC68FF"/>
    <w:p w:rsidR="00BB6F1F" w:rsidRDefault="00BB6F1F" w:rsidP="00AC68FF">
      <w:pPr>
        <w:keepLines w:val="0"/>
        <w:sectPr w:rsidR="00BB6F1F" w:rsidSect="00AC68FF">
          <w:type w:val="continuous"/>
          <w:pgSz w:w="11906" w:h="16838" w:code="9"/>
          <w:pgMar w:top="1134" w:right="1134" w:bottom="1134" w:left="1134" w:header="624" w:footer="567" w:gutter="0"/>
          <w:cols w:sep="1" w:space="567"/>
          <w:docGrid w:linePitch="360"/>
        </w:sectPr>
      </w:pPr>
    </w:p>
    <w:p w:rsidR="00BB6F1F" w:rsidRDefault="00BB6F1F" w:rsidP="00AC68FF">
      <w:pPr>
        <w:keepLines w:val="0"/>
      </w:pPr>
      <w:r>
        <w:lastRenderedPageBreak/>
        <w:t>Within the PNFC sector, total revenue was relatively unchanged in 2016-17 compared to 2015-16.</w:t>
      </w:r>
    </w:p>
    <w:p w:rsidR="00BB6F1F" w:rsidRPr="0000362C" w:rsidRDefault="00BB6F1F" w:rsidP="00AC68FF">
      <w:pPr>
        <w:keepLines w:val="0"/>
      </w:pPr>
      <w:r w:rsidRPr="0000362C">
        <w:t xml:space="preserve">In the PFC sector, </w:t>
      </w:r>
      <w:r>
        <w:t>operating</w:t>
      </w:r>
      <w:r w:rsidRPr="0000362C">
        <w:t xml:space="preserve"> revenue decreased by 1.3</w:t>
      </w:r>
      <w:r>
        <w:t> per cent</w:t>
      </w:r>
      <w:r w:rsidRPr="0000362C">
        <w:t xml:space="preserve"> to $7</w:t>
      </w:r>
      <w:r>
        <w:t>.5</w:t>
      </w:r>
      <w:r w:rsidRPr="0000362C">
        <w:t xml:space="preserve"> </w:t>
      </w:r>
      <w:r>
        <w:t>b</w:t>
      </w:r>
      <w:r w:rsidRPr="0000362C">
        <w:t xml:space="preserve">illion during 2016-17 compared to </w:t>
      </w:r>
      <w:r>
        <w:t>$7.6</w:t>
      </w:r>
      <w:r w:rsidRPr="0000362C">
        <w:t xml:space="preserve"> </w:t>
      </w:r>
      <w:r>
        <w:t>b</w:t>
      </w:r>
      <w:r w:rsidRPr="0000362C">
        <w:t xml:space="preserve">illion in 2015-16. </w:t>
      </w:r>
    </w:p>
    <w:p w:rsidR="00BB6F1F" w:rsidRPr="0000362C" w:rsidRDefault="00BB6F1F" w:rsidP="00AC68FF">
      <w:pPr>
        <w:keepLines w:val="0"/>
      </w:pPr>
      <w:r w:rsidRPr="0000362C">
        <w:t xml:space="preserve">The marginal decline in </w:t>
      </w:r>
      <w:r>
        <w:t xml:space="preserve">PFC sector </w:t>
      </w:r>
      <w:r w:rsidRPr="0000362C">
        <w:t xml:space="preserve">revenue was due to </w:t>
      </w:r>
      <w:r>
        <w:t xml:space="preserve">the </w:t>
      </w:r>
      <w:r w:rsidRPr="0000362C">
        <w:t xml:space="preserve">repayment of </w:t>
      </w:r>
      <w:r>
        <w:t>Treasury Corporation of Victoria (TCV)</w:t>
      </w:r>
      <w:r w:rsidRPr="0000362C">
        <w:t xml:space="preserve"> debt by the general governmen</w:t>
      </w:r>
      <w:r>
        <w:t xml:space="preserve">t </w:t>
      </w:r>
      <w:r w:rsidRPr="0000362C">
        <w:t xml:space="preserve">sector </w:t>
      </w:r>
      <w:r>
        <w:t>from the proceeds of the Port of Melbourne lease transaction, resulting in lower interest revenue to TCV.</w:t>
      </w:r>
    </w:p>
    <w:p w:rsidR="00BB6F1F" w:rsidRDefault="00BB6F1F" w:rsidP="00AC68FF">
      <w:pPr>
        <w:keepLines w:val="0"/>
      </w:pPr>
      <w:r w:rsidRPr="0000362C">
        <w:t xml:space="preserve">The PFC sector experienced strong investment returns overall due to favourable conditions in global financial markets, with </w:t>
      </w:r>
      <w:r>
        <w:t>the Transport Accident Commission (</w:t>
      </w:r>
      <w:r w:rsidRPr="0000362C">
        <w:t>TAC</w:t>
      </w:r>
      <w:r>
        <w:t>)</w:t>
      </w:r>
      <w:r w:rsidRPr="0000362C">
        <w:t xml:space="preserve">, </w:t>
      </w:r>
      <w:proofErr w:type="spellStart"/>
      <w:r w:rsidRPr="0000362C">
        <w:t>WorkSafe</w:t>
      </w:r>
      <w:proofErr w:type="spellEnd"/>
      <w:r w:rsidRPr="0000362C">
        <w:t xml:space="preserve"> and Victorian Managed Insurance Authority (VMIA) recording a return of </w:t>
      </w:r>
      <w:r>
        <w:t xml:space="preserve">about </w:t>
      </w:r>
      <w:r w:rsidRPr="0000362C">
        <w:t>11.5</w:t>
      </w:r>
      <w:r>
        <w:t> per cent</w:t>
      </w:r>
      <w:r w:rsidRPr="0000362C">
        <w:t xml:space="preserve"> on their investment portfolios, compared with returns of </w:t>
      </w:r>
      <w:r>
        <w:t>about</w:t>
      </w:r>
      <w:r w:rsidRPr="0000362C">
        <w:t xml:space="preserve"> 3</w:t>
      </w:r>
      <w:r>
        <w:t> per cent</w:t>
      </w:r>
      <w:r w:rsidRPr="0000362C">
        <w:t xml:space="preserve"> in 2015-16. </w:t>
      </w:r>
      <w:r>
        <w:t>T</w:t>
      </w:r>
      <w:r w:rsidRPr="0000362C">
        <w:t>he majority of the favourable movements are reported in the net result</w:t>
      </w:r>
      <w:r>
        <w:t xml:space="preserve"> as part of other economic flows</w:t>
      </w:r>
      <w:r w:rsidRPr="0000362C">
        <w:t>.</w:t>
      </w:r>
    </w:p>
    <w:p w:rsidR="00BB6F1F" w:rsidRDefault="00BB6F1F" w:rsidP="00AC68FF">
      <w:pPr>
        <w:pStyle w:val="Heading20"/>
        <w:spacing w:before="120"/>
      </w:pPr>
      <w:r>
        <w:br w:type="column"/>
      </w:r>
      <w:r>
        <w:lastRenderedPageBreak/>
        <w:t>Expenses</w:t>
      </w:r>
    </w:p>
    <w:p w:rsidR="00BB6F1F" w:rsidRDefault="00BB6F1F" w:rsidP="00AC68FF">
      <w:pPr>
        <w:keepLines w:val="0"/>
      </w:pPr>
      <w:r>
        <w:t xml:space="preserve">Total State expenses increased by 7.9 per cent to $68 billion during 2016-17, $1.3 billion lower than forecast in the </w:t>
      </w:r>
      <w:r w:rsidRPr="00C005BD">
        <w:rPr>
          <w:i/>
        </w:rPr>
        <w:t>2017-18 Budget</w:t>
      </w:r>
      <w:r>
        <w:t xml:space="preserve"> and $4.9 billion higher than in 2015-16. Most of these movements reflect the activities of the general government sector.</w:t>
      </w:r>
    </w:p>
    <w:p w:rsidR="00BB6F1F" w:rsidRDefault="00BB6F1F" w:rsidP="00AC68FF">
      <w:pPr>
        <w:keepLines w:val="0"/>
      </w:pPr>
      <w:r>
        <w:t xml:space="preserve">In the PNFC sector, total expenses increased by 5.2 per cent to $10.8 billion, $145 million lower than forecast in the </w:t>
      </w:r>
      <w:r w:rsidRPr="000678E7">
        <w:rPr>
          <w:i/>
        </w:rPr>
        <w:t>2017-18 Budget</w:t>
      </w:r>
      <w:r>
        <w:t xml:space="preserve"> and $535 million higher than 2015-16. The increase since 2015-16 was mainly due to increases in grant and other operating expenses, driven by </w:t>
      </w:r>
      <w:r w:rsidRPr="0068647D">
        <w:t xml:space="preserve">additional family violence initiatives and the first stage transfer of </w:t>
      </w:r>
      <w:r>
        <w:t xml:space="preserve">the </w:t>
      </w:r>
      <w:r w:rsidRPr="0068647D">
        <w:t>Director of Housing properties to Aboriginal Housing Victoria</w:t>
      </w:r>
      <w:r>
        <w:t>.</w:t>
      </w:r>
    </w:p>
    <w:p w:rsidR="00BB6F1F" w:rsidRDefault="00BB6F1F" w:rsidP="00AC68FF">
      <w:pPr>
        <w:keepLines w:val="0"/>
      </w:pPr>
      <w:r>
        <w:t xml:space="preserve">Within the PFC sector, total expenses increased by 12.9 per cent to $9.5 billion in 2016-17 compared to $8.4 billion in 2015-16. This was $67 million lower than forecast in the </w:t>
      </w:r>
      <w:r w:rsidRPr="007B4E37">
        <w:rPr>
          <w:i/>
        </w:rPr>
        <w:t>2017-18 Budget</w:t>
      </w:r>
      <w:r>
        <w:t>. The increase in expenses in 2016</w:t>
      </w:r>
      <w:r>
        <w:noBreakHyphen/>
        <w:t xml:space="preserve">17 was mainly due to an increase in </w:t>
      </w:r>
      <w:r w:rsidRPr="006022AF">
        <w:t>insurance claims costs and higher accrued income tax equivalents.</w:t>
      </w:r>
      <w:r>
        <w:br w:type="page"/>
      </w:r>
    </w:p>
    <w:p w:rsidR="00BB6F1F" w:rsidRDefault="00BB6F1F" w:rsidP="00AC68FF">
      <w:pPr>
        <w:pStyle w:val="Heading20"/>
      </w:pPr>
      <w:r>
        <w:lastRenderedPageBreak/>
        <w:t>Net result from transactions</w:t>
      </w:r>
    </w:p>
    <w:p w:rsidR="00BB6F1F" w:rsidRDefault="00BB6F1F" w:rsidP="00AC68FF">
      <w:r>
        <w:t>As shown in Chart 3.2, the PNFC sector recorded a $436 million net deficit from transactions in 2016</w:t>
      </w:r>
      <w:r>
        <w:noBreakHyphen/>
        <w:t>17 compared to a surplus of $154 million in 2015-16. This decline was mainly driven by deficits in the Director of Housing due to the transfer of housing stock to Aboriginal Housing Victoria free of charge in 2016-17, and the one-off debt forgiveness to the Director of Housing in 2015-16, which positively impacted that year’s results. The decline in the profits of some regional water businesses also contributed to this outcome, driven by lower sales of goods and services.</w:t>
      </w:r>
      <w:r>
        <w:br w:type="column"/>
      </w:r>
    </w:p>
    <w:p w:rsidR="00BB6F1F" w:rsidRDefault="00BB6F1F" w:rsidP="00AC68FF">
      <w:pPr>
        <w:sectPr w:rsidR="00BB6F1F" w:rsidSect="00AC68FF">
          <w:type w:val="continuous"/>
          <w:pgSz w:w="11906" w:h="16838" w:code="9"/>
          <w:pgMar w:top="1134" w:right="1134" w:bottom="1134" w:left="1134" w:header="624" w:footer="567" w:gutter="0"/>
          <w:cols w:num="2" w:space="567"/>
          <w:docGrid w:linePitch="360"/>
        </w:sectPr>
      </w:pPr>
    </w:p>
    <w:p w:rsidR="00BB6F1F" w:rsidRDefault="00BB6F1F" w:rsidP="00AC68FF">
      <w:pPr>
        <w:pStyle w:val="TableHeading"/>
      </w:pPr>
      <w:r>
        <w:lastRenderedPageBreak/>
        <w:t>Chart 3.2:</w:t>
      </w:r>
      <w:r>
        <w:tab/>
        <w:t>Net result from transactions by sector</w:t>
      </w:r>
    </w:p>
    <w:p w:rsidR="00BB6F1F" w:rsidRDefault="00E73501">
      <w:pPr>
        <w:keepLines w:val="0"/>
      </w:pPr>
      <w:r>
        <w:pict>
          <v:shape id="_x0000_i1026" type="#_x0000_t75" style="width:477.75pt;height:333.75pt">
            <v:imagedata r:id="rId30" o:title=""/>
          </v:shape>
        </w:pict>
      </w:r>
    </w:p>
    <w:p w:rsidR="00BB6F1F" w:rsidRDefault="00BB6F1F" w:rsidP="00AC68FF">
      <w:pPr>
        <w:pStyle w:val="Source"/>
      </w:pPr>
      <w:r>
        <w:t>Source: Department of Treasury and Finance</w:t>
      </w:r>
    </w:p>
    <w:p w:rsidR="00BB6F1F" w:rsidRPr="005F3DE5" w:rsidRDefault="00BB6F1F" w:rsidP="00F078AA">
      <w:pPr>
        <w:pStyle w:val="Note"/>
        <w:ind w:left="426" w:hanging="426"/>
      </w:pPr>
      <w:r w:rsidRPr="005F3DE5">
        <w:t xml:space="preserve">Note: </w:t>
      </w:r>
      <w:r w:rsidR="005F3DE5" w:rsidRPr="005F3DE5">
        <w:tab/>
      </w:r>
      <w:r w:rsidRPr="005F3DE5">
        <w:t>The State of Victoria will not equal the sum of the general government, PNFC and PFC sectors due to inter-sector eliminations.</w:t>
      </w:r>
    </w:p>
    <w:p w:rsidR="00BB6F1F" w:rsidRDefault="00BB6F1F" w:rsidP="00AC68FF">
      <w:pPr>
        <w:keepLines w:val="0"/>
      </w:pPr>
    </w:p>
    <w:p w:rsidR="00BB6F1F" w:rsidRDefault="00BB6F1F" w:rsidP="00AC68FF">
      <w:pPr>
        <w:keepLines w:val="0"/>
        <w:sectPr w:rsidR="00BB6F1F" w:rsidSect="00AC68FF">
          <w:type w:val="continuous"/>
          <w:pgSz w:w="11906" w:h="16838" w:code="9"/>
          <w:pgMar w:top="1134" w:right="1134" w:bottom="1134" w:left="1134" w:header="624" w:footer="567" w:gutter="0"/>
          <w:cols w:sep="1" w:space="567"/>
          <w:docGrid w:linePitch="360"/>
        </w:sectPr>
      </w:pPr>
    </w:p>
    <w:p w:rsidR="00BB6F1F" w:rsidRDefault="00BB6F1F" w:rsidP="00AC68FF">
      <w:pPr>
        <w:keepLines w:val="0"/>
      </w:pPr>
      <w:r>
        <w:lastRenderedPageBreak/>
        <w:t>The PFC sector recorded a net deficit from transactions of $2 billion in 2016-17 compared to a $800 million deficit in 2015</w:t>
      </w:r>
      <w:r>
        <w:noBreakHyphen/>
        <w:t>16. The increased deficit in 2016-17 was driven by higher insurance claims costs and higher income tax equivalents expense.</w:t>
      </w:r>
    </w:p>
    <w:p w:rsidR="00BB6F1F" w:rsidRDefault="00BB6F1F" w:rsidP="00AC68FF">
      <w:pPr>
        <w:pStyle w:val="Heading20"/>
        <w:spacing w:before="60"/>
      </w:pPr>
      <w:r>
        <w:br w:type="column"/>
      </w:r>
      <w:r>
        <w:lastRenderedPageBreak/>
        <w:t>Net result</w:t>
      </w:r>
    </w:p>
    <w:p w:rsidR="00BB6F1F" w:rsidRDefault="00BB6F1F" w:rsidP="00AC68FF">
      <w:pPr>
        <w:keepLines w:val="0"/>
      </w:pPr>
      <w:r>
        <w:t xml:space="preserve">At the consolidated State level, the net result for 2016-17 was a surplus of $6.6 billion. </w:t>
      </w:r>
    </w:p>
    <w:p w:rsidR="00BB6F1F" w:rsidRDefault="00BB6F1F">
      <w:pPr>
        <w:keepLines w:val="0"/>
      </w:pPr>
      <w:r>
        <w:t>The difference between the net result and the net result from transactions comprises ‘other economic flows’. This includes the impact of changes in bond rates used to value the State’s insurance and superannuation liabilities and variations in the investment returns on the assets invested to fund the State’s insurance and superannuation liabilities.</w:t>
      </w:r>
    </w:p>
    <w:p w:rsidR="00BB6F1F" w:rsidRDefault="00BB6F1F" w:rsidP="00AC68FF">
      <w:pPr>
        <w:keepLines w:val="0"/>
      </w:pPr>
      <w:r>
        <w:lastRenderedPageBreak/>
        <w:t>Other economic flows contributed a surplus of $5.8 billion towards the State’s net result. This mainly comprised:</w:t>
      </w:r>
    </w:p>
    <w:p w:rsidR="00BB6F1F" w:rsidRPr="0000362C" w:rsidRDefault="00BB6F1F" w:rsidP="00AC68FF">
      <w:pPr>
        <w:pStyle w:val="ListBullet"/>
      </w:pPr>
      <w:r w:rsidRPr="0000362C">
        <w:t>increase</w:t>
      </w:r>
      <w:r>
        <w:t>d investment returns from</w:t>
      </w:r>
      <w:r w:rsidRPr="0000362C">
        <w:t xml:space="preserve"> the</w:t>
      </w:r>
      <w:r>
        <w:t xml:space="preserve"> investment portfolios of the </w:t>
      </w:r>
      <w:r w:rsidRPr="0000362C">
        <w:t>State’s insurance</w:t>
      </w:r>
      <w:r>
        <w:t xml:space="preserve"> and superannuation</w:t>
      </w:r>
      <w:r w:rsidRPr="0000362C">
        <w:t xml:space="preserve"> agencies, attributed to the favourable conditions in global financial markets; and</w:t>
      </w:r>
    </w:p>
    <w:p w:rsidR="00BB6F1F" w:rsidRPr="0000362C" w:rsidRDefault="00BB6F1F" w:rsidP="00AC68FF">
      <w:pPr>
        <w:pStyle w:val="ListBullet"/>
      </w:pPr>
      <w:r>
        <w:t xml:space="preserve">lower </w:t>
      </w:r>
      <w:r w:rsidRPr="0000362C">
        <w:t xml:space="preserve">valuation </w:t>
      </w:r>
      <w:r>
        <w:t>of</w:t>
      </w:r>
      <w:r w:rsidRPr="0000362C">
        <w:t xml:space="preserve"> the State’s insu</w:t>
      </w:r>
      <w:r>
        <w:t xml:space="preserve">rance, superannuation and debt </w:t>
      </w:r>
      <w:r w:rsidRPr="0000362C">
        <w:t>liabilities</w:t>
      </w:r>
      <w:r>
        <w:t xml:space="preserve"> </w:t>
      </w:r>
      <w:r w:rsidRPr="0000362C">
        <w:t xml:space="preserve">arising from </w:t>
      </w:r>
      <w:r>
        <w:t>increased</w:t>
      </w:r>
      <w:r w:rsidRPr="0000362C">
        <w:t xml:space="preserve"> bond rates</w:t>
      </w:r>
      <w:r>
        <w:t>.</w:t>
      </w:r>
    </w:p>
    <w:p w:rsidR="00BB6F1F" w:rsidRDefault="00BB6F1F" w:rsidP="00AC68FF">
      <w:pPr>
        <w:pStyle w:val="Heading10"/>
        <w:spacing w:before="0"/>
      </w:pPr>
      <w:r>
        <w:br w:type="column"/>
      </w:r>
      <w:r>
        <w:lastRenderedPageBreak/>
        <w:t>FINANCIAL POSITION</w:t>
      </w:r>
    </w:p>
    <w:p w:rsidR="00BB6F1F" w:rsidRDefault="00BB6F1F" w:rsidP="00AC68FF">
      <w:pPr>
        <w:keepLines w:val="0"/>
      </w:pPr>
      <w:r>
        <w:t>Table 3.2 shows the State’s net assets increased by $20 billion to $172 billion at 30 June 2017. This mainly reflects: an increase in infrastructure spending and revaluation gains increasing non</w:t>
      </w:r>
      <w:r>
        <w:noBreakHyphen/>
        <w:t>financial assets by $13 billion; an increase in financial assets of $7 billion; a $4 billion decline in superannuation liabilities; and a decline in borrowings by $5 billion offset by a $10 billion increase in other liabilities.</w:t>
      </w:r>
    </w:p>
    <w:p w:rsidR="00BB6F1F" w:rsidRDefault="00BB6F1F" w:rsidP="00AC68FF">
      <w:pPr>
        <w:keepLines w:val="0"/>
        <w:sectPr w:rsidR="00BB6F1F" w:rsidSect="00AC68FF">
          <w:type w:val="continuous"/>
          <w:pgSz w:w="11906" w:h="16838" w:code="9"/>
          <w:pgMar w:top="1134" w:right="1134" w:bottom="1134" w:left="1134" w:header="624" w:footer="567" w:gutter="0"/>
          <w:cols w:num="2" w:space="567"/>
          <w:docGrid w:linePitch="360"/>
        </w:sectPr>
      </w:pPr>
    </w:p>
    <w:p w:rsidR="00BB6F1F" w:rsidRPr="00B43541" w:rsidRDefault="00BB6F1F" w:rsidP="00AC68FF">
      <w:pPr>
        <w:pStyle w:val="TableHeading"/>
        <w:rPr>
          <w:bCs/>
          <w:lang w:val="en-US"/>
        </w:rPr>
      </w:pPr>
      <w:r>
        <w:lastRenderedPageBreak/>
        <w:t>Table 3.2:</w:t>
      </w:r>
      <w:r>
        <w:tab/>
        <w:t>Summary balance sheet – State of Victoria</w:t>
      </w:r>
      <w:r>
        <w:tab/>
        <w:t>($ billion)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102"/>
        <w:gridCol w:w="907"/>
        <w:gridCol w:w="907"/>
        <w:gridCol w:w="907"/>
        <w:gridCol w:w="907"/>
        <w:gridCol w:w="907"/>
      </w:tblGrid>
      <w:tr w:rsidR="00F078AA" w:rsidRPr="00B43541" w:rsidTr="000B3D1D">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right w:val="nil"/>
            </w:tcBorders>
            <w:shd w:val="solid" w:color="000000" w:fill="auto"/>
          </w:tcPr>
          <w:p w:rsidR="00F078AA" w:rsidRPr="00B43541" w:rsidRDefault="00F078AA" w:rsidP="00AC68FF">
            <w:pPr>
              <w:autoSpaceDE w:val="0"/>
              <w:autoSpaceDN w:val="0"/>
              <w:adjustRightInd w:val="0"/>
              <w:rPr>
                <w:rFonts w:eastAsiaTheme="minorEastAsia" w:cs="Calibri"/>
                <w:iCs/>
                <w:color w:val="FFFFFF"/>
                <w:lang w:eastAsia="en-AU"/>
              </w:rPr>
            </w:pPr>
          </w:p>
        </w:tc>
        <w:tc>
          <w:tcPr>
            <w:tcW w:w="907" w:type="dxa"/>
            <w:tcBorders>
              <w:top w:val="nil"/>
              <w:left w:val="nil"/>
              <w:right w:val="nil"/>
            </w:tcBorders>
            <w:shd w:val="solid" w:color="000000" w:fill="auto"/>
          </w:tcPr>
          <w:p w:rsidR="00F078AA" w:rsidRPr="00F078AA" w:rsidRDefault="00F078AA" w:rsidP="007C4E5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F078AA">
              <w:t>2016-17</w:t>
            </w:r>
            <w:r w:rsidR="007C4E5C">
              <w:t xml:space="preserve"> </w:t>
            </w:r>
            <w:r w:rsidRPr="00F078AA">
              <w:t>actual</w:t>
            </w:r>
          </w:p>
        </w:tc>
        <w:tc>
          <w:tcPr>
            <w:tcW w:w="907" w:type="dxa"/>
            <w:tcBorders>
              <w:top w:val="nil"/>
              <w:left w:val="nil"/>
              <w:right w:val="nil"/>
            </w:tcBorders>
            <w:shd w:val="solid" w:color="000000" w:fill="auto"/>
          </w:tcPr>
          <w:p w:rsidR="00F078AA" w:rsidRPr="00F078AA" w:rsidRDefault="00F078AA" w:rsidP="007C4E5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F078AA">
              <w:t>Revised</w:t>
            </w:r>
            <w:r w:rsidR="007C4E5C">
              <w:t xml:space="preserve"> </w:t>
            </w:r>
            <w:r w:rsidRPr="00F078AA">
              <w:t>variance</w:t>
            </w:r>
          </w:p>
        </w:tc>
        <w:tc>
          <w:tcPr>
            <w:tcW w:w="907" w:type="dxa"/>
            <w:tcBorders>
              <w:top w:val="nil"/>
              <w:left w:val="nil"/>
              <w:right w:val="nil"/>
            </w:tcBorders>
            <w:shd w:val="solid" w:color="000000" w:fill="auto"/>
          </w:tcPr>
          <w:p w:rsidR="00F078AA" w:rsidRPr="00F078AA" w:rsidRDefault="00F078AA" w:rsidP="007C4E5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F078AA">
              <w:t>2016-17</w:t>
            </w:r>
            <w:r w:rsidR="007C4E5C">
              <w:t xml:space="preserve"> </w:t>
            </w:r>
            <w:r w:rsidRPr="00F078AA">
              <w:t>revised</w:t>
            </w:r>
          </w:p>
        </w:tc>
        <w:tc>
          <w:tcPr>
            <w:tcW w:w="907" w:type="dxa"/>
            <w:tcBorders>
              <w:top w:val="nil"/>
              <w:left w:val="nil"/>
              <w:right w:val="nil"/>
            </w:tcBorders>
            <w:shd w:val="solid" w:color="000000" w:fill="auto"/>
          </w:tcPr>
          <w:p w:rsidR="00F078AA" w:rsidRPr="00F078AA" w:rsidRDefault="00F078AA" w:rsidP="007C4E5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F078AA">
              <w:t>Actual</w:t>
            </w:r>
            <w:r w:rsidR="007C4E5C">
              <w:t xml:space="preserve"> </w:t>
            </w:r>
            <w:r w:rsidRPr="00F078AA">
              <w:t>movement</w:t>
            </w:r>
          </w:p>
        </w:tc>
        <w:tc>
          <w:tcPr>
            <w:tcW w:w="907" w:type="dxa"/>
            <w:tcBorders>
              <w:top w:val="nil"/>
              <w:left w:val="nil"/>
              <w:right w:val="nil"/>
            </w:tcBorders>
            <w:shd w:val="solid" w:color="000000" w:fill="auto"/>
          </w:tcPr>
          <w:p w:rsidR="00F078AA" w:rsidRPr="00F078AA" w:rsidRDefault="00F078AA" w:rsidP="007C4E5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F078AA">
              <w:t>2015-16</w:t>
            </w:r>
            <w:r w:rsidR="007C4E5C">
              <w:t xml:space="preserve"> </w:t>
            </w:r>
            <w:r w:rsidRPr="00F078AA">
              <w:t>actual</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B43541" w:rsidRDefault="00BB6F1F" w:rsidP="00AC68FF">
            <w:pPr>
              <w:keepLines w:val="0"/>
              <w:autoSpaceDE w:val="0"/>
              <w:autoSpaceDN w:val="0"/>
              <w:adjustRightInd w:val="0"/>
              <w:rPr>
                <w:rFonts w:eastAsiaTheme="minorEastAsia" w:cs="Calibri"/>
                <w:b/>
                <w:bCs/>
                <w:color w:val="000000"/>
                <w:szCs w:val="16"/>
                <w:lang w:eastAsia="en-AU"/>
              </w:rPr>
            </w:pPr>
            <w:r w:rsidRPr="00B43541">
              <w:rPr>
                <w:rFonts w:eastAsiaTheme="minorEastAsia" w:cs="Calibri"/>
                <w:b/>
                <w:bCs/>
                <w:color w:val="000000"/>
                <w:szCs w:val="16"/>
                <w:lang w:eastAsia="en-AU"/>
              </w:rPr>
              <w:t>Assets</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43541">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43541">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43541">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43541">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43541">
              <w:rPr>
                <w:rFonts w:eastAsiaTheme="minorEastAsia" w:cs="Calibri"/>
                <w:b/>
                <w:bCs/>
                <w:color w:val="000000"/>
                <w:lang w:eastAsia="en-AU"/>
              </w:rPr>
              <w:t xml:space="preserve"> </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B43541" w:rsidRDefault="00BB6F1F" w:rsidP="00AC68FF">
            <w:pPr>
              <w:keepLines w:val="0"/>
              <w:autoSpaceDE w:val="0"/>
              <w:autoSpaceDN w:val="0"/>
              <w:adjustRightInd w:val="0"/>
              <w:rPr>
                <w:rFonts w:eastAsiaTheme="minorEastAsia" w:cs="Calibri"/>
                <w:color w:val="000000"/>
                <w:szCs w:val="16"/>
                <w:lang w:eastAsia="en-AU"/>
              </w:rPr>
            </w:pPr>
            <w:r w:rsidRPr="00B43541">
              <w:rPr>
                <w:rFonts w:eastAsiaTheme="minorEastAsia" w:cs="Calibri"/>
                <w:color w:val="000000"/>
                <w:szCs w:val="16"/>
                <w:lang w:eastAsia="en-AU"/>
              </w:rPr>
              <w:t>Financial assets</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59</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2</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57</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7</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52</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000000"/>
              <w:right w:val="nil"/>
            </w:tcBorders>
          </w:tcPr>
          <w:p w:rsidR="00BB6F1F" w:rsidRPr="00B43541" w:rsidRDefault="00BB6F1F" w:rsidP="00AC68FF">
            <w:pPr>
              <w:keepLines w:val="0"/>
              <w:autoSpaceDE w:val="0"/>
              <w:autoSpaceDN w:val="0"/>
              <w:adjustRightInd w:val="0"/>
              <w:rPr>
                <w:rFonts w:eastAsiaTheme="minorEastAsia" w:cs="Calibri"/>
                <w:color w:val="000000"/>
                <w:szCs w:val="16"/>
                <w:vertAlign w:val="superscript"/>
                <w:lang w:eastAsia="en-AU"/>
              </w:rPr>
            </w:pPr>
            <w:r w:rsidRPr="00B43541">
              <w:rPr>
                <w:rFonts w:eastAsiaTheme="minorEastAsia" w:cs="Calibri"/>
                <w:color w:val="000000"/>
                <w:szCs w:val="16"/>
                <w:lang w:eastAsia="en-AU"/>
              </w:rPr>
              <w:t xml:space="preserve">Non-financial assets </w:t>
            </w:r>
            <w:r w:rsidRPr="00B43541">
              <w:rPr>
                <w:rFonts w:eastAsiaTheme="minorEastAsia" w:cs="Calibri"/>
                <w:color w:val="000000"/>
                <w:szCs w:val="16"/>
                <w:vertAlign w:val="superscript"/>
                <w:lang w:eastAsia="en-AU"/>
              </w:rPr>
              <w:t>(a)</w:t>
            </w:r>
          </w:p>
        </w:tc>
        <w:tc>
          <w:tcPr>
            <w:tcW w:w="907" w:type="dxa"/>
            <w:tcBorders>
              <w:top w:val="nil"/>
              <w:left w:val="nil"/>
              <w:bottom w:val="single" w:sz="6" w:space="0" w:color="000000"/>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243</w:t>
            </w:r>
          </w:p>
        </w:tc>
        <w:tc>
          <w:tcPr>
            <w:tcW w:w="907" w:type="dxa"/>
            <w:tcBorders>
              <w:top w:val="nil"/>
              <w:left w:val="nil"/>
              <w:bottom w:val="single" w:sz="6" w:space="0" w:color="000000"/>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5</w:t>
            </w:r>
          </w:p>
        </w:tc>
        <w:tc>
          <w:tcPr>
            <w:tcW w:w="907" w:type="dxa"/>
            <w:tcBorders>
              <w:top w:val="nil"/>
              <w:left w:val="nil"/>
              <w:bottom w:val="single" w:sz="6" w:space="0" w:color="000000"/>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238</w:t>
            </w:r>
          </w:p>
        </w:tc>
        <w:tc>
          <w:tcPr>
            <w:tcW w:w="907" w:type="dxa"/>
            <w:tcBorders>
              <w:top w:val="nil"/>
              <w:left w:val="nil"/>
              <w:bottom w:val="single" w:sz="6" w:space="0" w:color="000000"/>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13</w:t>
            </w:r>
          </w:p>
        </w:tc>
        <w:tc>
          <w:tcPr>
            <w:tcW w:w="907" w:type="dxa"/>
            <w:tcBorders>
              <w:top w:val="nil"/>
              <w:left w:val="nil"/>
              <w:bottom w:val="single" w:sz="6" w:space="0" w:color="000000"/>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230</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B43541" w:rsidRDefault="00BB6F1F" w:rsidP="00AC68FF">
            <w:pPr>
              <w:keepLines w:val="0"/>
              <w:autoSpaceDE w:val="0"/>
              <w:autoSpaceDN w:val="0"/>
              <w:adjustRightInd w:val="0"/>
              <w:rPr>
                <w:rFonts w:eastAsiaTheme="minorEastAsia" w:cs="Calibri"/>
                <w:b/>
                <w:bCs/>
                <w:color w:val="000000"/>
                <w:szCs w:val="16"/>
                <w:vertAlign w:val="superscript"/>
                <w:lang w:eastAsia="en-AU"/>
              </w:rPr>
            </w:pPr>
            <w:r w:rsidRPr="00B43541">
              <w:rPr>
                <w:rFonts w:eastAsiaTheme="minorEastAsia" w:cs="Calibri"/>
                <w:b/>
                <w:bCs/>
                <w:color w:val="000000"/>
                <w:szCs w:val="16"/>
                <w:lang w:eastAsia="en-AU"/>
              </w:rPr>
              <w:t xml:space="preserve">Total assets </w:t>
            </w:r>
            <w:r w:rsidRPr="00B43541">
              <w:rPr>
                <w:rFonts w:eastAsiaTheme="minorEastAsia" w:cs="Calibri"/>
                <w:b/>
                <w:bCs/>
                <w:color w:val="000000"/>
                <w:szCs w:val="16"/>
                <w:vertAlign w:val="superscript"/>
                <w:lang w:eastAsia="en-AU"/>
              </w:rPr>
              <w:t>(a)</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302</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7</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295</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20</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282</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B43541" w:rsidRDefault="00BB6F1F" w:rsidP="00AC68FF">
            <w:pPr>
              <w:keepLines w:val="0"/>
              <w:autoSpaceDE w:val="0"/>
              <w:autoSpaceDN w:val="0"/>
              <w:adjustRightInd w:val="0"/>
              <w:rPr>
                <w:rFonts w:eastAsiaTheme="minorEastAsia" w:cs="Calibri"/>
                <w:b/>
                <w:bCs/>
                <w:color w:val="000000"/>
                <w:szCs w:val="16"/>
                <w:lang w:eastAsia="en-AU"/>
              </w:rPr>
            </w:pPr>
            <w:r w:rsidRPr="00B43541">
              <w:rPr>
                <w:rFonts w:eastAsiaTheme="minorEastAsia" w:cs="Calibri"/>
                <w:b/>
                <w:bCs/>
                <w:color w:val="000000"/>
                <w:szCs w:val="16"/>
                <w:lang w:eastAsia="en-AU"/>
              </w:rPr>
              <w:t>Liabilities</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43541">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43541">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43541">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43541">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43541">
              <w:rPr>
                <w:rFonts w:eastAsiaTheme="minorEastAsia" w:cs="Calibri"/>
                <w:b/>
                <w:bCs/>
                <w:color w:val="000000"/>
                <w:lang w:eastAsia="en-AU"/>
              </w:rPr>
              <w:t xml:space="preserve"> </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B43541" w:rsidRDefault="00BB6F1F" w:rsidP="00AC68FF">
            <w:pPr>
              <w:keepLines w:val="0"/>
              <w:autoSpaceDE w:val="0"/>
              <w:autoSpaceDN w:val="0"/>
              <w:adjustRightInd w:val="0"/>
              <w:rPr>
                <w:rFonts w:eastAsiaTheme="minorEastAsia" w:cs="Calibri"/>
                <w:color w:val="000000"/>
                <w:szCs w:val="16"/>
                <w:lang w:eastAsia="en-AU"/>
              </w:rPr>
            </w:pPr>
            <w:r w:rsidRPr="00B43541">
              <w:rPr>
                <w:rFonts w:eastAsiaTheme="minorEastAsia" w:cs="Calibri"/>
                <w:color w:val="000000"/>
                <w:szCs w:val="16"/>
                <w:lang w:eastAsia="en-AU"/>
              </w:rPr>
              <w:t>Superannuation</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25</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25</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(4)</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29</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B43541" w:rsidRDefault="00BB6F1F" w:rsidP="00AC68FF">
            <w:pPr>
              <w:keepLines w:val="0"/>
              <w:autoSpaceDE w:val="0"/>
              <w:autoSpaceDN w:val="0"/>
              <w:adjustRightInd w:val="0"/>
              <w:rPr>
                <w:rFonts w:eastAsiaTheme="minorEastAsia" w:cs="Calibri"/>
                <w:color w:val="000000"/>
                <w:szCs w:val="16"/>
                <w:lang w:eastAsia="en-AU"/>
              </w:rPr>
            </w:pPr>
            <w:r w:rsidRPr="00B43541">
              <w:rPr>
                <w:rFonts w:eastAsiaTheme="minorEastAsia" w:cs="Calibri"/>
                <w:color w:val="000000"/>
                <w:szCs w:val="16"/>
                <w:lang w:eastAsia="en-AU"/>
              </w:rPr>
              <w:t>Borrowings</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49</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(3)</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51</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(5)</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54</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B43541" w:rsidRDefault="00BB6F1F" w:rsidP="00AC68FF">
            <w:pPr>
              <w:keepLines w:val="0"/>
              <w:autoSpaceDE w:val="0"/>
              <w:autoSpaceDN w:val="0"/>
              <w:adjustRightInd w:val="0"/>
              <w:rPr>
                <w:rFonts w:eastAsiaTheme="minorEastAsia" w:cs="Calibri"/>
                <w:color w:val="000000"/>
                <w:szCs w:val="16"/>
                <w:lang w:eastAsia="en-AU"/>
              </w:rPr>
            </w:pPr>
            <w:r w:rsidRPr="00B43541">
              <w:rPr>
                <w:rFonts w:eastAsiaTheme="minorEastAsia" w:cs="Calibri"/>
                <w:color w:val="000000"/>
                <w:szCs w:val="16"/>
                <w:lang w:eastAsia="en-AU"/>
              </w:rPr>
              <w:t>Other liabilities</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56</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3</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53</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10</w:t>
            </w:r>
          </w:p>
        </w:tc>
        <w:tc>
          <w:tcPr>
            <w:tcW w:w="907" w:type="dxa"/>
            <w:tcBorders>
              <w:top w:val="nil"/>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46</w:t>
            </w:r>
          </w:p>
        </w:tc>
      </w:tr>
      <w:tr w:rsidR="00BB6F1F" w:rsidRPr="00B43541"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rPr>
                <w:rFonts w:eastAsiaTheme="minorEastAsia" w:cs="Calibri"/>
                <w:b/>
                <w:bCs/>
                <w:color w:val="000000"/>
                <w:szCs w:val="16"/>
                <w:lang w:eastAsia="en-AU"/>
              </w:rPr>
            </w:pPr>
            <w:r w:rsidRPr="00B43541">
              <w:rPr>
                <w:rFonts w:eastAsiaTheme="minorEastAsia" w:cs="Calibri"/>
                <w:b/>
                <w:bCs/>
                <w:color w:val="000000"/>
                <w:szCs w:val="16"/>
                <w:lang w:eastAsia="en-AU"/>
              </w:rPr>
              <w:t>Total liabilities</w:t>
            </w:r>
          </w:p>
        </w:tc>
        <w:tc>
          <w:tcPr>
            <w:tcW w:w="907"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130</w:t>
            </w:r>
          </w:p>
        </w:tc>
        <w:tc>
          <w:tcPr>
            <w:tcW w:w="907"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(1)</w:t>
            </w:r>
          </w:p>
        </w:tc>
        <w:tc>
          <w:tcPr>
            <w:tcW w:w="907"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130</w:t>
            </w:r>
          </w:p>
        </w:tc>
        <w:tc>
          <w:tcPr>
            <w:tcW w:w="907"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w:t>
            </w:r>
          </w:p>
        </w:tc>
        <w:tc>
          <w:tcPr>
            <w:tcW w:w="907" w:type="dxa"/>
            <w:tcBorders>
              <w:top w:val="single" w:sz="6" w:space="0" w:color="000000"/>
              <w:left w:val="nil"/>
              <w:bottom w:val="nil"/>
              <w:right w:val="nil"/>
            </w:tcBorders>
          </w:tcPr>
          <w:p w:rsidR="00BB6F1F" w:rsidRPr="00B43541"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130</w:t>
            </w:r>
          </w:p>
        </w:tc>
      </w:tr>
      <w:tr w:rsidR="00BB6F1F" w:rsidRPr="00B43541"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bottom w:val="single" w:sz="12" w:space="0" w:color="000000"/>
            </w:tcBorders>
          </w:tcPr>
          <w:p w:rsidR="00BB6F1F" w:rsidRPr="00B43541" w:rsidRDefault="00BB6F1F" w:rsidP="00AC68FF">
            <w:pPr>
              <w:keepLines w:val="0"/>
              <w:autoSpaceDE w:val="0"/>
              <w:autoSpaceDN w:val="0"/>
              <w:adjustRightInd w:val="0"/>
              <w:rPr>
                <w:rFonts w:eastAsiaTheme="minorEastAsia" w:cs="Calibri"/>
                <w:bCs/>
                <w:color w:val="000000"/>
                <w:szCs w:val="16"/>
                <w:vertAlign w:val="superscript"/>
                <w:lang w:eastAsia="en-AU"/>
              </w:rPr>
            </w:pPr>
            <w:r w:rsidRPr="00B43541">
              <w:rPr>
                <w:rFonts w:eastAsiaTheme="minorEastAsia" w:cs="Calibri"/>
                <w:bCs/>
                <w:color w:val="000000"/>
                <w:szCs w:val="16"/>
                <w:lang w:eastAsia="en-AU"/>
              </w:rPr>
              <w:t xml:space="preserve">Net assets </w:t>
            </w:r>
            <w:r w:rsidRPr="00B43541">
              <w:rPr>
                <w:rFonts w:eastAsiaTheme="minorEastAsia" w:cs="Calibri"/>
                <w:bCs/>
                <w:color w:val="000000"/>
                <w:szCs w:val="16"/>
                <w:vertAlign w:val="superscript"/>
                <w:lang w:eastAsia="en-AU"/>
              </w:rPr>
              <w:t>(a)</w:t>
            </w:r>
          </w:p>
        </w:tc>
        <w:tc>
          <w:tcPr>
            <w:tcW w:w="907" w:type="dxa"/>
            <w:tcBorders>
              <w:top w:val="single" w:sz="6" w:space="0" w:color="000000"/>
              <w:bottom w:val="single" w:sz="12" w:space="0" w:color="000000"/>
            </w:tcBorders>
          </w:tcPr>
          <w:p w:rsidR="00BB6F1F" w:rsidRPr="00B43541"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Pr>
                <w:rFonts w:eastAsiaTheme="minorEastAsia" w:cs="Calibri"/>
                <w:bCs/>
                <w:color w:val="000000"/>
                <w:szCs w:val="18"/>
                <w:lang w:eastAsia="en-AU"/>
              </w:rPr>
              <w:t>172</w:t>
            </w:r>
          </w:p>
        </w:tc>
        <w:tc>
          <w:tcPr>
            <w:tcW w:w="907" w:type="dxa"/>
            <w:tcBorders>
              <w:top w:val="single" w:sz="6" w:space="0" w:color="000000"/>
              <w:bottom w:val="single" w:sz="12" w:space="0" w:color="000000"/>
            </w:tcBorders>
          </w:tcPr>
          <w:p w:rsidR="00BB6F1F" w:rsidRPr="00B43541"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Pr>
                <w:rFonts w:eastAsiaTheme="minorEastAsia" w:cs="Calibri"/>
                <w:bCs/>
                <w:color w:val="000000"/>
                <w:szCs w:val="18"/>
                <w:lang w:eastAsia="en-AU"/>
              </w:rPr>
              <w:t>8</w:t>
            </w:r>
          </w:p>
        </w:tc>
        <w:tc>
          <w:tcPr>
            <w:tcW w:w="907" w:type="dxa"/>
            <w:tcBorders>
              <w:top w:val="single" w:sz="6" w:space="0" w:color="000000"/>
              <w:bottom w:val="single" w:sz="12" w:space="0" w:color="000000"/>
            </w:tcBorders>
          </w:tcPr>
          <w:p w:rsidR="00BB6F1F" w:rsidRPr="00B43541"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Pr>
                <w:rFonts w:eastAsiaTheme="minorEastAsia" w:cs="Calibri"/>
                <w:bCs/>
                <w:color w:val="000000"/>
                <w:szCs w:val="18"/>
                <w:lang w:eastAsia="en-AU"/>
              </w:rPr>
              <w:t>165</w:t>
            </w:r>
          </w:p>
        </w:tc>
        <w:tc>
          <w:tcPr>
            <w:tcW w:w="907" w:type="dxa"/>
            <w:tcBorders>
              <w:top w:val="single" w:sz="6" w:space="0" w:color="000000"/>
              <w:bottom w:val="single" w:sz="12" w:space="0" w:color="000000"/>
            </w:tcBorders>
          </w:tcPr>
          <w:p w:rsidR="00BB6F1F" w:rsidRPr="00B43541"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Pr>
                <w:rFonts w:eastAsiaTheme="minorEastAsia" w:cs="Calibri"/>
                <w:bCs/>
                <w:color w:val="000000"/>
                <w:szCs w:val="18"/>
                <w:lang w:eastAsia="en-AU"/>
              </w:rPr>
              <w:t>20</w:t>
            </w:r>
          </w:p>
        </w:tc>
        <w:tc>
          <w:tcPr>
            <w:tcW w:w="907" w:type="dxa"/>
            <w:tcBorders>
              <w:top w:val="single" w:sz="6" w:space="0" w:color="000000"/>
              <w:bottom w:val="single" w:sz="12" w:space="0" w:color="000000"/>
            </w:tcBorders>
          </w:tcPr>
          <w:p w:rsidR="00BB6F1F" w:rsidRPr="00B43541"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Pr>
                <w:rFonts w:eastAsiaTheme="minorEastAsia" w:cs="Calibri"/>
                <w:bCs/>
                <w:color w:val="000000"/>
                <w:szCs w:val="18"/>
                <w:lang w:eastAsia="en-AU"/>
              </w:rPr>
              <w:t>152</w:t>
            </w:r>
          </w:p>
        </w:tc>
      </w:tr>
    </w:tbl>
    <w:p w:rsidR="00BB6F1F" w:rsidRDefault="00BB6F1F" w:rsidP="00AC68FF">
      <w:pPr>
        <w:pStyle w:val="Source"/>
      </w:pPr>
      <w:r>
        <w:t>Source: Department of Treasury and Finance</w:t>
      </w:r>
    </w:p>
    <w:p w:rsidR="00BB6F1F" w:rsidRPr="00EA3D6D" w:rsidRDefault="00BB6F1F" w:rsidP="00AC68FF">
      <w:pPr>
        <w:pStyle w:val="Note"/>
      </w:pPr>
      <w:r>
        <w:t xml:space="preserve">Note: </w:t>
      </w:r>
    </w:p>
    <w:p w:rsidR="00BB6F1F" w:rsidRDefault="00BB6F1F" w:rsidP="00AC68FF">
      <w:pPr>
        <w:pStyle w:val="Note"/>
      </w:pPr>
      <w:r>
        <w:t>(a)</w:t>
      </w:r>
      <w:r>
        <w:tab/>
        <w:t>Certain June 2016 comparative figures have been restated.</w:t>
      </w:r>
    </w:p>
    <w:p w:rsidR="00BB6F1F" w:rsidRDefault="00BB6F1F" w:rsidP="00AC68FF">
      <w:pPr>
        <w:pStyle w:val="TableHeading"/>
        <w:rPr>
          <w:vertAlign w:val="superscript"/>
        </w:rPr>
      </w:pPr>
      <w:r>
        <w:t>Chart 3.3:</w:t>
      </w:r>
      <w:r>
        <w:tab/>
        <w:t xml:space="preserve">Net assets by sector as at 30 June </w:t>
      </w:r>
      <w:r w:rsidRPr="00FA7CC3">
        <w:rPr>
          <w:vertAlign w:val="superscript"/>
        </w:rPr>
        <w:t>(a)</w:t>
      </w:r>
    </w:p>
    <w:p w:rsidR="00BB6F1F" w:rsidRPr="00FA7CC3" w:rsidRDefault="00E73501" w:rsidP="00AC68FF">
      <w:pPr>
        <w:jc w:val="center"/>
      </w:pPr>
      <w:r>
        <w:pict>
          <v:shape id="_x0000_i1027" type="#_x0000_t75" style="width:433.5pt;height:285pt">
            <v:imagedata r:id="rId31" o:title=""/>
          </v:shape>
        </w:pict>
      </w:r>
    </w:p>
    <w:p w:rsidR="00BB6F1F" w:rsidRDefault="00BB6F1F" w:rsidP="00AC68FF">
      <w:pPr>
        <w:pStyle w:val="Source"/>
      </w:pPr>
      <w:r>
        <w:t>Source: Department of Treasury and Finance</w:t>
      </w:r>
    </w:p>
    <w:p w:rsidR="00BB6F1F" w:rsidRDefault="00BB6F1F" w:rsidP="00AC68FF">
      <w:pPr>
        <w:pStyle w:val="Note"/>
      </w:pPr>
      <w:r>
        <w:t>Note:</w:t>
      </w:r>
    </w:p>
    <w:p w:rsidR="00BB6F1F" w:rsidRDefault="00BB6F1F" w:rsidP="00AC68FF">
      <w:pPr>
        <w:pStyle w:val="Note"/>
      </w:pPr>
      <w:r>
        <w:t>(a)</w:t>
      </w:r>
      <w:r>
        <w:tab/>
        <w:t>General government net assets exclude investments in other sector entities and the State of Victoria will not equal the sum of the general government, PNF</w:t>
      </w:r>
      <w:r w:rsidR="00B8418E">
        <w:t>C and PFC sectors due to inter-</w:t>
      </w:r>
      <w:r>
        <w:t xml:space="preserve">sector eliminations. </w:t>
      </w:r>
    </w:p>
    <w:p w:rsidR="00BB6F1F" w:rsidRDefault="00BB6F1F" w:rsidP="00AC68FF">
      <w:pPr>
        <w:sectPr w:rsidR="00BB6F1F" w:rsidSect="00AC68FF">
          <w:type w:val="continuous"/>
          <w:pgSz w:w="11906" w:h="16838" w:code="9"/>
          <w:pgMar w:top="1134" w:right="1134" w:bottom="1134" w:left="1134" w:header="624" w:footer="567" w:gutter="0"/>
          <w:cols w:sep="1" w:space="567"/>
          <w:docGrid w:linePitch="360"/>
        </w:sectPr>
      </w:pPr>
    </w:p>
    <w:p w:rsidR="00BB6F1F" w:rsidRDefault="00BB6F1F" w:rsidP="00AC68FF">
      <w:r>
        <w:lastRenderedPageBreak/>
        <w:t xml:space="preserve">Non-financial </w:t>
      </w:r>
      <w:r w:rsidRPr="005A3DE8">
        <w:t>assets</w:t>
      </w:r>
      <w:r>
        <w:t xml:space="preserve"> increased by $13 billion during 2016</w:t>
      </w:r>
      <w:r>
        <w:noBreakHyphen/>
        <w:t>17. This increase was driven by the increase in general government sector non-financial assets, a revaluation of Director of Housing non-financial assets, an increase in non-financial assets of water corporations due to their capital works program and an increase in non-financial assets of Vic Track reflecting the investment in rail infrastructure.</w:t>
      </w:r>
    </w:p>
    <w:p w:rsidR="00BB6F1F" w:rsidRDefault="00BB6F1F" w:rsidP="00AC68FF">
      <w:pPr>
        <w:spacing w:before="40"/>
      </w:pPr>
      <w:r>
        <w:t>Chart 3.3 shows the contribution to the change in net assets by sector during 2016-17, which was largely driven by the general government sector and the PNFC sector.</w:t>
      </w:r>
    </w:p>
    <w:p w:rsidR="00BB6F1F" w:rsidRDefault="00BB6F1F" w:rsidP="00AC68FF">
      <w:r>
        <w:t xml:space="preserve">The net asset position of the PNFC sector decreased mainly due to an increase in payables relating to unearned income associated with the Port of Melbourne lease transaction. </w:t>
      </w:r>
    </w:p>
    <w:p w:rsidR="00BB6F1F" w:rsidRDefault="00BB6F1F" w:rsidP="00AC68FF">
      <w:r w:rsidRPr="00E40BCF">
        <w:t xml:space="preserve">The net asset position of the PFC sector improved by $4 billion to $213 million at 30 June 2017. This </w:t>
      </w:r>
      <w:r>
        <w:t>was</w:t>
      </w:r>
      <w:r w:rsidRPr="00E40BCF">
        <w:t xml:space="preserve"> primarily due to the impact of mark-to-market gain</w:t>
      </w:r>
      <w:r>
        <w:t>s</w:t>
      </w:r>
      <w:r w:rsidRPr="00E40BCF">
        <w:t xml:space="preserve"> on TCV borrowings </w:t>
      </w:r>
      <w:r>
        <w:t xml:space="preserve">as a result of </w:t>
      </w:r>
      <w:r w:rsidRPr="00E40BCF">
        <w:t xml:space="preserve">rate movements decreasing the overall value of the borrowings balance compared to </w:t>
      </w:r>
      <w:r>
        <w:t xml:space="preserve">the </w:t>
      </w:r>
      <w:r w:rsidRPr="00E40BCF">
        <w:t>prior year</w:t>
      </w:r>
      <w:r>
        <w:t>, increased investment values driven by strong investment returns</w:t>
      </w:r>
      <w:r w:rsidRPr="00E40BCF">
        <w:t xml:space="preserve"> and </w:t>
      </w:r>
      <w:r>
        <w:t xml:space="preserve">the </w:t>
      </w:r>
      <w:r w:rsidRPr="00E40BCF">
        <w:t>retirement of debt</w:t>
      </w:r>
      <w:r>
        <w:t xml:space="preserve"> from the Port of Melbourne lease transaction proceeds</w:t>
      </w:r>
      <w:r w:rsidRPr="00E40BCF">
        <w:t>.</w:t>
      </w:r>
    </w:p>
    <w:p w:rsidR="00BB6F1F" w:rsidRDefault="00BB6F1F" w:rsidP="00AC68FF">
      <w:r w:rsidRPr="00E40BCF">
        <w:t xml:space="preserve">TCV’s assets are </w:t>
      </w:r>
      <w:r>
        <w:t xml:space="preserve">mostly </w:t>
      </w:r>
      <w:r w:rsidRPr="00E40BCF">
        <w:t>fixed interest rate loans to Government clients</w:t>
      </w:r>
      <w:r>
        <w:t>,</w:t>
      </w:r>
      <w:r w:rsidRPr="00E40BCF">
        <w:t xml:space="preserve"> which are measured at book value rather than market value, whereas its liabilities are reported at market value. This creates a valuation difference between TCV’s assets and liabilities when reported in the PFC sector. This difference is eliminated when TCV’s loans to Government clients are consolidat</w:t>
      </w:r>
      <w:r>
        <w:t>ed</w:t>
      </w:r>
      <w:r w:rsidRPr="00E40BCF">
        <w:t xml:space="preserve"> </w:t>
      </w:r>
      <w:r>
        <w:t>in</w:t>
      </w:r>
      <w:r w:rsidRPr="00E40BCF">
        <w:t xml:space="preserve"> the whole of State accounts. </w:t>
      </w:r>
      <w:r>
        <w:t>Note that i</w:t>
      </w:r>
      <w:r w:rsidRPr="00E40BCF">
        <w:t xml:space="preserve">n TCV’s </w:t>
      </w:r>
      <w:r>
        <w:t xml:space="preserve">own </w:t>
      </w:r>
      <w:r w:rsidRPr="00E40BCF">
        <w:t>accounts</w:t>
      </w:r>
      <w:r>
        <w:t>,</w:t>
      </w:r>
      <w:r w:rsidRPr="00E40BCF">
        <w:t xml:space="preserve"> both assets and liabilities are reported at market value.</w:t>
      </w:r>
    </w:p>
    <w:p w:rsidR="00BB6F1F" w:rsidRDefault="00BB6F1F" w:rsidP="00AC68FF">
      <w:pPr>
        <w:pStyle w:val="Heading10"/>
      </w:pPr>
      <w:r>
        <w:t>CASH FLOWS</w:t>
      </w:r>
    </w:p>
    <w:p w:rsidR="00BB6F1F" w:rsidRDefault="00BB6F1F" w:rsidP="00AC68FF">
      <w:r>
        <w:t>After excluding non-cash items and the impact of the Port of Melbourne lease transaction, the change in operating receipts and payments for the State are broadly in line with the same factors that underpinned the income and expense movements discussed earlier in this chapter.</w:t>
      </w:r>
    </w:p>
    <w:p w:rsidR="00BB6F1F" w:rsidRDefault="00BB6F1F" w:rsidP="00477551">
      <w:pPr>
        <w:pStyle w:val="Heading20"/>
        <w:spacing w:before="120"/>
      </w:pPr>
      <w:r>
        <w:br w:type="column"/>
      </w:r>
      <w:r>
        <w:lastRenderedPageBreak/>
        <w:t>Infrastructure investment</w:t>
      </w:r>
    </w:p>
    <w:p w:rsidR="00BB6F1F" w:rsidRDefault="00BB6F1F" w:rsidP="00AC68FF">
      <w:r w:rsidRPr="0000362C">
        <w:t xml:space="preserve">Net cash flows from </w:t>
      </w:r>
      <w:r>
        <w:t xml:space="preserve">investments in non-financial assets comprised </w:t>
      </w:r>
      <w:r w:rsidRPr="0000362C">
        <w:t>$</w:t>
      </w:r>
      <w:r>
        <w:t xml:space="preserve">7 billion invested by the general government sector (discussed in Chapter 2) and $1.6 billion in the PNFC sector, particularly in the water and transport sectors. </w:t>
      </w:r>
    </w:p>
    <w:p w:rsidR="00BB6F1F" w:rsidRDefault="00BB6F1F" w:rsidP="00AC68FF">
      <w:r w:rsidRPr="00D36E5C">
        <w:t xml:space="preserve">Investment in </w:t>
      </w:r>
      <w:r>
        <w:t>regional rail infrastructure included:</w:t>
      </w:r>
    </w:p>
    <w:p w:rsidR="00BB6F1F" w:rsidRDefault="00BB6F1F" w:rsidP="00AC68FF">
      <w:pPr>
        <w:pStyle w:val="ListBullet"/>
      </w:pPr>
      <w:r>
        <w:t>u</w:t>
      </w:r>
      <w:r w:rsidRPr="003C4D15">
        <w:t>pgrading regional rail service</w:t>
      </w:r>
      <w:r>
        <w:t>s on the Ballarat rail corridor; and</w:t>
      </w:r>
    </w:p>
    <w:p w:rsidR="00BB6F1F" w:rsidRDefault="00BB6F1F" w:rsidP="00AC68FF">
      <w:pPr>
        <w:pStyle w:val="ListBullet"/>
      </w:pPr>
      <w:r w:rsidRPr="003C4D15">
        <w:t xml:space="preserve">procuring additional </w:t>
      </w:r>
      <w:proofErr w:type="spellStart"/>
      <w:r w:rsidRPr="003C4D15">
        <w:t>VLocity</w:t>
      </w:r>
      <w:proofErr w:type="spellEnd"/>
      <w:r w:rsidRPr="003C4D15">
        <w:t xml:space="preserve"> train carriages to meet the demand of the regional network. </w:t>
      </w:r>
    </w:p>
    <w:p w:rsidR="00BB6F1F" w:rsidRDefault="00BB6F1F" w:rsidP="00AC68FF">
      <w:r w:rsidRPr="003C4D15">
        <w:t>Investment in metropolit</w:t>
      </w:r>
      <w:r>
        <w:t>an rail infrastructure included:</w:t>
      </w:r>
    </w:p>
    <w:p w:rsidR="00BB6F1F" w:rsidRDefault="00BB6F1F" w:rsidP="00AC68FF">
      <w:pPr>
        <w:pStyle w:val="ListBullet"/>
      </w:pPr>
      <w:r w:rsidRPr="003C4D15">
        <w:t>new trains and trams</w:t>
      </w:r>
      <w:r>
        <w:t>;</w:t>
      </w:r>
    </w:p>
    <w:p w:rsidR="00BB6F1F" w:rsidRDefault="00BB6F1F" w:rsidP="00AC68FF">
      <w:pPr>
        <w:pStyle w:val="ListBullet"/>
      </w:pPr>
      <w:r w:rsidRPr="003C4D15">
        <w:t xml:space="preserve">extending rail </w:t>
      </w:r>
      <w:r>
        <w:t>services to Mernda in Melbourne’</w:t>
      </w:r>
      <w:r w:rsidRPr="003C4D15">
        <w:t>s northern suburbs</w:t>
      </w:r>
      <w:r>
        <w:t>;</w:t>
      </w:r>
    </w:p>
    <w:p w:rsidR="00BB6F1F" w:rsidRDefault="00BB6F1F" w:rsidP="00AC68FF">
      <w:pPr>
        <w:pStyle w:val="ListBullet"/>
      </w:pPr>
      <w:r w:rsidRPr="003C4D15">
        <w:t>upgrading the Hurstbridge rail corridor</w:t>
      </w:r>
      <w:r>
        <w:t>;</w:t>
      </w:r>
      <w:r w:rsidRPr="003C4D15">
        <w:t xml:space="preserve"> and </w:t>
      </w:r>
    </w:p>
    <w:p w:rsidR="00BB6F1F" w:rsidRDefault="00BB6F1F" w:rsidP="00AC68FF">
      <w:pPr>
        <w:pStyle w:val="ListBullet"/>
      </w:pPr>
      <w:r w:rsidRPr="003C4D15">
        <w:t>redeveloping Flinders Street Station and the Frankston Station Precinct.</w:t>
      </w:r>
      <w:r>
        <w:t xml:space="preserve"> </w:t>
      </w:r>
    </w:p>
    <w:p w:rsidR="00BB6F1F" w:rsidRDefault="00BB6F1F" w:rsidP="00AC68FF">
      <w:r w:rsidRPr="000B1711">
        <w:t xml:space="preserve">Investment in </w:t>
      </w:r>
      <w:r>
        <w:t xml:space="preserve">water-related infrastructure </w:t>
      </w:r>
      <w:r w:rsidRPr="000B1711">
        <w:t>included:</w:t>
      </w:r>
    </w:p>
    <w:p w:rsidR="00BB6F1F" w:rsidRDefault="00BB6F1F" w:rsidP="00AC68FF">
      <w:pPr>
        <w:pStyle w:val="ListBullet"/>
        <w:numPr>
          <w:ilvl w:val="0"/>
          <w:numId w:val="20"/>
        </w:numPr>
        <w:ind w:left="284" w:hanging="284"/>
      </w:pPr>
      <w:r>
        <w:t>u</w:t>
      </w:r>
      <w:r w:rsidRPr="00DE7C0F">
        <w:t>pgrading and renewal of water and sewer assets by the Melbourne metropolitan water corporations, including an increase in the capacity of the Western Treatment Plant (Melbourne Water Corporation), the Amaroo Main Sewer and Craigieburn Sewer Transfer Hub (Yarra Valley Water), the Peninsula Eco Backlog Sewer Connections (South East Water), and the West Werribee Dual Water S</w:t>
      </w:r>
      <w:r>
        <w:t>upply Project (City West Water); and</w:t>
      </w:r>
    </w:p>
    <w:p w:rsidR="00BB6F1F" w:rsidRDefault="00BB6F1F" w:rsidP="00AC68FF">
      <w:pPr>
        <w:pStyle w:val="ListParagraph"/>
        <w:numPr>
          <w:ilvl w:val="0"/>
          <w:numId w:val="20"/>
        </w:numPr>
        <w:ind w:left="284" w:hanging="284"/>
      </w:pPr>
      <w:r>
        <w:t>u</w:t>
      </w:r>
      <w:r w:rsidRPr="003C4D15">
        <w:t xml:space="preserve">pgrading and renewal of water and sewer assets </w:t>
      </w:r>
      <w:r>
        <w:t xml:space="preserve">in regional Victoria </w:t>
      </w:r>
      <w:r w:rsidRPr="00DE7C0F">
        <w:t>including Goulburn-Murray Water’s Connections Project, which will connect irrigators to a modernised main system of irrigation channels, and the modernisation of various irrigation systems by Southern Rural Water</w:t>
      </w:r>
      <w:r>
        <w:t>.</w:t>
      </w:r>
    </w:p>
    <w:p w:rsidR="00BB6F1F" w:rsidRDefault="00BB6F1F">
      <w:pPr>
        <w:keepLines w:val="0"/>
        <w:rPr>
          <w:rFonts w:asciiTheme="majorHAnsi" w:eastAsiaTheme="majorEastAsia" w:hAnsiTheme="majorHAnsi" w:cstheme="majorBidi"/>
          <w:b/>
          <w:bCs/>
          <w:caps/>
          <w:spacing w:val="-2"/>
          <w:sz w:val="26"/>
          <w:szCs w:val="28"/>
        </w:rPr>
      </w:pPr>
      <w:r>
        <w:br w:type="page"/>
      </w:r>
    </w:p>
    <w:p w:rsidR="00BB6F1F" w:rsidRDefault="00BB6F1F" w:rsidP="00AC68FF">
      <w:pPr>
        <w:pStyle w:val="Heading10"/>
      </w:pPr>
      <w:r>
        <w:lastRenderedPageBreak/>
        <w:t>FINANCIAL SUSTAINABILITY (NON</w:t>
      </w:r>
      <w:r>
        <w:noBreakHyphen/>
        <w:t>FINANCIAL PUBLIC SECTOR)</w:t>
      </w:r>
    </w:p>
    <w:p w:rsidR="00BB6F1F" w:rsidRDefault="00BB6F1F" w:rsidP="00AC68FF">
      <w:r>
        <w:t xml:space="preserve">The sustainability of the non-financial public sector (NFPS) is significant for the State’s credit rating. The NFPS comprises the general government sector and the PNFC sector. The credit rating agencies consider the level of net debt, net financial liabilities and the State’s capacity to service these liabilities. </w:t>
      </w:r>
    </w:p>
    <w:p w:rsidR="00974C9B" w:rsidRDefault="00974C9B" w:rsidP="00AC68FF">
      <w:r>
        <w:lastRenderedPageBreak/>
        <w:br/>
      </w:r>
      <w:r>
        <w:br/>
      </w:r>
    </w:p>
    <w:p w:rsidR="00BB6F1F" w:rsidRDefault="00BB6F1F" w:rsidP="00974C9B">
      <w:pPr>
        <w:spacing w:before="60"/>
      </w:pPr>
      <w:r>
        <w:t xml:space="preserve">Table 3.3 shows NFPS net debt of $29.8 billion as at June 2017, which is $6.7 billion lower compared to the previous year, and $3 billion lower than the revised estimate of $32.9 billion. The ratio of NFPS net debt to gross state product (GSP) has fallen to 7.6 per cent from 9.8 per cent in 2015-16. </w:t>
      </w:r>
    </w:p>
    <w:p w:rsidR="00BB6F1F" w:rsidRDefault="00BB6F1F">
      <w:pPr>
        <w:keepLines w:val="0"/>
        <w:sectPr w:rsidR="00BB6F1F" w:rsidSect="00AC68FF">
          <w:type w:val="continuous"/>
          <w:pgSz w:w="11906" w:h="16838" w:code="9"/>
          <w:pgMar w:top="1134" w:right="1134" w:bottom="1134" w:left="1134" w:header="624" w:footer="567" w:gutter="0"/>
          <w:cols w:num="2" w:space="567"/>
          <w:docGrid w:linePitch="360"/>
        </w:sectPr>
      </w:pPr>
    </w:p>
    <w:p w:rsidR="00BB6F1F" w:rsidRPr="00C93E08" w:rsidRDefault="00BB6F1F" w:rsidP="00AC68FF">
      <w:pPr>
        <w:pStyle w:val="TableHeading"/>
        <w:rPr>
          <w:bCs/>
          <w:lang w:val="en-US"/>
        </w:rPr>
      </w:pPr>
      <w:r>
        <w:lastRenderedPageBreak/>
        <w:t>Table 3.3:</w:t>
      </w:r>
      <w:r>
        <w:tab/>
        <w:t>Non-financial public sector net debt and net financial liabilities as at 30 June</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102"/>
        <w:gridCol w:w="907"/>
        <w:gridCol w:w="907"/>
        <w:gridCol w:w="907"/>
        <w:gridCol w:w="907"/>
        <w:gridCol w:w="907"/>
      </w:tblGrid>
      <w:tr w:rsidR="00F078AA" w:rsidRPr="00C93E08" w:rsidTr="000B3D1D">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right w:val="nil"/>
            </w:tcBorders>
            <w:shd w:val="solid" w:color="000000" w:fill="auto"/>
          </w:tcPr>
          <w:p w:rsidR="00F078AA" w:rsidRPr="00C93E08" w:rsidRDefault="00F078AA" w:rsidP="00AC68FF">
            <w:pPr>
              <w:autoSpaceDE w:val="0"/>
              <w:autoSpaceDN w:val="0"/>
              <w:adjustRightInd w:val="0"/>
              <w:rPr>
                <w:rFonts w:eastAsiaTheme="minorEastAsia" w:cs="Calibri"/>
                <w:iCs/>
                <w:color w:val="FFFFFF"/>
                <w:szCs w:val="20"/>
                <w:lang w:eastAsia="en-AU"/>
              </w:rPr>
            </w:pPr>
            <w:r w:rsidRPr="00C93E08">
              <w:rPr>
                <w:rFonts w:eastAsiaTheme="minorEastAsia" w:cs="Calibri"/>
                <w:iCs/>
                <w:color w:val="FFFFFF"/>
                <w:szCs w:val="20"/>
                <w:lang w:eastAsia="en-AU"/>
              </w:rPr>
              <w:t xml:space="preserve"> </w:t>
            </w:r>
          </w:p>
        </w:tc>
        <w:tc>
          <w:tcPr>
            <w:tcW w:w="907" w:type="dxa"/>
            <w:tcBorders>
              <w:top w:val="nil"/>
              <w:left w:val="nil"/>
              <w:right w:val="nil"/>
            </w:tcBorders>
            <w:shd w:val="solid" w:color="000000" w:fill="auto"/>
          </w:tcPr>
          <w:p w:rsidR="00F078AA" w:rsidRPr="00C93E08" w:rsidRDefault="00F078AA" w:rsidP="00F078A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93E08">
              <w:rPr>
                <w:rFonts w:eastAsiaTheme="minorEastAsia" w:cs="Calibri"/>
                <w:iCs/>
                <w:color w:val="FFFFFF"/>
                <w:szCs w:val="20"/>
                <w:lang w:eastAsia="en-AU"/>
              </w:rPr>
              <w:t>2017</w:t>
            </w:r>
            <w:r>
              <w:rPr>
                <w:rFonts w:eastAsiaTheme="minorEastAsia" w:cs="Calibri"/>
                <w:iCs/>
                <w:color w:val="FFFFFF"/>
                <w:szCs w:val="20"/>
                <w:lang w:eastAsia="en-AU"/>
              </w:rPr>
              <w:br/>
            </w:r>
            <w:r w:rsidRPr="00C93E08">
              <w:rPr>
                <w:rFonts w:eastAsiaTheme="minorEastAsia" w:cs="Calibri"/>
                <w:iCs/>
                <w:color w:val="FFFFFF"/>
                <w:szCs w:val="20"/>
                <w:lang w:eastAsia="en-AU"/>
              </w:rPr>
              <w:t>actual</w:t>
            </w:r>
          </w:p>
        </w:tc>
        <w:tc>
          <w:tcPr>
            <w:tcW w:w="907" w:type="dxa"/>
            <w:tcBorders>
              <w:top w:val="nil"/>
              <w:left w:val="nil"/>
              <w:right w:val="nil"/>
            </w:tcBorders>
            <w:shd w:val="solid" w:color="000000" w:fill="auto"/>
          </w:tcPr>
          <w:p w:rsidR="00F078AA" w:rsidRPr="00C93E08" w:rsidRDefault="00F078AA" w:rsidP="00F078A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93E08">
              <w:rPr>
                <w:rFonts w:eastAsiaTheme="minorEastAsia" w:cs="Calibri"/>
                <w:iCs/>
                <w:color w:val="FFFFFF"/>
                <w:szCs w:val="20"/>
                <w:lang w:eastAsia="en-AU"/>
              </w:rPr>
              <w:t>Revised</w:t>
            </w:r>
            <w:r>
              <w:rPr>
                <w:rFonts w:eastAsiaTheme="minorEastAsia" w:cs="Calibri"/>
                <w:iCs/>
                <w:color w:val="FFFFFF"/>
                <w:szCs w:val="20"/>
                <w:lang w:eastAsia="en-AU"/>
              </w:rPr>
              <w:br/>
            </w:r>
            <w:r w:rsidRPr="00C93E08">
              <w:rPr>
                <w:rFonts w:eastAsiaTheme="minorEastAsia" w:cs="Calibri"/>
                <w:iCs/>
                <w:color w:val="FFFFFF"/>
                <w:szCs w:val="20"/>
                <w:lang w:eastAsia="en-AU"/>
              </w:rPr>
              <w:t>variance</w:t>
            </w:r>
          </w:p>
        </w:tc>
        <w:tc>
          <w:tcPr>
            <w:tcW w:w="907" w:type="dxa"/>
            <w:tcBorders>
              <w:top w:val="nil"/>
              <w:left w:val="nil"/>
              <w:right w:val="nil"/>
            </w:tcBorders>
            <w:shd w:val="solid" w:color="000000" w:fill="auto"/>
          </w:tcPr>
          <w:p w:rsidR="00F078AA" w:rsidRPr="00C93E08" w:rsidRDefault="00F078AA" w:rsidP="00F078A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93E08">
              <w:rPr>
                <w:rFonts w:eastAsiaTheme="minorEastAsia" w:cs="Calibri"/>
                <w:iCs/>
                <w:color w:val="FFFFFF"/>
                <w:szCs w:val="20"/>
                <w:lang w:eastAsia="en-AU"/>
              </w:rPr>
              <w:t>2017</w:t>
            </w:r>
            <w:r>
              <w:rPr>
                <w:rFonts w:eastAsiaTheme="minorEastAsia" w:cs="Calibri"/>
                <w:iCs/>
                <w:color w:val="FFFFFF"/>
                <w:szCs w:val="20"/>
                <w:lang w:eastAsia="en-AU"/>
              </w:rPr>
              <w:br/>
            </w:r>
            <w:r w:rsidRPr="00C93E08">
              <w:rPr>
                <w:rFonts w:eastAsiaTheme="minorEastAsia" w:cs="Calibri"/>
                <w:iCs/>
                <w:color w:val="FFFFFF"/>
                <w:szCs w:val="20"/>
                <w:lang w:eastAsia="en-AU"/>
              </w:rPr>
              <w:t>revised</w:t>
            </w:r>
          </w:p>
        </w:tc>
        <w:tc>
          <w:tcPr>
            <w:tcW w:w="907" w:type="dxa"/>
            <w:tcBorders>
              <w:top w:val="nil"/>
              <w:left w:val="nil"/>
              <w:right w:val="nil"/>
            </w:tcBorders>
            <w:shd w:val="solid" w:color="000000" w:fill="auto"/>
          </w:tcPr>
          <w:p w:rsidR="00F078AA" w:rsidRPr="00C93E08" w:rsidRDefault="00F078AA" w:rsidP="00F078A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93E08">
              <w:rPr>
                <w:rFonts w:eastAsiaTheme="minorEastAsia" w:cs="Calibri"/>
                <w:iCs/>
                <w:color w:val="FFFFFF"/>
                <w:szCs w:val="20"/>
                <w:lang w:eastAsia="en-AU"/>
              </w:rPr>
              <w:t>Actual</w:t>
            </w:r>
            <w:r>
              <w:rPr>
                <w:rFonts w:eastAsiaTheme="minorEastAsia" w:cs="Calibri"/>
                <w:iCs/>
                <w:color w:val="FFFFFF"/>
                <w:szCs w:val="20"/>
                <w:lang w:eastAsia="en-AU"/>
              </w:rPr>
              <w:br/>
            </w:r>
            <w:r w:rsidRPr="00C93E08">
              <w:rPr>
                <w:rFonts w:eastAsiaTheme="minorEastAsia" w:cs="Calibri"/>
                <w:iCs/>
                <w:color w:val="FFFFFF"/>
                <w:szCs w:val="20"/>
                <w:lang w:eastAsia="en-AU"/>
              </w:rPr>
              <w:t>movement</w:t>
            </w:r>
          </w:p>
        </w:tc>
        <w:tc>
          <w:tcPr>
            <w:tcW w:w="907" w:type="dxa"/>
            <w:tcBorders>
              <w:top w:val="nil"/>
              <w:left w:val="nil"/>
              <w:right w:val="nil"/>
            </w:tcBorders>
            <w:shd w:val="solid" w:color="000000" w:fill="auto"/>
          </w:tcPr>
          <w:p w:rsidR="00F078AA" w:rsidRPr="00C93E08" w:rsidRDefault="00F078AA" w:rsidP="00F078A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93E08">
              <w:rPr>
                <w:rFonts w:eastAsiaTheme="minorEastAsia" w:cs="Calibri"/>
                <w:iCs/>
                <w:color w:val="FFFFFF"/>
                <w:szCs w:val="20"/>
                <w:lang w:eastAsia="en-AU"/>
              </w:rPr>
              <w:t>2016</w:t>
            </w:r>
            <w:r>
              <w:rPr>
                <w:rFonts w:eastAsiaTheme="minorEastAsia" w:cs="Calibri"/>
                <w:iCs/>
                <w:color w:val="FFFFFF"/>
                <w:szCs w:val="20"/>
                <w:lang w:eastAsia="en-AU"/>
              </w:rPr>
              <w:br/>
            </w:r>
            <w:r w:rsidRPr="00C93E08">
              <w:rPr>
                <w:rFonts w:eastAsiaTheme="minorEastAsia" w:cs="Calibri"/>
                <w:iCs/>
                <w:color w:val="FFFFFF"/>
                <w:szCs w:val="20"/>
                <w:lang w:eastAsia="en-AU"/>
              </w:rPr>
              <w:t>actual</w:t>
            </w:r>
          </w:p>
        </w:tc>
      </w:tr>
      <w:tr w:rsidR="00BB6F1F" w:rsidRPr="00C93E0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rPr>
                <w:rFonts w:eastAsiaTheme="minorEastAsia" w:cs="Calibri"/>
                <w:b/>
                <w:bCs/>
                <w:color w:val="000000"/>
                <w:szCs w:val="20"/>
                <w:lang w:eastAsia="en-AU"/>
              </w:rPr>
            </w:pPr>
            <w:r w:rsidRPr="00C93E08">
              <w:rPr>
                <w:rFonts w:eastAsiaTheme="minorEastAsia" w:cs="Calibri"/>
                <w:b/>
                <w:bCs/>
                <w:color w:val="000000"/>
                <w:szCs w:val="20"/>
                <w:lang w:eastAsia="en-AU"/>
              </w:rPr>
              <w:t>Assets</w:t>
            </w:r>
          </w:p>
        </w:tc>
        <w:tc>
          <w:tcPr>
            <w:tcW w:w="907"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C93E08">
              <w:rPr>
                <w:rFonts w:eastAsiaTheme="minorEastAsia" w:cs="Calibri"/>
                <w:i/>
                <w:iCs/>
                <w:color w:val="FFFFFF"/>
                <w:szCs w:val="20"/>
                <w:lang w:eastAsia="en-AU"/>
              </w:rPr>
              <w:t xml:space="preserve"> </w:t>
            </w:r>
          </w:p>
        </w:tc>
        <w:tc>
          <w:tcPr>
            <w:tcW w:w="907"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C93E08">
              <w:rPr>
                <w:rFonts w:eastAsiaTheme="minorEastAsia" w:cs="Calibri"/>
                <w:i/>
                <w:iCs/>
                <w:color w:val="FFFFFF"/>
                <w:szCs w:val="20"/>
                <w:lang w:eastAsia="en-AU"/>
              </w:rPr>
              <w:t xml:space="preserve"> </w:t>
            </w:r>
          </w:p>
        </w:tc>
        <w:tc>
          <w:tcPr>
            <w:tcW w:w="907"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C93E08">
              <w:rPr>
                <w:rFonts w:eastAsiaTheme="minorEastAsia" w:cs="Calibri"/>
                <w:i/>
                <w:iCs/>
                <w:color w:val="FFFFFF"/>
                <w:szCs w:val="20"/>
                <w:lang w:eastAsia="en-AU"/>
              </w:rPr>
              <w:t xml:space="preserve"> </w:t>
            </w:r>
          </w:p>
        </w:tc>
        <w:tc>
          <w:tcPr>
            <w:tcW w:w="907"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C93E08">
              <w:rPr>
                <w:rFonts w:eastAsiaTheme="minorEastAsia" w:cs="Calibri"/>
                <w:i/>
                <w:iCs/>
                <w:color w:val="FFFFFF"/>
                <w:szCs w:val="20"/>
                <w:lang w:eastAsia="en-AU"/>
              </w:rPr>
              <w:t xml:space="preserve"> </w:t>
            </w:r>
          </w:p>
        </w:tc>
        <w:tc>
          <w:tcPr>
            <w:tcW w:w="907"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C93E08">
              <w:rPr>
                <w:rFonts w:eastAsiaTheme="minorEastAsia" w:cs="Calibri"/>
                <w:i/>
                <w:iCs/>
                <w:color w:val="FFFFFF"/>
                <w:szCs w:val="20"/>
                <w:lang w:eastAsia="en-AU"/>
              </w:rPr>
              <w:t xml:space="preserve"> </w:t>
            </w:r>
          </w:p>
        </w:tc>
      </w:tr>
      <w:tr w:rsidR="00BB6F1F" w:rsidRPr="00C93E0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rPr>
                <w:rFonts w:eastAsiaTheme="minorEastAsia" w:cs="Calibri"/>
                <w:color w:val="000000"/>
                <w:szCs w:val="20"/>
                <w:lang w:eastAsia="en-AU"/>
              </w:rPr>
            </w:pPr>
            <w:r w:rsidRPr="00C93E08">
              <w:rPr>
                <w:rFonts w:eastAsiaTheme="minorEastAsia" w:cs="Calibri"/>
                <w:color w:val="000000"/>
                <w:szCs w:val="20"/>
                <w:lang w:eastAsia="en-AU"/>
              </w:rPr>
              <w:t>Cash and deposits</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w:t>
            </w:r>
            <w:r w:rsidRPr="00C93E08">
              <w:rPr>
                <w:rFonts w:eastAsiaTheme="minorEastAsia" w:cs="Calibri"/>
                <w:color w:val="000000"/>
                <w:szCs w:val="20"/>
                <w:lang w:eastAsia="en-AU"/>
              </w:rPr>
              <w:t xml:space="preserve"> </w:t>
            </w:r>
            <w:r>
              <w:rPr>
                <w:rFonts w:eastAsiaTheme="minorEastAsia" w:cs="Calibri"/>
                <w:color w:val="000000"/>
                <w:szCs w:val="20"/>
                <w:lang w:eastAsia="en-AU"/>
              </w:rPr>
              <w:t>6</w:t>
            </w:r>
            <w:r w:rsidRPr="00C93E08">
              <w:rPr>
                <w:rFonts w:eastAsiaTheme="minorEastAsia" w:cs="Calibri"/>
                <w:color w:val="000000"/>
                <w:szCs w:val="20"/>
                <w:lang w:eastAsia="en-AU"/>
              </w:rPr>
              <w:t>84</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(486)</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5 869</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(191)</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5 574</w:t>
            </w:r>
          </w:p>
        </w:tc>
      </w:tr>
      <w:tr w:rsidR="00BB6F1F" w:rsidRPr="00C93E0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rPr>
                <w:rFonts w:eastAsiaTheme="minorEastAsia" w:cs="Calibri"/>
                <w:color w:val="000000"/>
                <w:szCs w:val="20"/>
                <w:lang w:eastAsia="en-AU"/>
              </w:rPr>
            </w:pPr>
            <w:r w:rsidRPr="00C93E08">
              <w:rPr>
                <w:rFonts w:eastAsiaTheme="minorEastAsia" w:cs="Calibri"/>
                <w:color w:val="000000"/>
                <w:szCs w:val="20"/>
                <w:lang w:eastAsia="en-AU"/>
              </w:rPr>
              <w:t>Advances paid</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280</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117</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163</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127</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153</w:t>
            </w:r>
          </w:p>
        </w:tc>
      </w:tr>
      <w:tr w:rsidR="00BB6F1F" w:rsidRPr="00C93E0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auto"/>
              <w:right w:val="nil"/>
            </w:tcBorders>
            <w:shd w:val="solid" w:color="FFFFFF" w:fill="auto"/>
          </w:tcPr>
          <w:p w:rsidR="00BB6F1F" w:rsidRPr="00C93E08" w:rsidRDefault="00BB6F1F" w:rsidP="00AC68FF">
            <w:pPr>
              <w:keepLines w:val="0"/>
              <w:autoSpaceDE w:val="0"/>
              <w:autoSpaceDN w:val="0"/>
              <w:adjustRightInd w:val="0"/>
              <w:rPr>
                <w:rFonts w:eastAsiaTheme="minorEastAsia" w:cs="Calibri"/>
                <w:color w:val="000000"/>
                <w:szCs w:val="20"/>
                <w:lang w:eastAsia="en-AU"/>
              </w:rPr>
            </w:pPr>
            <w:r w:rsidRPr="00C93E08">
              <w:rPr>
                <w:rFonts w:eastAsiaTheme="minorEastAsia" w:cs="Calibri"/>
                <w:color w:val="000000"/>
                <w:szCs w:val="20"/>
                <w:lang w:eastAsia="en-AU"/>
              </w:rPr>
              <w:t>Investments, loans and placements</w:t>
            </w:r>
          </w:p>
        </w:tc>
        <w:tc>
          <w:tcPr>
            <w:tcW w:w="907" w:type="dxa"/>
            <w:tcBorders>
              <w:top w:val="nil"/>
              <w:left w:val="nil"/>
              <w:bottom w:val="single" w:sz="6" w:space="0" w:color="auto"/>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w:t>
            </w:r>
            <w:r w:rsidRPr="00C93E08">
              <w:rPr>
                <w:rFonts w:eastAsiaTheme="minorEastAsia" w:cs="Calibri"/>
                <w:color w:val="000000"/>
                <w:szCs w:val="20"/>
                <w:lang w:eastAsia="en-AU"/>
              </w:rPr>
              <w:t xml:space="preserve"> </w:t>
            </w:r>
            <w:r>
              <w:rPr>
                <w:rFonts w:eastAsiaTheme="minorEastAsia" w:cs="Calibri"/>
                <w:color w:val="000000"/>
                <w:szCs w:val="20"/>
                <w:lang w:eastAsia="en-AU"/>
              </w:rPr>
              <w:t>7</w:t>
            </w:r>
            <w:r w:rsidRPr="00C93E08">
              <w:rPr>
                <w:rFonts w:eastAsiaTheme="minorEastAsia" w:cs="Calibri"/>
                <w:color w:val="000000"/>
                <w:szCs w:val="20"/>
                <w:lang w:eastAsia="en-AU"/>
              </w:rPr>
              <w:t>91</w:t>
            </w:r>
          </w:p>
        </w:tc>
        <w:tc>
          <w:tcPr>
            <w:tcW w:w="907" w:type="dxa"/>
            <w:tcBorders>
              <w:top w:val="nil"/>
              <w:left w:val="nil"/>
              <w:bottom w:val="single" w:sz="6" w:space="0" w:color="auto"/>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1 541</w:t>
            </w:r>
          </w:p>
        </w:tc>
        <w:tc>
          <w:tcPr>
            <w:tcW w:w="907" w:type="dxa"/>
            <w:tcBorders>
              <w:top w:val="nil"/>
              <w:left w:val="nil"/>
              <w:bottom w:val="single" w:sz="6" w:space="0" w:color="auto"/>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4 550</w:t>
            </w:r>
          </w:p>
        </w:tc>
        <w:tc>
          <w:tcPr>
            <w:tcW w:w="907" w:type="dxa"/>
            <w:tcBorders>
              <w:top w:val="nil"/>
              <w:left w:val="nil"/>
              <w:bottom w:val="single" w:sz="6" w:space="0" w:color="auto"/>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2 186</w:t>
            </w:r>
          </w:p>
        </w:tc>
        <w:tc>
          <w:tcPr>
            <w:tcW w:w="907" w:type="dxa"/>
            <w:tcBorders>
              <w:top w:val="nil"/>
              <w:left w:val="nil"/>
              <w:bottom w:val="single" w:sz="6" w:space="0" w:color="auto"/>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3 906</w:t>
            </w:r>
          </w:p>
        </w:tc>
      </w:tr>
      <w:tr w:rsidR="00BB6F1F" w:rsidRPr="00C93E0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rPr>
                <w:rFonts w:eastAsiaTheme="minorEastAsia" w:cs="Calibri"/>
                <w:b/>
                <w:bCs/>
                <w:color w:val="000000"/>
                <w:szCs w:val="20"/>
                <w:lang w:eastAsia="en-AU"/>
              </w:rPr>
            </w:pPr>
            <w:r w:rsidRPr="00C93E08">
              <w:rPr>
                <w:rFonts w:eastAsiaTheme="minorEastAsia" w:cs="Calibri"/>
                <w:b/>
                <w:bCs/>
                <w:color w:val="000000"/>
                <w:szCs w:val="20"/>
                <w:lang w:eastAsia="en-AU"/>
              </w:rPr>
              <w:t>Total</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93E08">
              <w:rPr>
                <w:rFonts w:eastAsiaTheme="minorEastAsia" w:cs="Calibri"/>
                <w:b/>
                <w:bCs/>
                <w:color w:val="000000"/>
                <w:szCs w:val="20"/>
                <w:lang w:eastAsia="en-AU"/>
              </w:rPr>
              <w:t>11 755</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93E08">
              <w:rPr>
                <w:rFonts w:eastAsiaTheme="minorEastAsia" w:cs="Calibri"/>
                <w:b/>
                <w:bCs/>
                <w:color w:val="000000"/>
                <w:szCs w:val="20"/>
                <w:lang w:eastAsia="en-AU"/>
              </w:rPr>
              <w:t>1 173</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93E08">
              <w:rPr>
                <w:rFonts w:eastAsiaTheme="minorEastAsia" w:cs="Calibri"/>
                <w:b/>
                <w:bCs/>
                <w:color w:val="000000"/>
                <w:szCs w:val="20"/>
                <w:lang w:eastAsia="en-AU"/>
              </w:rPr>
              <w:t>10 583</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93E08">
              <w:rPr>
                <w:rFonts w:eastAsiaTheme="minorEastAsia" w:cs="Calibri"/>
                <w:b/>
                <w:bCs/>
                <w:color w:val="000000"/>
                <w:szCs w:val="20"/>
                <w:lang w:eastAsia="en-AU"/>
              </w:rPr>
              <w:t>2 122</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93E08">
              <w:rPr>
                <w:rFonts w:eastAsiaTheme="minorEastAsia" w:cs="Calibri"/>
                <w:b/>
                <w:bCs/>
                <w:color w:val="000000"/>
                <w:szCs w:val="20"/>
                <w:lang w:eastAsia="en-AU"/>
              </w:rPr>
              <w:t>9 633</w:t>
            </w:r>
          </w:p>
        </w:tc>
      </w:tr>
      <w:tr w:rsidR="00BB6F1F" w:rsidRPr="00C93E0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rPr>
                <w:rFonts w:eastAsiaTheme="minorEastAsia" w:cs="Calibri"/>
                <w:b/>
                <w:bCs/>
                <w:color w:val="000000"/>
                <w:szCs w:val="20"/>
                <w:lang w:eastAsia="en-AU"/>
              </w:rPr>
            </w:pPr>
            <w:r w:rsidRPr="00C93E08">
              <w:rPr>
                <w:rFonts w:eastAsiaTheme="minorEastAsia" w:cs="Calibri"/>
                <w:b/>
                <w:bCs/>
                <w:color w:val="000000"/>
                <w:szCs w:val="20"/>
                <w:lang w:eastAsia="en-AU"/>
              </w:rPr>
              <w:t>Liabilities</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 xml:space="preserve"> </w:t>
            </w:r>
          </w:p>
        </w:tc>
      </w:tr>
      <w:tr w:rsidR="00BB6F1F" w:rsidRPr="00C93E0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rPr>
                <w:rFonts w:eastAsiaTheme="minorEastAsia" w:cs="Calibri"/>
                <w:color w:val="000000"/>
                <w:szCs w:val="20"/>
                <w:lang w:eastAsia="en-AU"/>
              </w:rPr>
            </w:pPr>
            <w:r w:rsidRPr="00C93E08">
              <w:rPr>
                <w:rFonts w:eastAsiaTheme="minorEastAsia" w:cs="Calibri"/>
                <w:color w:val="000000"/>
                <w:szCs w:val="20"/>
                <w:lang w:eastAsia="en-AU"/>
              </w:rPr>
              <w:t xml:space="preserve">Deposits held and advances received </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997</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196</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801</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194</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802</w:t>
            </w:r>
          </w:p>
        </w:tc>
      </w:tr>
      <w:tr w:rsidR="00BB6F1F" w:rsidRPr="00C93E0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auto"/>
              <w:right w:val="nil"/>
            </w:tcBorders>
            <w:shd w:val="solid" w:color="FFFFFF" w:fill="auto"/>
          </w:tcPr>
          <w:p w:rsidR="00BB6F1F" w:rsidRPr="00C93E08" w:rsidRDefault="00BB6F1F" w:rsidP="00AC68FF">
            <w:pPr>
              <w:keepLines w:val="0"/>
              <w:autoSpaceDE w:val="0"/>
              <w:autoSpaceDN w:val="0"/>
              <w:adjustRightInd w:val="0"/>
              <w:rPr>
                <w:rFonts w:eastAsiaTheme="minorEastAsia" w:cs="Calibri"/>
                <w:color w:val="000000"/>
                <w:szCs w:val="20"/>
                <w:lang w:eastAsia="en-AU"/>
              </w:rPr>
            </w:pPr>
            <w:r w:rsidRPr="00C93E08">
              <w:rPr>
                <w:rFonts w:eastAsiaTheme="minorEastAsia" w:cs="Calibri"/>
                <w:color w:val="000000"/>
                <w:szCs w:val="20"/>
                <w:lang w:eastAsia="en-AU"/>
              </w:rPr>
              <w:t xml:space="preserve">Borrowings </w:t>
            </w:r>
          </w:p>
        </w:tc>
        <w:tc>
          <w:tcPr>
            <w:tcW w:w="907" w:type="dxa"/>
            <w:tcBorders>
              <w:top w:val="nil"/>
              <w:left w:val="nil"/>
              <w:bottom w:val="single" w:sz="6" w:space="0" w:color="auto"/>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40 607</w:t>
            </w:r>
          </w:p>
        </w:tc>
        <w:tc>
          <w:tcPr>
            <w:tcW w:w="907" w:type="dxa"/>
            <w:tcBorders>
              <w:top w:val="nil"/>
              <w:left w:val="nil"/>
              <w:bottom w:val="single" w:sz="6" w:space="0" w:color="auto"/>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(2 075)</w:t>
            </w:r>
          </w:p>
        </w:tc>
        <w:tc>
          <w:tcPr>
            <w:tcW w:w="907" w:type="dxa"/>
            <w:tcBorders>
              <w:top w:val="nil"/>
              <w:left w:val="nil"/>
              <w:bottom w:val="single" w:sz="6" w:space="0" w:color="auto"/>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42 683</w:t>
            </w:r>
          </w:p>
        </w:tc>
        <w:tc>
          <w:tcPr>
            <w:tcW w:w="907" w:type="dxa"/>
            <w:tcBorders>
              <w:top w:val="nil"/>
              <w:left w:val="nil"/>
              <w:bottom w:val="single" w:sz="6" w:space="0" w:color="auto"/>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(4 801)</w:t>
            </w:r>
          </w:p>
        </w:tc>
        <w:tc>
          <w:tcPr>
            <w:tcW w:w="907" w:type="dxa"/>
            <w:tcBorders>
              <w:top w:val="nil"/>
              <w:left w:val="nil"/>
              <w:bottom w:val="single" w:sz="6" w:space="0" w:color="auto"/>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45 409</w:t>
            </w:r>
          </w:p>
        </w:tc>
      </w:tr>
      <w:tr w:rsidR="00BB6F1F" w:rsidRPr="00C93E0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rPr>
                <w:rFonts w:eastAsiaTheme="minorEastAsia" w:cs="Calibri"/>
                <w:b/>
                <w:bCs/>
                <w:color w:val="000000"/>
                <w:szCs w:val="20"/>
                <w:lang w:eastAsia="en-AU"/>
              </w:rPr>
            </w:pPr>
            <w:r w:rsidRPr="00C93E08">
              <w:rPr>
                <w:rFonts w:eastAsiaTheme="minorEastAsia" w:cs="Calibri"/>
                <w:b/>
                <w:bCs/>
                <w:color w:val="000000"/>
                <w:szCs w:val="20"/>
                <w:lang w:eastAsia="en-AU"/>
              </w:rPr>
              <w:t>Total</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93E08">
              <w:rPr>
                <w:rFonts w:eastAsiaTheme="minorEastAsia" w:cs="Calibri"/>
                <w:b/>
                <w:bCs/>
                <w:color w:val="000000"/>
                <w:szCs w:val="20"/>
                <w:lang w:eastAsia="en-AU"/>
              </w:rPr>
              <w:t>41 604</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(1 880)</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93E08">
              <w:rPr>
                <w:rFonts w:eastAsiaTheme="minorEastAsia" w:cs="Calibri"/>
                <w:b/>
                <w:bCs/>
                <w:color w:val="000000"/>
                <w:szCs w:val="20"/>
                <w:lang w:eastAsia="en-AU"/>
              </w:rPr>
              <w:t>43 484</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(4 607)</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93E08">
              <w:rPr>
                <w:rFonts w:eastAsiaTheme="minorEastAsia" w:cs="Calibri"/>
                <w:b/>
                <w:bCs/>
                <w:color w:val="000000"/>
                <w:szCs w:val="20"/>
                <w:lang w:eastAsia="en-AU"/>
              </w:rPr>
              <w:t>46 211</w:t>
            </w:r>
          </w:p>
        </w:tc>
      </w:tr>
      <w:tr w:rsidR="00BB6F1F" w:rsidRPr="00C93E0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rPr>
                <w:rFonts w:eastAsiaTheme="minorEastAsia" w:cs="Calibri"/>
                <w:b/>
                <w:bCs/>
                <w:color w:val="000000"/>
                <w:szCs w:val="20"/>
                <w:lang w:eastAsia="en-AU"/>
              </w:rPr>
            </w:pPr>
            <w:r w:rsidRPr="00C93E08">
              <w:rPr>
                <w:rFonts w:eastAsiaTheme="minorEastAsia" w:cs="Calibri"/>
                <w:b/>
                <w:bCs/>
                <w:color w:val="000000"/>
                <w:szCs w:val="20"/>
                <w:lang w:eastAsia="en-AU"/>
              </w:rPr>
              <w:t>Net debt</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93E08">
              <w:rPr>
                <w:rFonts w:eastAsiaTheme="minorEastAsia" w:cs="Calibri"/>
                <w:b/>
                <w:bCs/>
                <w:color w:val="000000"/>
                <w:szCs w:val="20"/>
                <w:lang w:eastAsia="en-AU"/>
              </w:rPr>
              <w:t>29 849</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(3 052)</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93E08">
              <w:rPr>
                <w:rFonts w:eastAsiaTheme="minorEastAsia" w:cs="Calibri"/>
                <w:b/>
                <w:bCs/>
                <w:color w:val="000000"/>
                <w:szCs w:val="20"/>
                <w:lang w:eastAsia="en-AU"/>
              </w:rPr>
              <w:t>32 901</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(6 729)</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93E08">
              <w:rPr>
                <w:rFonts w:eastAsiaTheme="minorEastAsia" w:cs="Calibri"/>
                <w:b/>
                <w:bCs/>
                <w:color w:val="000000"/>
                <w:szCs w:val="20"/>
                <w:lang w:eastAsia="en-AU"/>
              </w:rPr>
              <w:t>36 578</w:t>
            </w:r>
          </w:p>
        </w:tc>
      </w:tr>
      <w:tr w:rsidR="00BB6F1F" w:rsidRPr="00C93E0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auto"/>
              <w:right w:val="nil"/>
            </w:tcBorders>
            <w:shd w:val="solid" w:color="FFFFFF" w:fill="auto"/>
          </w:tcPr>
          <w:p w:rsidR="00BB6F1F" w:rsidRPr="00C93E08" w:rsidRDefault="00BB6F1F" w:rsidP="00AC68FF">
            <w:pPr>
              <w:keepLines w:val="0"/>
              <w:autoSpaceDE w:val="0"/>
              <w:autoSpaceDN w:val="0"/>
              <w:adjustRightInd w:val="0"/>
              <w:rPr>
                <w:rFonts w:eastAsiaTheme="minorEastAsia" w:cs="Calibri"/>
                <w:color w:val="000000"/>
                <w:szCs w:val="20"/>
                <w:lang w:eastAsia="en-AU"/>
              </w:rPr>
            </w:pPr>
            <w:r w:rsidRPr="00C93E08">
              <w:rPr>
                <w:rFonts w:eastAsiaTheme="minorEastAsia" w:cs="Calibri"/>
                <w:color w:val="000000"/>
                <w:szCs w:val="20"/>
                <w:lang w:eastAsia="en-AU"/>
              </w:rPr>
              <w:t>Superannuation</w:t>
            </w:r>
          </w:p>
        </w:tc>
        <w:tc>
          <w:tcPr>
            <w:tcW w:w="907" w:type="dxa"/>
            <w:tcBorders>
              <w:top w:val="nil"/>
              <w:left w:val="nil"/>
              <w:bottom w:val="single" w:sz="6" w:space="0" w:color="auto"/>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24 938</w:t>
            </w:r>
          </w:p>
        </w:tc>
        <w:tc>
          <w:tcPr>
            <w:tcW w:w="907" w:type="dxa"/>
            <w:tcBorders>
              <w:top w:val="nil"/>
              <w:left w:val="nil"/>
              <w:bottom w:val="single" w:sz="6" w:space="0" w:color="auto"/>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(547)</w:t>
            </w:r>
          </w:p>
        </w:tc>
        <w:tc>
          <w:tcPr>
            <w:tcW w:w="907" w:type="dxa"/>
            <w:tcBorders>
              <w:top w:val="nil"/>
              <w:left w:val="nil"/>
              <w:bottom w:val="single" w:sz="6" w:space="0" w:color="auto"/>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25 485</w:t>
            </w:r>
          </w:p>
        </w:tc>
        <w:tc>
          <w:tcPr>
            <w:tcW w:w="907" w:type="dxa"/>
            <w:tcBorders>
              <w:top w:val="nil"/>
              <w:left w:val="nil"/>
              <w:bottom w:val="single" w:sz="6" w:space="0" w:color="auto"/>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(4 416)</w:t>
            </w:r>
          </w:p>
        </w:tc>
        <w:tc>
          <w:tcPr>
            <w:tcW w:w="907" w:type="dxa"/>
            <w:tcBorders>
              <w:top w:val="nil"/>
              <w:left w:val="nil"/>
              <w:bottom w:val="single" w:sz="6" w:space="0" w:color="auto"/>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29 354</w:t>
            </w:r>
          </w:p>
        </w:tc>
      </w:tr>
      <w:tr w:rsidR="00BB6F1F" w:rsidRPr="00C93E0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rPr>
                <w:rFonts w:eastAsiaTheme="minorEastAsia" w:cs="Calibri"/>
                <w:b/>
                <w:bCs/>
                <w:color w:val="000000"/>
                <w:szCs w:val="20"/>
                <w:lang w:eastAsia="en-AU"/>
              </w:rPr>
            </w:pPr>
            <w:r w:rsidRPr="00C93E08">
              <w:rPr>
                <w:rFonts w:eastAsiaTheme="minorEastAsia" w:cs="Calibri"/>
                <w:b/>
                <w:bCs/>
                <w:color w:val="000000"/>
                <w:szCs w:val="20"/>
                <w:lang w:eastAsia="en-AU"/>
              </w:rPr>
              <w:t>Net debt plus superannuation liabilities</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93E08">
              <w:rPr>
                <w:rFonts w:eastAsiaTheme="minorEastAsia" w:cs="Calibri"/>
                <w:b/>
                <w:bCs/>
                <w:color w:val="000000"/>
                <w:szCs w:val="20"/>
                <w:lang w:eastAsia="en-AU"/>
              </w:rPr>
              <w:t>54 787</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(3 599)</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93E08">
              <w:rPr>
                <w:rFonts w:eastAsiaTheme="minorEastAsia" w:cs="Calibri"/>
                <w:b/>
                <w:bCs/>
                <w:color w:val="000000"/>
                <w:szCs w:val="20"/>
                <w:lang w:eastAsia="en-AU"/>
              </w:rPr>
              <w:t>58 386</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(11 145)</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93E08">
              <w:rPr>
                <w:rFonts w:eastAsiaTheme="minorEastAsia" w:cs="Calibri"/>
                <w:b/>
                <w:bCs/>
                <w:color w:val="000000"/>
                <w:szCs w:val="20"/>
                <w:lang w:eastAsia="en-AU"/>
              </w:rPr>
              <w:t>65 932</w:t>
            </w:r>
          </w:p>
        </w:tc>
      </w:tr>
      <w:tr w:rsidR="00BB6F1F" w:rsidRPr="00C93E0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rPr>
                <w:rFonts w:eastAsiaTheme="minorEastAsia" w:cs="Calibri"/>
                <w:color w:val="000000"/>
                <w:szCs w:val="20"/>
                <w:lang w:eastAsia="en-AU"/>
              </w:rPr>
            </w:pPr>
            <w:r w:rsidRPr="00C93E08">
              <w:rPr>
                <w:rFonts w:eastAsiaTheme="minorEastAsia" w:cs="Calibri"/>
                <w:color w:val="000000"/>
                <w:szCs w:val="20"/>
                <w:lang w:eastAsia="en-AU"/>
              </w:rPr>
              <w:t>Other liabilities (net)</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93E08">
              <w:rPr>
                <w:rFonts w:eastAsiaTheme="minorEastAsia" w:cs="Calibri"/>
                <w:b/>
                <w:bCs/>
                <w:color w:val="000000"/>
                <w:szCs w:val="20"/>
                <w:lang w:eastAsia="en-AU"/>
              </w:rPr>
              <w:t>14 994</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526</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14 468</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8 860</w:t>
            </w:r>
          </w:p>
        </w:tc>
        <w:tc>
          <w:tcPr>
            <w:tcW w:w="907" w:type="dxa"/>
            <w:tcBorders>
              <w:top w:val="nil"/>
              <w:left w:val="nil"/>
              <w:bottom w:val="nil"/>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6 134</w:t>
            </w:r>
          </w:p>
        </w:tc>
      </w:tr>
      <w:tr w:rsidR="00BB6F1F" w:rsidRPr="00C93E0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12" w:space="0" w:color="auto"/>
              <w:right w:val="nil"/>
            </w:tcBorders>
            <w:shd w:val="solid" w:color="FFFFFF" w:fill="auto"/>
          </w:tcPr>
          <w:p w:rsidR="00BB6F1F" w:rsidRPr="00C93E08" w:rsidRDefault="00BB6F1F" w:rsidP="00AC68FF">
            <w:pPr>
              <w:keepLines w:val="0"/>
              <w:autoSpaceDE w:val="0"/>
              <w:autoSpaceDN w:val="0"/>
              <w:adjustRightInd w:val="0"/>
              <w:rPr>
                <w:rFonts w:eastAsiaTheme="minorEastAsia" w:cs="Calibri"/>
                <w:b/>
                <w:bCs/>
                <w:color w:val="000000"/>
                <w:szCs w:val="20"/>
                <w:lang w:eastAsia="en-AU"/>
              </w:rPr>
            </w:pPr>
            <w:r w:rsidRPr="00C93E08">
              <w:rPr>
                <w:rFonts w:eastAsiaTheme="minorEastAsia" w:cs="Calibri"/>
                <w:b/>
                <w:bCs/>
                <w:color w:val="000000"/>
                <w:szCs w:val="20"/>
                <w:lang w:eastAsia="en-AU"/>
              </w:rPr>
              <w:t>Net financial liabilities</w:t>
            </w:r>
          </w:p>
        </w:tc>
        <w:tc>
          <w:tcPr>
            <w:tcW w:w="907" w:type="dxa"/>
            <w:tcBorders>
              <w:top w:val="nil"/>
              <w:left w:val="nil"/>
              <w:bottom w:val="single" w:sz="12" w:space="0" w:color="auto"/>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93E08">
              <w:rPr>
                <w:rFonts w:eastAsiaTheme="minorEastAsia" w:cs="Calibri"/>
                <w:b/>
                <w:bCs/>
                <w:color w:val="000000"/>
                <w:szCs w:val="20"/>
                <w:lang w:eastAsia="en-AU"/>
              </w:rPr>
              <w:t>69 781</w:t>
            </w:r>
          </w:p>
        </w:tc>
        <w:tc>
          <w:tcPr>
            <w:tcW w:w="907" w:type="dxa"/>
            <w:tcBorders>
              <w:top w:val="nil"/>
              <w:left w:val="nil"/>
              <w:bottom w:val="single" w:sz="12" w:space="0" w:color="auto"/>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(3 074)</w:t>
            </w:r>
          </w:p>
        </w:tc>
        <w:tc>
          <w:tcPr>
            <w:tcW w:w="907" w:type="dxa"/>
            <w:tcBorders>
              <w:top w:val="nil"/>
              <w:left w:val="nil"/>
              <w:bottom w:val="single" w:sz="12" w:space="0" w:color="auto"/>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93E08">
              <w:rPr>
                <w:rFonts w:eastAsiaTheme="minorEastAsia" w:cs="Calibri"/>
                <w:b/>
                <w:bCs/>
                <w:color w:val="000000"/>
                <w:szCs w:val="20"/>
                <w:lang w:eastAsia="en-AU"/>
              </w:rPr>
              <w:t>72 854</w:t>
            </w:r>
          </w:p>
        </w:tc>
        <w:tc>
          <w:tcPr>
            <w:tcW w:w="907" w:type="dxa"/>
            <w:tcBorders>
              <w:top w:val="nil"/>
              <w:left w:val="nil"/>
              <w:bottom w:val="single" w:sz="12" w:space="0" w:color="auto"/>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(2 285)</w:t>
            </w:r>
          </w:p>
        </w:tc>
        <w:tc>
          <w:tcPr>
            <w:tcW w:w="907" w:type="dxa"/>
            <w:tcBorders>
              <w:top w:val="nil"/>
              <w:left w:val="nil"/>
              <w:bottom w:val="single" w:sz="12" w:space="0" w:color="auto"/>
              <w:right w:val="nil"/>
            </w:tcBorders>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93E08">
              <w:rPr>
                <w:rFonts w:eastAsiaTheme="minorEastAsia" w:cs="Calibri"/>
                <w:b/>
                <w:bCs/>
                <w:color w:val="000000"/>
                <w:szCs w:val="20"/>
                <w:lang w:eastAsia="en-AU"/>
              </w:rPr>
              <w:t>72 066</w:t>
            </w:r>
          </w:p>
        </w:tc>
      </w:tr>
      <w:tr w:rsidR="00BB6F1F" w:rsidRPr="00C93E08" w:rsidTr="00AC68FF">
        <w:tc>
          <w:tcPr>
            <w:cnfStyle w:val="001000000000" w:firstRow="0" w:lastRow="0" w:firstColumn="1" w:lastColumn="0" w:oddVBand="0" w:evenVBand="0" w:oddHBand="0" w:evenHBand="0" w:firstRowFirstColumn="0" w:firstRowLastColumn="0" w:lastRowFirstColumn="0" w:lastRowLastColumn="0"/>
            <w:tcW w:w="9637" w:type="dxa"/>
            <w:gridSpan w:val="6"/>
            <w:tcBorders>
              <w:top w:val="nil"/>
              <w:left w:val="nil"/>
              <w:bottom w:val="nil"/>
              <w:right w:val="nil"/>
            </w:tcBorders>
          </w:tcPr>
          <w:p w:rsidR="00BB6F1F" w:rsidRPr="00C93E08" w:rsidRDefault="00BB6F1F" w:rsidP="00AC68FF">
            <w:pPr>
              <w:keepLines w:val="0"/>
              <w:autoSpaceDE w:val="0"/>
              <w:autoSpaceDN w:val="0"/>
              <w:adjustRightInd w:val="0"/>
              <w:jc w:val="center"/>
              <w:rPr>
                <w:rFonts w:eastAsiaTheme="minorEastAsia" w:cs="Calibri"/>
                <w:color w:val="000000"/>
                <w:szCs w:val="20"/>
                <w:lang w:eastAsia="en-AU"/>
              </w:rPr>
            </w:pPr>
            <w:r w:rsidRPr="00C93E08">
              <w:rPr>
                <w:rFonts w:eastAsiaTheme="minorEastAsia" w:cs="Calibri"/>
                <w:i/>
                <w:iCs/>
                <w:color w:val="000000"/>
                <w:szCs w:val="20"/>
                <w:lang w:eastAsia="en-AU"/>
              </w:rPr>
              <w:t>(per cent)</w:t>
            </w:r>
          </w:p>
        </w:tc>
      </w:tr>
      <w:tr w:rsidR="00BB6F1F" w:rsidRPr="00C93E0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auto"/>
              <w:right w:val="nil"/>
            </w:tcBorders>
            <w:shd w:val="solid" w:color="FFFFFF" w:fill="auto"/>
          </w:tcPr>
          <w:p w:rsidR="00BB6F1F" w:rsidRPr="00C93E08" w:rsidRDefault="00BB6F1F" w:rsidP="00AC68FF">
            <w:pPr>
              <w:keepLines w:val="0"/>
              <w:autoSpaceDE w:val="0"/>
              <w:autoSpaceDN w:val="0"/>
              <w:adjustRightInd w:val="0"/>
              <w:rPr>
                <w:rFonts w:eastAsiaTheme="minorEastAsia" w:cs="Calibri"/>
                <w:b/>
                <w:bCs/>
                <w:color w:val="000000"/>
                <w:szCs w:val="20"/>
                <w:lang w:eastAsia="en-AU"/>
              </w:rPr>
            </w:pPr>
            <w:r w:rsidRPr="00C93E08">
              <w:rPr>
                <w:rFonts w:eastAsiaTheme="minorEastAsia" w:cs="Calibri"/>
                <w:b/>
                <w:bCs/>
                <w:color w:val="000000"/>
                <w:szCs w:val="20"/>
                <w:lang w:eastAsia="en-AU"/>
              </w:rPr>
              <w:t>Net debt to GSP</w:t>
            </w:r>
          </w:p>
        </w:tc>
        <w:tc>
          <w:tcPr>
            <w:tcW w:w="907" w:type="dxa"/>
            <w:tcBorders>
              <w:top w:val="nil"/>
              <w:left w:val="nil"/>
              <w:bottom w:val="single" w:sz="6" w:space="0" w:color="auto"/>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7.6</w:t>
            </w:r>
          </w:p>
        </w:tc>
        <w:tc>
          <w:tcPr>
            <w:tcW w:w="907" w:type="dxa"/>
            <w:tcBorders>
              <w:top w:val="nil"/>
              <w:left w:val="nil"/>
              <w:bottom w:val="single" w:sz="6" w:space="0" w:color="auto"/>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 xml:space="preserve"> </w:t>
            </w:r>
          </w:p>
        </w:tc>
        <w:tc>
          <w:tcPr>
            <w:tcW w:w="907" w:type="dxa"/>
            <w:tcBorders>
              <w:top w:val="nil"/>
              <w:left w:val="nil"/>
              <w:bottom w:val="single" w:sz="6" w:space="0" w:color="auto"/>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8.4</w:t>
            </w:r>
          </w:p>
        </w:tc>
        <w:tc>
          <w:tcPr>
            <w:tcW w:w="907" w:type="dxa"/>
            <w:tcBorders>
              <w:top w:val="nil"/>
              <w:left w:val="nil"/>
              <w:bottom w:val="single" w:sz="6" w:space="0" w:color="auto"/>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 xml:space="preserve"> </w:t>
            </w:r>
          </w:p>
        </w:tc>
        <w:tc>
          <w:tcPr>
            <w:tcW w:w="907" w:type="dxa"/>
            <w:tcBorders>
              <w:top w:val="nil"/>
              <w:left w:val="nil"/>
              <w:bottom w:val="single" w:sz="6" w:space="0" w:color="auto"/>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9.8</w:t>
            </w:r>
          </w:p>
        </w:tc>
      </w:tr>
      <w:tr w:rsidR="00BB6F1F" w:rsidRPr="00C93E08"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left w:val="nil"/>
              <w:bottom w:val="single" w:sz="6" w:space="0" w:color="auto"/>
              <w:right w:val="nil"/>
            </w:tcBorders>
            <w:shd w:val="solid" w:color="FFFFFF" w:fill="auto"/>
          </w:tcPr>
          <w:p w:rsidR="00BB6F1F" w:rsidRPr="00C93E08" w:rsidRDefault="00BB6F1F" w:rsidP="00AC68FF">
            <w:pPr>
              <w:keepLines w:val="0"/>
              <w:autoSpaceDE w:val="0"/>
              <w:autoSpaceDN w:val="0"/>
              <w:adjustRightInd w:val="0"/>
              <w:rPr>
                <w:rFonts w:eastAsiaTheme="minorEastAsia" w:cs="Calibri"/>
                <w:b/>
                <w:bCs/>
                <w:color w:val="000000"/>
                <w:szCs w:val="20"/>
                <w:lang w:eastAsia="en-AU"/>
              </w:rPr>
            </w:pPr>
            <w:r w:rsidRPr="00C93E08">
              <w:rPr>
                <w:rFonts w:eastAsiaTheme="minorEastAsia" w:cs="Calibri"/>
                <w:b/>
                <w:bCs/>
                <w:color w:val="000000"/>
                <w:szCs w:val="20"/>
                <w:lang w:eastAsia="en-AU"/>
              </w:rPr>
              <w:t>Net debt plus superannuation liabilities to GSP</w:t>
            </w:r>
          </w:p>
        </w:tc>
        <w:tc>
          <w:tcPr>
            <w:tcW w:w="907" w:type="dxa"/>
            <w:tcBorders>
              <w:top w:val="single" w:sz="6" w:space="0" w:color="auto"/>
              <w:left w:val="nil"/>
              <w:bottom w:val="single" w:sz="6" w:space="0" w:color="auto"/>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14.0</w:t>
            </w:r>
          </w:p>
        </w:tc>
        <w:tc>
          <w:tcPr>
            <w:tcW w:w="907" w:type="dxa"/>
            <w:tcBorders>
              <w:top w:val="single" w:sz="6" w:space="0" w:color="auto"/>
              <w:left w:val="nil"/>
              <w:bottom w:val="single" w:sz="6" w:space="0" w:color="auto"/>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 xml:space="preserve"> </w:t>
            </w:r>
          </w:p>
        </w:tc>
        <w:tc>
          <w:tcPr>
            <w:tcW w:w="907" w:type="dxa"/>
            <w:tcBorders>
              <w:top w:val="single" w:sz="6" w:space="0" w:color="auto"/>
              <w:left w:val="nil"/>
              <w:bottom w:val="single" w:sz="6" w:space="0" w:color="auto"/>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14.9</w:t>
            </w:r>
          </w:p>
        </w:tc>
        <w:tc>
          <w:tcPr>
            <w:tcW w:w="907" w:type="dxa"/>
            <w:tcBorders>
              <w:top w:val="single" w:sz="6" w:space="0" w:color="auto"/>
              <w:left w:val="nil"/>
              <w:bottom w:val="single" w:sz="6" w:space="0" w:color="auto"/>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 xml:space="preserve"> </w:t>
            </w:r>
          </w:p>
        </w:tc>
        <w:tc>
          <w:tcPr>
            <w:tcW w:w="907" w:type="dxa"/>
            <w:tcBorders>
              <w:top w:val="single" w:sz="6" w:space="0" w:color="auto"/>
              <w:left w:val="nil"/>
              <w:bottom w:val="single" w:sz="6" w:space="0" w:color="auto"/>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17.6</w:t>
            </w:r>
          </w:p>
        </w:tc>
      </w:tr>
      <w:tr w:rsidR="00BB6F1F" w:rsidRPr="00C93E08"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12" w:space="0" w:color="auto"/>
            </w:tcBorders>
            <w:shd w:val="solid" w:color="FFFFFF" w:fill="auto"/>
          </w:tcPr>
          <w:p w:rsidR="00BB6F1F" w:rsidRPr="00C93E08" w:rsidRDefault="00BB6F1F" w:rsidP="00AC68FF">
            <w:pPr>
              <w:keepLines w:val="0"/>
              <w:autoSpaceDE w:val="0"/>
              <w:autoSpaceDN w:val="0"/>
              <w:adjustRightInd w:val="0"/>
              <w:rPr>
                <w:rFonts w:eastAsiaTheme="minorEastAsia" w:cs="Calibri"/>
                <w:bCs/>
                <w:color w:val="000000"/>
                <w:szCs w:val="20"/>
                <w:lang w:eastAsia="en-AU"/>
              </w:rPr>
            </w:pPr>
            <w:r w:rsidRPr="00C93E08">
              <w:rPr>
                <w:rFonts w:eastAsiaTheme="minorEastAsia" w:cs="Calibri"/>
                <w:bCs/>
                <w:color w:val="000000"/>
                <w:szCs w:val="20"/>
                <w:lang w:eastAsia="en-AU"/>
              </w:rPr>
              <w:t>Net financial liabilities to GSP</w:t>
            </w:r>
          </w:p>
        </w:tc>
        <w:tc>
          <w:tcPr>
            <w:tcW w:w="907" w:type="dxa"/>
            <w:tcBorders>
              <w:top w:val="single" w:sz="6" w:space="0" w:color="auto"/>
              <w:bottom w:val="single" w:sz="12" w:space="0" w:color="auto"/>
            </w:tcBorders>
            <w:shd w:val="solid" w:color="FFFFFF" w:fill="auto"/>
          </w:tcPr>
          <w:p w:rsidR="00BB6F1F" w:rsidRPr="00C93E0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17.8</w:t>
            </w:r>
          </w:p>
        </w:tc>
        <w:tc>
          <w:tcPr>
            <w:tcW w:w="907" w:type="dxa"/>
            <w:tcBorders>
              <w:top w:val="single" w:sz="6" w:space="0" w:color="auto"/>
              <w:bottom w:val="single" w:sz="12" w:space="0" w:color="auto"/>
            </w:tcBorders>
            <w:shd w:val="solid" w:color="FFFFFF" w:fill="auto"/>
          </w:tcPr>
          <w:p w:rsidR="00BB6F1F" w:rsidRPr="00C93E0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 xml:space="preserve"> </w:t>
            </w:r>
          </w:p>
        </w:tc>
        <w:tc>
          <w:tcPr>
            <w:tcW w:w="907" w:type="dxa"/>
            <w:tcBorders>
              <w:top w:val="single" w:sz="6" w:space="0" w:color="auto"/>
              <w:bottom w:val="single" w:sz="12" w:space="0" w:color="auto"/>
            </w:tcBorders>
            <w:shd w:val="solid" w:color="FFFFFF" w:fill="auto"/>
          </w:tcPr>
          <w:p w:rsidR="00BB6F1F" w:rsidRPr="00C93E0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18.6</w:t>
            </w:r>
          </w:p>
        </w:tc>
        <w:tc>
          <w:tcPr>
            <w:tcW w:w="907" w:type="dxa"/>
            <w:tcBorders>
              <w:top w:val="single" w:sz="6" w:space="0" w:color="auto"/>
              <w:bottom w:val="single" w:sz="12" w:space="0" w:color="auto"/>
            </w:tcBorders>
            <w:shd w:val="solid" w:color="FFFFFF" w:fill="auto"/>
          </w:tcPr>
          <w:p w:rsidR="00BB6F1F" w:rsidRPr="00C93E0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3E08">
              <w:rPr>
                <w:rFonts w:eastAsiaTheme="minorEastAsia" w:cs="Calibri"/>
                <w:color w:val="000000"/>
                <w:szCs w:val="20"/>
                <w:lang w:eastAsia="en-AU"/>
              </w:rPr>
              <w:t xml:space="preserve"> </w:t>
            </w:r>
          </w:p>
        </w:tc>
        <w:tc>
          <w:tcPr>
            <w:tcW w:w="907" w:type="dxa"/>
            <w:tcBorders>
              <w:top w:val="single" w:sz="6" w:space="0" w:color="auto"/>
              <w:bottom w:val="single" w:sz="12" w:space="0" w:color="auto"/>
            </w:tcBorders>
            <w:shd w:val="solid" w:color="FFFFFF" w:fill="auto"/>
          </w:tcPr>
          <w:p w:rsidR="00BB6F1F" w:rsidRPr="00C93E0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19.2</w:t>
            </w:r>
          </w:p>
        </w:tc>
      </w:tr>
    </w:tbl>
    <w:p w:rsidR="00BB6F1F" w:rsidRDefault="00BB6F1F" w:rsidP="00AC68FF">
      <w:pPr>
        <w:pStyle w:val="Source"/>
      </w:pPr>
      <w:r>
        <w:t>Source: Department of Treasury and Finance</w:t>
      </w:r>
    </w:p>
    <w:p w:rsidR="00BB6F1F" w:rsidRPr="00D215DA" w:rsidRDefault="00BB6F1F" w:rsidP="00AC68FF">
      <w:pPr>
        <w:pStyle w:val="Note"/>
      </w:pPr>
    </w:p>
    <w:p w:rsidR="00BB6F1F" w:rsidRDefault="00BB6F1F" w:rsidP="00AC68FF">
      <w:pPr>
        <w:pStyle w:val="Heading20"/>
      </w:pPr>
      <w:r>
        <w:t>Indicators of financial condition</w:t>
      </w:r>
    </w:p>
    <w:p w:rsidR="00BB6F1F" w:rsidRDefault="00BB6F1F" w:rsidP="00AC68FF">
      <w:pPr>
        <w:sectPr w:rsidR="00BB6F1F" w:rsidSect="00AC68FF">
          <w:type w:val="continuous"/>
          <w:pgSz w:w="11906" w:h="16838" w:code="9"/>
          <w:pgMar w:top="1134" w:right="1134" w:bottom="1134" w:left="1134" w:header="624" w:footer="567" w:gutter="0"/>
          <w:cols w:sep="1" w:space="567"/>
          <w:docGrid w:linePitch="360"/>
        </w:sectPr>
      </w:pPr>
    </w:p>
    <w:p w:rsidR="00BB6F1F" w:rsidRDefault="00BB6F1F" w:rsidP="00AC68FF">
      <w:r>
        <w:lastRenderedPageBreak/>
        <w:t xml:space="preserve">Table 3.4 shows key financial indicators for the NFPS and are important benchmarks of the NFPS sustainability. </w:t>
      </w:r>
    </w:p>
    <w:p w:rsidR="00BB6F1F" w:rsidRDefault="00BB6F1F" w:rsidP="00AC68FF">
      <w:r>
        <w:t>The operating cash flow surplus to revenue ratio has increased in 2016-17 compared to 2015-16, predominantly due to the proceeds from the medium-term lease over the operations of the Port of Melbourne in 2016-17.</w:t>
      </w:r>
    </w:p>
    <w:p w:rsidR="00BB6F1F" w:rsidRDefault="00BB6F1F" w:rsidP="00AC68FF">
      <w:r>
        <w:lastRenderedPageBreak/>
        <w:t>Interest expense to revenue has steadily declined since 2013</w:t>
      </w:r>
      <w:r>
        <w:noBreakHyphen/>
        <w:t>14 to 3.9 per cent in 2016-17. This was due to declining interest rates, lower borrowings and increase in revenue. The gross debt to revenue has fallen since 2012-13, with a large fall in 2016-17 due to the reduction in borrowings from the proceeds of the Port of Melbourne lease transaction.</w:t>
      </w:r>
    </w:p>
    <w:p w:rsidR="00BB6F1F" w:rsidRDefault="00BB6F1F" w:rsidP="00AC68FF">
      <w:pPr>
        <w:sectPr w:rsidR="00BB6F1F" w:rsidSect="00AC68FF">
          <w:type w:val="continuous"/>
          <w:pgSz w:w="11906" w:h="16838" w:code="9"/>
          <w:pgMar w:top="1134" w:right="1134" w:bottom="1134" w:left="1134" w:header="624" w:footer="567" w:gutter="0"/>
          <w:cols w:num="2" w:space="567"/>
          <w:docGrid w:linePitch="360"/>
        </w:sectPr>
      </w:pPr>
    </w:p>
    <w:p w:rsidR="00BB6F1F" w:rsidRPr="00C93E08" w:rsidRDefault="00BB6F1F" w:rsidP="00AC68FF">
      <w:pPr>
        <w:pStyle w:val="TableHeading"/>
        <w:rPr>
          <w:bCs/>
          <w:lang w:val="en-US"/>
        </w:rPr>
      </w:pPr>
      <w:r>
        <w:lastRenderedPageBreak/>
        <w:t>Table 3.4:</w:t>
      </w:r>
      <w:r>
        <w:tab/>
        <w:t>Indicators of financial condition for NFPS</w:t>
      </w:r>
      <w:r>
        <w:tab/>
        <w:t>(per cent)</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3288"/>
        <w:gridCol w:w="907"/>
        <w:gridCol w:w="907"/>
        <w:gridCol w:w="907"/>
        <w:gridCol w:w="907"/>
        <w:gridCol w:w="907"/>
        <w:gridCol w:w="907"/>
        <w:gridCol w:w="907"/>
      </w:tblGrid>
      <w:tr w:rsidR="00BB6F1F" w:rsidRPr="00C93E08"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88" w:type="dxa"/>
            <w:tcBorders>
              <w:top w:val="nil"/>
              <w:left w:val="nil"/>
              <w:bottom w:val="nil"/>
              <w:right w:val="nil"/>
            </w:tcBorders>
            <w:shd w:val="solid" w:color="000000" w:fill="auto"/>
          </w:tcPr>
          <w:p w:rsidR="00BB6F1F" w:rsidRPr="00C93E08" w:rsidRDefault="00BB6F1F" w:rsidP="00AC68FF">
            <w:pPr>
              <w:autoSpaceDE w:val="0"/>
              <w:autoSpaceDN w:val="0"/>
              <w:adjustRightInd w:val="0"/>
              <w:rPr>
                <w:rFonts w:eastAsiaTheme="minorEastAsia" w:cs="Calibri"/>
                <w:iCs/>
                <w:color w:val="FFFFFF"/>
                <w:szCs w:val="20"/>
                <w:lang w:eastAsia="en-AU"/>
              </w:rPr>
            </w:pPr>
            <w:r w:rsidRPr="00C93E08">
              <w:rPr>
                <w:rFonts w:eastAsiaTheme="minorEastAsia" w:cs="Calibri"/>
                <w:iCs/>
                <w:color w:val="FFFFFF"/>
                <w:szCs w:val="20"/>
                <w:lang w:eastAsia="en-AU"/>
              </w:rPr>
              <w:t xml:space="preserve"> </w:t>
            </w:r>
          </w:p>
        </w:tc>
        <w:tc>
          <w:tcPr>
            <w:tcW w:w="907" w:type="dxa"/>
            <w:tcBorders>
              <w:top w:val="nil"/>
              <w:left w:val="nil"/>
              <w:bottom w:val="nil"/>
              <w:right w:val="nil"/>
            </w:tcBorders>
            <w:shd w:val="solid" w:color="000000" w:fill="auto"/>
          </w:tcPr>
          <w:p w:rsidR="00BB6F1F" w:rsidRPr="00C93E0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93E08">
              <w:rPr>
                <w:rFonts w:eastAsiaTheme="minorEastAsia" w:cs="Calibri"/>
                <w:iCs/>
                <w:color w:val="FFFFFF"/>
                <w:szCs w:val="20"/>
                <w:lang w:eastAsia="en-AU"/>
              </w:rPr>
              <w:t>2011</w:t>
            </w:r>
          </w:p>
        </w:tc>
        <w:tc>
          <w:tcPr>
            <w:tcW w:w="907" w:type="dxa"/>
            <w:tcBorders>
              <w:top w:val="nil"/>
              <w:left w:val="nil"/>
              <w:bottom w:val="nil"/>
              <w:right w:val="nil"/>
            </w:tcBorders>
            <w:shd w:val="solid" w:color="000000" w:fill="auto"/>
          </w:tcPr>
          <w:p w:rsidR="00BB6F1F" w:rsidRPr="00C93E0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93E08">
              <w:rPr>
                <w:rFonts w:eastAsiaTheme="minorEastAsia" w:cs="Calibri"/>
                <w:iCs/>
                <w:color w:val="FFFFFF"/>
                <w:szCs w:val="20"/>
                <w:lang w:eastAsia="en-AU"/>
              </w:rPr>
              <w:t>2012</w:t>
            </w:r>
          </w:p>
        </w:tc>
        <w:tc>
          <w:tcPr>
            <w:tcW w:w="907" w:type="dxa"/>
            <w:tcBorders>
              <w:top w:val="nil"/>
              <w:left w:val="nil"/>
              <w:bottom w:val="nil"/>
              <w:right w:val="nil"/>
            </w:tcBorders>
            <w:shd w:val="solid" w:color="000000" w:fill="auto"/>
          </w:tcPr>
          <w:p w:rsidR="00BB6F1F" w:rsidRPr="00C93E0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93E08">
              <w:rPr>
                <w:rFonts w:eastAsiaTheme="minorEastAsia" w:cs="Calibri"/>
                <w:iCs/>
                <w:color w:val="FFFFFF"/>
                <w:szCs w:val="20"/>
                <w:lang w:eastAsia="en-AU"/>
              </w:rPr>
              <w:t>2013</w:t>
            </w:r>
          </w:p>
        </w:tc>
        <w:tc>
          <w:tcPr>
            <w:tcW w:w="907" w:type="dxa"/>
            <w:tcBorders>
              <w:top w:val="nil"/>
              <w:left w:val="nil"/>
              <w:bottom w:val="nil"/>
              <w:right w:val="nil"/>
            </w:tcBorders>
            <w:shd w:val="solid" w:color="000000" w:fill="auto"/>
          </w:tcPr>
          <w:p w:rsidR="00BB6F1F" w:rsidRPr="00C93E0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93E08">
              <w:rPr>
                <w:rFonts w:eastAsiaTheme="minorEastAsia" w:cs="Calibri"/>
                <w:iCs/>
                <w:color w:val="FFFFFF"/>
                <w:szCs w:val="20"/>
                <w:lang w:eastAsia="en-AU"/>
              </w:rPr>
              <w:t>2014</w:t>
            </w:r>
          </w:p>
        </w:tc>
        <w:tc>
          <w:tcPr>
            <w:tcW w:w="907" w:type="dxa"/>
            <w:tcBorders>
              <w:top w:val="nil"/>
              <w:left w:val="nil"/>
              <w:bottom w:val="nil"/>
              <w:right w:val="nil"/>
            </w:tcBorders>
            <w:shd w:val="solid" w:color="000000" w:fill="auto"/>
          </w:tcPr>
          <w:p w:rsidR="00BB6F1F" w:rsidRPr="00C93E0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93E08">
              <w:rPr>
                <w:rFonts w:eastAsiaTheme="minorEastAsia" w:cs="Calibri"/>
                <w:iCs/>
                <w:color w:val="FFFFFF"/>
                <w:szCs w:val="20"/>
                <w:lang w:eastAsia="en-AU"/>
              </w:rPr>
              <w:t>2015</w:t>
            </w:r>
          </w:p>
        </w:tc>
        <w:tc>
          <w:tcPr>
            <w:tcW w:w="907" w:type="dxa"/>
            <w:tcBorders>
              <w:top w:val="nil"/>
              <w:left w:val="nil"/>
              <w:bottom w:val="nil"/>
              <w:right w:val="nil"/>
            </w:tcBorders>
            <w:shd w:val="solid" w:color="000000" w:fill="auto"/>
          </w:tcPr>
          <w:p w:rsidR="00BB6F1F" w:rsidRPr="00C93E0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93E08">
              <w:rPr>
                <w:rFonts w:eastAsiaTheme="minorEastAsia" w:cs="Calibri"/>
                <w:iCs/>
                <w:color w:val="FFFFFF"/>
                <w:szCs w:val="20"/>
                <w:lang w:eastAsia="en-AU"/>
              </w:rPr>
              <w:t>2016</w:t>
            </w:r>
          </w:p>
        </w:tc>
        <w:tc>
          <w:tcPr>
            <w:tcW w:w="907" w:type="dxa"/>
            <w:tcBorders>
              <w:top w:val="nil"/>
              <w:left w:val="nil"/>
              <w:bottom w:val="nil"/>
              <w:right w:val="nil"/>
            </w:tcBorders>
            <w:shd w:val="solid" w:color="000000" w:fill="auto"/>
          </w:tcPr>
          <w:p w:rsidR="00BB6F1F" w:rsidRPr="00C93E0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93E08">
              <w:rPr>
                <w:rFonts w:eastAsiaTheme="minorEastAsia" w:cs="Calibri"/>
                <w:iCs/>
                <w:color w:val="FFFFFF"/>
                <w:szCs w:val="20"/>
                <w:lang w:eastAsia="en-AU"/>
              </w:rPr>
              <w:t>2017</w:t>
            </w:r>
          </w:p>
        </w:tc>
      </w:tr>
      <w:tr w:rsidR="00BB6F1F" w:rsidRPr="00C93E08" w:rsidTr="00AC68FF">
        <w:tc>
          <w:tcPr>
            <w:cnfStyle w:val="001000000000" w:firstRow="0" w:lastRow="0" w:firstColumn="1" w:lastColumn="0" w:oddVBand="0" w:evenVBand="0" w:oddHBand="0" w:evenHBand="0" w:firstRowFirstColumn="0" w:firstRowLastColumn="0" w:lastRowFirstColumn="0" w:lastRowLastColumn="0"/>
            <w:tcW w:w="3288" w:type="dxa"/>
            <w:tcBorders>
              <w:top w:val="nil"/>
              <w:left w:val="nil"/>
              <w:bottom w:val="nil"/>
              <w:right w:val="nil"/>
            </w:tcBorders>
          </w:tcPr>
          <w:p w:rsidR="00BB6F1F" w:rsidRPr="00C93E08" w:rsidRDefault="00BB6F1F" w:rsidP="00AC68FF">
            <w:pPr>
              <w:keepLines w:val="0"/>
              <w:autoSpaceDE w:val="0"/>
              <w:autoSpaceDN w:val="0"/>
              <w:adjustRightInd w:val="0"/>
              <w:rPr>
                <w:rFonts w:eastAsiaTheme="minorEastAsia" w:cs="Calibri"/>
                <w:color w:val="000000"/>
                <w:szCs w:val="20"/>
                <w:lang w:eastAsia="en-AU"/>
              </w:rPr>
            </w:pPr>
            <w:r w:rsidRPr="00C93E08">
              <w:rPr>
                <w:rFonts w:eastAsiaTheme="minorEastAsia" w:cs="Calibri"/>
                <w:color w:val="000000"/>
                <w:szCs w:val="20"/>
                <w:lang w:eastAsia="en-AU"/>
              </w:rPr>
              <w:t>Operating cash flow surplus to revenue</w:t>
            </w:r>
          </w:p>
        </w:tc>
        <w:tc>
          <w:tcPr>
            <w:tcW w:w="907"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8.6</w:t>
            </w:r>
          </w:p>
        </w:tc>
        <w:tc>
          <w:tcPr>
            <w:tcW w:w="907"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7.6</w:t>
            </w:r>
          </w:p>
        </w:tc>
        <w:tc>
          <w:tcPr>
            <w:tcW w:w="907"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4.9</w:t>
            </w:r>
          </w:p>
        </w:tc>
        <w:tc>
          <w:tcPr>
            <w:tcW w:w="907"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10.0</w:t>
            </w:r>
          </w:p>
        </w:tc>
        <w:tc>
          <w:tcPr>
            <w:tcW w:w="907"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9.1</w:t>
            </w:r>
          </w:p>
        </w:tc>
        <w:tc>
          <w:tcPr>
            <w:tcW w:w="907"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11.7</w:t>
            </w:r>
          </w:p>
        </w:tc>
        <w:tc>
          <w:tcPr>
            <w:tcW w:w="907"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24.4</w:t>
            </w:r>
          </w:p>
        </w:tc>
      </w:tr>
      <w:tr w:rsidR="00BB6F1F" w:rsidRPr="00C93E08" w:rsidTr="00AC68FF">
        <w:tc>
          <w:tcPr>
            <w:cnfStyle w:val="001000000000" w:firstRow="0" w:lastRow="0" w:firstColumn="1" w:lastColumn="0" w:oddVBand="0" w:evenVBand="0" w:oddHBand="0" w:evenHBand="0" w:firstRowFirstColumn="0" w:firstRowLastColumn="0" w:lastRowFirstColumn="0" w:lastRowLastColumn="0"/>
            <w:tcW w:w="3288" w:type="dxa"/>
            <w:tcBorders>
              <w:top w:val="nil"/>
              <w:left w:val="nil"/>
              <w:bottom w:val="nil"/>
              <w:right w:val="nil"/>
            </w:tcBorders>
          </w:tcPr>
          <w:p w:rsidR="00BB6F1F" w:rsidRPr="00C93E08" w:rsidRDefault="00BB6F1F" w:rsidP="00AC68FF">
            <w:pPr>
              <w:keepLines w:val="0"/>
              <w:autoSpaceDE w:val="0"/>
              <w:autoSpaceDN w:val="0"/>
              <w:adjustRightInd w:val="0"/>
              <w:rPr>
                <w:rFonts w:eastAsiaTheme="minorEastAsia" w:cs="Calibri"/>
                <w:color w:val="000000"/>
                <w:szCs w:val="20"/>
                <w:vertAlign w:val="superscript"/>
                <w:lang w:eastAsia="en-AU"/>
              </w:rPr>
            </w:pPr>
            <w:r w:rsidRPr="00C93E08">
              <w:rPr>
                <w:rFonts w:eastAsiaTheme="minorEastAsia" w:cs="Calibri"/>
                <w:color w:val="000000"/>
                <w:szCs w:val="20"/>
                <w:lang w:eastAsia="en-AU"/>
              </w:rPr>
              <w:t xml:space="preserve">Gross debt to revenue </w:t>
            </w:r>
            <w:r w:rsidRPr="00C93E08">
              <w:rPr>
                <w:rFonts w:eastAsiaTheme="minorEastAsia" w:cs="Calibri"/>
                <w:color w:val="000000"/>
                <w:szCs w:val="20"/>
                <w:vertAlign w:val="superscript"/>
                <w:lang w:eastAsia="en-AU"/>
              </w:rPr>
              <w:t>(a)</w:t>
            </w:r>
          </w:p>
        </w:tc>
        <w:tc>
          <w:tcPr>
            <w:tcW w:w="907"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57.2</w:t>
            </w:r>
          </w:p>
        </w:tc>
        <w:tc>
          <w:tcPr>
            <w:tcW w:w="907"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66.5</w:t>
            </w:r>
          </w:p>
        </w:tc>
        <w:tc>
          <w:tcPr>
            <w:tcW w:w="907"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86.5</w:t>
            </w:r>
          </w:p>
        </w:tc>
        <w:tc>
          <w:tcPr>
            <w:tcW w:w="907"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81.5</w:t>
            </w:r>
          </w:p>
        </w:tc>
        <w:tc>
          <w:tcPr>
            <w:tcW w:w="907"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81.0</w:t>
            </w:r>
          </w:p>
        </w:tc>
        <w:tc>
          <w:tcPr>
            <w:tcW w:w="907"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76.8</w:t>
            </w:r>
          </w:p>
        </w:tc>
        <w:tc>
          <w:tcPr>
            <w:tcW w:w="907" w:type="dxa"/>
            <w:tcBorders>
              <w:top w:val="nil"/>
              <w:left w:val="nil"/>
              <w:bottom w:val="nil"/>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64.7</w:t>
            </w:r>
          </w:p>
        </w:tc>
      </w:tr>
      <w:tr w:rsidR="00BB6F1F" w:rsidRPr="00C93E08" w:rsidTr="00AC68FF">
        <w:tc>
          <w:tcPr>
            <w:cnfStyle w:val="001000000000" w:firstRow="0" w:lastRow="0" w:firstColumn="1" w:lastColumn="0" w:oddVBand="0" w:evenVBand="0" w:oddHBand="0" w:evenHBand="0" w:firstRowFirstColumn="0" w:firstRowLastColumn="0" w:lastRowFirstColumn="0" w:lastRowLastColumn="0"/>
            <w:tcW w:w="3288" w:type="dxa"/>
            <w:tcBorders>
              <w:top w:val="nil"/>
              <w:left w:val="nil"/>
              <w:bottom w:val="single" w:sz="12" w:space="0" w:color="auto"/>
              <w:right w:val="nil"/>
            </w:tcBorders>
          </w:tcPr>
          <w:p w:rsidR="00BB6F1F" w:rsidRPr="00C93E08" w:rsidRDefault="00BB6F1F" w:rsidP="00AC68FF">
            <w:pPr>
              <w:keepLines w:val="0"/>
              <w:autoSpaceDE w:val="0"/>
              <w:autoSpaceDN w:val="0"/>
              <w:adjustRightInd w:val="0"/>
              <w:rPr>
                <w:rFonts w:eastAsiaTheme="minorEastAsia" w:cs="Calibri"/>
                <w:color w:val="000000"/>
                <w:szCs w:val="20"/>
                <w:lang w:eastAsia="en-AU"/>
              </w:rPr>
            </w:pPr>
            <w:r w:rsidRPr="00C93E08">
              <w:rPr>
                <w:rFonts w:eastAsiaTheme="minorEastAsia" w:cs="Calibri"/>
                <w:color w:val="000000"/>
                <w:szCs w:val="20"/>
                <w:lang w:eastAsia="en-AU"/>
              </w:rPr>
              <w:t>Interest expense to revenue</w:t>
            </w:r>
          </w:p>
        </w:tc>
        <w:tc>
          <w:tcPr>
            <w:tcW w:w="907" w:type="dxa"/>
            <w:tcBorders>
              <w:top w:val="nil"/>
              <w:left w:val="nil"/>
              <w:bottom w:val="single" w:sz="12" w:space="0" w:color="auto"/>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3.3</w:t>
            </w:r>
          </w:p>
        </w:tc>
        <w:tc>
          <w:tcPr>
            <w:tcW w:w="907" w:type="dxa"/>
            <w:tcBorders>
              <w:top w:val="nil"/>
              <w:left w:val="nil"/>
              <w:bottom w:val="single" w:sz="12" w:space="0" w:color="auto"/>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3.8</w:t>
            </w:r>
          </w:p>
        </w:tc>
        <w:tc>
          <w:tcPr>
            <w:tcW w:w="907" w:type="dxa"/>
            <w:tcBorders>
              <w:top w:val="nil"/>
              <w:left w:val="nil"/>
              <w:bottom w:val="single" w:sz="12" w:space="0" w:color="auto"/>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4.8</w:t>
            </w:r>
          </w:p>
        </w:tc>
        <w:tc>
          <w:tcPr>
            <w:tcW w:w="907" w:type="dxa"/>
            <w:tcBorders>
              <w:top w:val="nil"/>
              <w:left w:val="nil"/>
              <w:bottom w:val="single" w:sz="12" w:space="0" w:color="auto"/>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w:t>
            </w:r>
          </w:p>
        </w:tc>
        <w:tc>
          <w:tcPr>
            <w:tcW w:w="907" w:type="dxa"/>
            <w:tcBorders>
              <w:top w:val="nil"/>
              <w:left w:val="nil"/>
              <w:bottom w:val="single" w:sz="12" w:space="0" w:color="auto"/>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4.9</w:t>
            </w:r>
          </w:p>
        </w:tc>
        <w:tc>
          <w:tcPr>
            <w:tcW w:w="907" w:type="dxa"/>
            <w:tcBorders>
              <w:top w:val="nil"/>
              <w:left w:val="nil"/>
              <w:bottom w:val="single" w:sz="12" w:space="0" w:color="auto"/>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4.4</w:t>
            </w:r>
          </w:p>
        </w:tc>
        <w:tc>
          <w:tcPr>
            <w:tcW w:w="907" w:type="dxa"/>
            <w:tcBorders>
              <w:top w:val="nil"/>
              <w:left w:val="nil"/>
              <w:bottom w:val="single" w:sz="12" w:space="0" w:color="auto"/>
              <w:right w:val="nil"/>
            </w:tcBorders>
            <w:shd w:val="solid" w:color="FFFFFF" w:fill="auto"/>
          </w:tcPr>
          <w:p w:rsidR="00BB6F1F" w:rsidRPr="00C93E0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w:t>
            </w:r>
          </w:p>
        </w:tc>
      </w:tr>
    </w:tbl>
    <w:p w:rsidR="00BB6F1F" w:rsidRDefault="00BB6F1F" w:rsidP="00AC68FF">
      <w:pPr>
        <w:pStyle w:val="Source"/>
      </w:pPr>
      <w:r>
        <w:t>Source: Department of Treasury and Finance</w:t>
      </w:r>
    </w:p>
    <w:p w:rsidR="00BB6F1F" w:rsidRDefault="00BB6F1F" w:rsidP="00AC68FF">
      <w:pPr>
        <w:pStyle w:val="Note"/>
      </w:pPr>
      <w:r>
        <w:t>Note:</w:t>
      </w:r>
    </w:p>
    <w:p w:rsidR="00BB6F1F" w:rsidRDefault="00BB6F1F" w:rsidP="00AC68FF">
      <w:pPr>
        <w:pStyle w:val="Note"/>
      </w:pPr>
      <w:r>
        <w:t>(a)</w:t>
      </w:r>
      <w:r>
        <w:tab/>
        <w:t>Gross debt comprises borrowings and deposits held and advances received.</w:t>
      </w:r>
    </w:p>
    <w:p w:rsidR="00BB6F1F" w:rsidRPr="007B4E37" w:rsidRDefault="00BB6F1F" w:rsidP="00AC68FF"/>
    <w:p w:rsidR="00BB6F1F" w:rsidRDefault="00BB6F1F">
      <w:pPr>
        <w:keepLines w:val="0"/>
      </w:pPr>
      <w:r>
        <w:br w:type="page"/>
      </w:r>
    </w:p>
    <w:p w:rsidR="00BB6F1F" w:rsidRDefault="00BB6F1F" w:rsidP="00AC68FF">
      <w:pPr>
        <w:keepLines w:val="0"/>
      </w:pPr>
    </w:p>
    <w:p w:rsidR="00BB6F1F" w:rsidRDefault="00BB6F1F" w:rsidP="00AC68FF">
      <w:pPr>
        <w:keepLines w:val="0"/>
        <w:sectPr w:rsidR="00BB6F1F" w:rsidSect="00AC68FF">
          <w:type w:val="continuous"/>
          <w:pgSz w:w="11906" w:h="16838" w:code="9"/>
          <w:pgMar w:top="1134" w:right="1134" w:bottom="1134" w:left="1134" w:header="624" w:footer="567" w:gutter="0"/>
          <w:cols w:sep="1" w:space="567"/>
          <w:docGrid w:linePitch="360"/>
        </w:sectPr>
      </w:pPr>
    </w:p>
    <w:p w:rsidR="00BB6F1F" w:rsidRDefault="00BB6F1F" w:rsidP="00BB6F1F">
      <w:pPr>
        <w:sectPr w:rsidR="00BB6F1F" w:rsidSect="00A46F1A">
          <w:footerReference w:type="default" r:id="rId32"/>
          <w:type w:val="continuous"/>
          <w:pgSz w:w="11907" w:h="16839" w:code="9"/>
          <w:pgMar w:top="1134" w:right="1134" w:bottom="1134" w:left="1134" w:header="624" w:footer="567" w:gutter="0"/>
          <w:cols w:space="567"/>
          <w:docGrid w:linePitch="360"/>
        </w:sectPr>
      </w:pPr>
    </w:p>
    <w:p w:rsidR="00BB6F1F" w:rsidRDefault="00BB6F1F" w:rsidP="000C43CD">
      <w:pPr>
        <w:pStyle w:val="Chapterheading"/>
      </w:pPr>
      <w:bookmarkStart w:id="3" w:name="_Toc492985871"/>
      <w:r>
        <w:lastRenderedPageBreak/>
        <w:t>Chapter 4 – Annual Financial Report</w:t>
      </w:r>
      <w:bookmarkEnd w:id="3"/>
    </w:p>
    <w:p w:rsidR="00BB6F1F" w:rsidRDefault="00BB6F1F" w:rsidP="00A171DC"/>
    <w:p w:rsidR="00BB6F1F" w:rsidRDefault="00BB6F1F" w:rsidP="00A171DC"/>
    <w:p w:rsidR="00BB6F1F" w:rsidRDefault="00BB6F1F" w:rsidP="00A171DC"/>
    <w:p w:rsidR="00BB6F1F" w:rsidRDefault="00BB6F1F" w:rsidP="00A171DC">
      <w:r>
        <w:br w:type="page"/>
      </w:r>
    </w:p>
    <w:p w:rsidR="00BB6F1F" w:rsidRDefault="00BB6F1F">
      <w:pPr>
        <w:keepLines w:val="0"/>
      </w:pPr>
    </w:p>
    <w:p w:rsidR="00BB6F1F" w:rsidRDefault="00BB6F1F">
      <w:pPr>
        <w:keepLines w:val="0"/>
      </w:pPr>
    </w:p>
    <w:p w:rsidR="00BB6F1F" w:rsidRDefault="00BB6F1F">
      <w:pPr>
        <w:keepLines w:val="0"/>
        <w:sectPr w:rsidR="00BB6F1F" w:rsidSect="00AC68FF">
          <w:headerReference w:type="even" r:id="rId33"/>
          <w:headerReference w:type="default" r:id="rId34"/>
          <w:footerReference w:type="even" r:id="rId35"/>
          <w:footerReference w:type="default" r:id="rId36"/>
          <w:headerReference w:type="first" r:id="rId37"/>
          <w:footerReference w:type="first" r:id="rId38"/>
          <w:type w:val="continuous"/>
          <w:pgSz w:w="11907" w:h="16839" w:code="9"/>
          <w:pgMar w:top="1134" w:right="1134" w:bottom="1134" w:left="1134" w:header="624" w:footer="567" w:gutter="0"/>
          <w:cols w:sep="1" w:space="567"/>
          <w:docGrid w:linePitch="360"/>
        </w:sectPr>
      </w:pPr>
    </w:p>
    <w:p w:rsidR="00BB6F1F" w:rsidRDefault="00BB6F1F" w:rsidP="00AC68FF">
      <w:pPr>
        <w:pStyle w:val="Heading10"/>
        <w:spacing w:before="0"/>
      </w:pPr>
      <w:r>
        <w:lastRenderedPageBreak/>
        <w:t xml:space="preserve">REPORT </w:t>
      </w:r>
      <w:r w:rsidRPr="00995105">
        <w:t>STRUCTURE</w:t>
      </w:r>
    </w:p>
    <w:p w:rsidR="00BB6F1F" w:rsidRDefault="00BB6F1F" w:rsidP="00AC68FF">
      <w:pPr>
        <w:keepLines w:val="0"/>
      </w:pPr>
      <w:r>
        <w:t>The Treasurer of Victoria presents the Annual Financial Report of the State of Victoria (“State”) for the financial year ended 30 June 2017, as follows:</w:t>
      </w:r>
    </w:p>
    <w:p w:rsidR="00BB6F1F" w:rsidRDefault="00BB6F1F" w:rsidP="00AC68FF">
      <w:pPr>
        <w:keepLines w:val="0"/>
      </w:pPr>
    </w:p>
    <w:tbl>
      <w:tblPr>
        <w:tblStyle w:val="TableGrid20"/>
        <w:tblW w:w="9747" w:type="dxa"/>
        <w:tblLook w:val="04A0" w:firstRow="1" w:lastRow="0" w:firstColumn="1" w:lastColumn="0" w:noHBand="0" w:noVBand="1"/>
      </w:tblPr>
      <w:tblGrid>
        <w:gridCol w:w="1526"/>
        <w:gridCol w:w="6804"/>
        <w:gridCol w:w="283"/>
        <w:gridCol w:w="1134"/>
      </w:tblGrid>
      <w:tr w:rsidR="00BB6F1F" w:rsidRPr="001A6C82" w:rsidTr="00AC68FF">
        <w:trPr>
          <w:trHeight w:val="368"/>
        </w:trPr>
        <w:tc>
          <w:tcPr>
            <w:tcW w:w="1526" w:type="dxa"/>
            <w:vMerge w:val="restart"/>
            <w:tcBorders>
              <w:top w:val="single" w:sz="6" w:space="0" w:color="auto"/>
              <w:left w:val="nil"/>
              <w:right w:val="nil"/>
            </w:tcBorders>
          </w:tcPr>
          <w:p w:rsidR="00BB6F1F" w:rsidRPr="001E477F" w:rsidRDefault="00BB6F1F" w:rsidP="00AC68FF">
            <w:pPr>
              <w:rPr>
                <w:rFonts w:ascii="Calibri" w:eastAsia="Calibri" w:hAnsi="Calibri" w:cs="Times New Roman"/>
                <w:b/>
                <w:sz w:val="20"/>
                <w:szCs w:val="20"/>
              </w:rPr>
            </w:pPr>
            <w:r w:rsidRPr="001E477F">
              <w:rPr>
                <w:rFonts w:ascii="Calibri" w:eastAsia="Calibri" w:hAnsi="Calibri" w:cs="Times New Roman"/>
                <w:b/>
                <w:sz w:val="20"/>
                <w:szCs w:val="20"/>
              </w:rPr>
              <w:t>Report Certifications</w:t>
            </w:r>
          </w:p>
        </w:tc>
        <w:tc>
          <w:tcPr>
            <w:tcW w:w="6804" w:type="dxa"/>
            <w:tcBorders>
              <w:top w:val="single" w:sz="6" w:space="0" w:color="auto"/>
              <w:left w:val="nil"/>
              <w:bottom w:val="nil"/>
              <w:right w:val="nil"/>
            </w:tcBorders>
          </w:tcPr>
          <w:p w:rsidR="00BB6F1F" w:rsidRPr="001A6C82" w:rsidRDefault="00BB6F1F" w:rsidP="00AC68FF">
            <w:pPr>
              <w:spacing w:line="360" w:lineRule="auto"/>
              <w:rPr>
                <w:rFonts w:ascii="Calibri" w:eastAsia="Calibri" w:hAnsi="Calibri" w:cs="Times New Roman"/>
                <w:sz w:val="20"/>
                <w:szCs w:val="20"/>
              </w:rPr>
            </w:pPr>
            <w:r>
              <w:rPr>
                <w:rFonts w:ascii="Calibri" w:eastAsia="Calibri" w:hAnsi="Calibri" w:cs="Times New Roman"/>
                <w:sz w:val="20"/>
                <w:szCs w:val="20"/>
              </w:rPr>
              <w:t>Report of the Auditor-General</w:t>
            </w:r>
          </w:p>
        </w:tc>
        <w:tc>
          <w:tcPr>
            <w:tcW w:w="1417" w:type="dxa"/>
            <w:gridSpan w:val="2"/>
            <w:tcBorders>
              <w:top w:val="single" w:sz="6" w:space="0" w:color="auto"/>
              <w:left w:val="nil"/>
              <w:bottom w:val="nil"/>
              <w:right w:val="nil"/>
            </w:tcBorders>
          </w:tcPr>
          <w:p w:rsidR="00BB6F1F" w:rsidRDefault="00BB6F1F"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AG_Report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C7F26">
              <w:rPr>
                <w:rFonts w:ascii="Calibri" w:eastAsia="Calibri" w:hAnsi="Calibri" w:cs="Times New Roman"/>
                <w:noProof/>
                <w:sz w:val="20"/>
                <w:szCs w:val="20"/>
              </w:rPr>
              <w:t>25</w:t>
            </w:r>
            <w:r>
              <w:rPr>
                <w:rFonts w:ascii="Calibri" w:eastAsia="Calibri" w:hAnsi="Calibri" w:cs="Times New Roman"/>
                <w:sz w:val="20"/>
                <w:szCs w:val="20"/>
              </w:rPr>
              <w:fldChar w:fldCharType="end"/>
            </w:r>
          </w:p>
        </w:tc>
      </w:tr>
      <w:tr w:rsidR="00BB6F1F" w:rsidRPr="001A6C82" w:rsidTr="00AC68FF">
        <w:trPr>
          <w:trHeight w:val="367"/>
        </w:trPr>
        <w:tc>
          <w:tcPr>
            <w:tcW w:w="1526" w:type="dxa"/>
            <w:vMerge/>
            <w:tcBorders>
              <w:left w:val="nil"/>
              <w:bottom w:val="nil"/>
              <w:right w:val="nil"/>
            </w:tcBorders>
          </w:tcPr>
          <w:p w:rsidR="00BB6F1F" w:rsidRPr="001E477F" w:rsidRDefault="00BB6F1F" w:rsidP="00AC68FF">
            <w:pPr>
              <w:rPr>
                <w:rFonts w:ascii="Calibri" w:eastAsia="Calibri" w:hAnsi="Calibri" w:cs="Times New Roman"/>
                <w:b/>
                <w:sz w:val="20"/>
                <w:szCs w:val="20"/>
              </w:rPr>
            </w:pPr>
          </w:p>
        </w:tc>
        <w:tc>
          <w:tcPr>
            <w:tcW w:w="6804" w:type="dxa"/>
            <w:tcBorders>
              <w:top w:val="nil"/>
              <w:left w:val="nil"/>
              <w:bottom w:val="single" w:sz="6" w:space="0" w:color="auto"/>
              <w:right w:val="nil"/>
            </w:tcBorders>
          </w:tcPr>
          <w:p w:rsidR="00BB6F1F" w:rsidRDefault="00BB6F1F" w:rsidP="00AC68FF">
            <w:pPr>
              <w:spacing w:line="360" w:lineRule="auto"/>
              <w:rPr>
                <w:rFonts w:ascii="Calibri" w:eastAsia="Calibri" w:hAnsi="Calibri" w:cs="Times New Roman"/>
                <w:sz w:val="20"/>
                <w:szCs w:val="20"/>
              </w:rPr>
            </w:pPr>
            <w:r>
              <w:rPr>
                <w:rFonts w:ascii="Calibri" w:eastAsia="Calibri" w:hAnsi="Calibri" w:cs="Times New Roman"/>
                <w:sz w:val="20"/>
                <w:szCs w:val="20"/>
              </w:rPr>
              <w:t>Certification by the Treasurer and the Department of Treasury and Finance</w:t>
            </w:r>
          </w:p>
        </w:tc>
        <w:tc>
          <w:tcPr>
            <w:tcW w:w="1417" w:type="dxa"/>
            <w:gridSpan w:val="2"/>
            <w:tcBorders>
              <w:top w:val="nil"/>
              <w:left w:val="nil"/>
              <w:bottom w:val="single" w:sz="6" w:space="0" w:color="auto"/>
              <w:right w:val="nil"/>
            </w:tcBorders>
          </w:tcPr>
          <w:p w:rsidR="00BB6F1F" w:rsidRDefault="00BB6F1F"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Certification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C7F26">
              <w:rPr>
                <w:rFonts w:ascii="Calibri" w:eastAsia="Calibri" w:hAnsi="Calibri" w:cs="Times New Roman"/>
                <w:noProof/>
                <w:sz w:val="20"/>
                <w:szCs w:val="20"/>
              </w:rPr>
              <w:t>29</w:t>
            </w:r>
            <w:r>
              <w:rPr>
                <w:rFonts w:ascii="Calibri" w:eastAsia="Calibri" w:hAnsi="Calibri" w:cs="Times New Roman"/>
                <w:sz w:val="20"/>
                <w:szCs w:val="20"/>
              </w:rPr>
              <w:fldChar w:fldCharType="end"/>
            </w:r>
          </w:p>
        </w:tc>
      </w:tr>
      <w:tr w:rsidR="00BB6F1F" w:rsidRPr="001A6C82" w:rsidTr="00AC68FF">
        <w:tc>
          <w:tcPr>
            <w:tcW w:w="1526" w:type="dxa"/>
            <w:vMerge w:val="restart"/>
            <w:tcBorders>
              <w:top w:val="single" w:sz="6" w:space="0" w:color="auto"/>
              <w:left w:val="nil"/>
              <w:bottom w:val="nil"/>
              <w:right w:val="nil"/>
            </w:tcBorders>
          </w:tcPr>
          <w:p w:rsidR="00BB6F1F" w:rsidRPr="001A6C82" w:rsidRDefault="00BB6F1F" w:rsidP="00AC68FF">
            <w:pPr>
              <w:rPr>
                <w:rFonts w:ascii="Calibri" w:eastAsia="Calibri" w:hAnsi="Calibri" w:cs="Times New Roman"/>
                <w:b/>
                <w:sz w:val="20"/>
                <w:szCs w:val="20"/>
              </w:rPr>
            </w:pPr>
            <w:r w:rsidRPr="00CD30CD">
              <w:rPr>
                <w:rFonts w:ascii="Calibri" w:eastAsia="Calibri" w:hAnsi="Calibri" w:cs="Times New Roman"/>
                <w:b/>
                <w:sz w:val="20"/>
                <w:szCs w:val="20"/>
              </w:rPr>
              <w:t>Financial</w:t>
            </w:r>
            <w:r w:rsidRPr="001A6C82">
              <w:rPr>
                <w:rFonts w:ascii="Calibri" w:eastAsia="Calibri" w:hAnsi="Calibri" w:cs="Times New Roman"/>
                <w:b/>
                <w:sz w:val="20"/>
                <w:szCs w:val="20"/>
              </w:rPr>
              <w:t xml:space="preserve"> </w:t>
            </w:r>
          </w:p>
          <w:p w:rsidR="00BB6F1F" w:rsidRPr="001A6C82" w:rsidRDefault="00BB6F1F" w:rsidP="00AC68FF">
            <w:pPr>
              <w:rPr>
                <w:rFonts w:ascii="Calibri" w:eastAsia="Calibri" w:hAnsi="Calibri" w:cs="Times New Roman"/>
                <w:b/>
                <w:sz w:val="20"/>
                <w:szCs w:val="20"/>
              </w:rPr>
            </w:pPr>
            <w:r w:rsidRPr="001A6C82">
              <w:rPr>
                <w:rFonts w:ascii="Calibri" w:eastAsia="Calibri" w:hAnsi="Calibri" w:cs="Times New Roman"/>
                <w:b/>
                <w:sz w:val="20"/>
                <w:szCs w:val="20"/>
              </w:rPr>
              <w:t>statements</w:t>
            </w:r>
          </w:p>
        </w:tc>
        <w:tc>
          <w:tcPr>
            <w:tcW w:w="6804" w:type="dxa"/>
            <w:tcBorders>
              <w:top w:val="single" w:sz="6" w:space="0" w:color="auto"/>
              <w:left w:val="nil"/>
              <w:bottom w:val="nil"/>
              <w:right w:val="nil"/>
            </w:tcBorders>
          </w:tcPr>
          <w:p w:rsidR="00BB6F1F" w:rsidRPr="001A6C82" w:rsidRDefault="00BB6F1F" w:rsidP="00AC68FF">
            <w:pPr>
              <w:spacing w:line="360" w:lineRule="auto"/>
              <w:rPr>
                <w:rFonts w:ascii="Calibri" w:eastAsia="Calibri" w:hAnsi="Calibri" w:cs="Times New Roman"/>
                <w:sz w:val="20"/>
                <w:szCs w:val="20"/>
              </w:rPr>
            </w:pPr>
            <w:r w:rsidRPr="001A6C82">
              <w:rPr>
                <w:rFonts w:ascii="Calibri" w:eastAsia="Calibri" w:hAnsi="Calibri" w:cs="Times New Roman"/>
                <w:sz w:val="20"/>
                <w:szCs w:val="20"/>
              </w:rPr>
              <w:t>C</w:t>
            </w:r>
            <w:r>
              <w:rPr>
                <w:rFonts w:ascii="Calibri" w:eastAsia="Calibri" w:hAnsi="Calibri" w:cs="Times New Roman"/>
                <w:sz w:val="20"/>
                <w:szCs w:val="20"/>
              </w:rPr>
              <w:t>onsolidated comprehensive operating</w:t>
            </w:r>
            <w:r w:rsidRPr="001A6C82">
              <w:rPr>
                <w:rFonts w:ascii="Calibri" w:eastAsia="Calibri" w:hAnsi="Calibri" w:cs="Times New Roman"/>
                <w:sz w:val="20"/>
                <w:szCs w:val="20"/>
              </w:rPr>
              <w:t xml:space="preserve"> statement</w:t>
            </w:r>
          </w:p>
        </w:tc>
        <w:tc>
          <w:tcPr>
            <w:tcW w:w="1417" w:type="dxa"/>
            <w:gridSpan w:val="2"/>
            <w:tcBorders>
              <w:top w:val="single" w:sz="6" w:space="0" w:color="auto"/>
              <w:left w:val="nil"/>
              <w:bottom w:val="nil"/>
              <w:right w:val="nil"/>
            </w:tcBorders>
          </w:tcPr>
          <w:p w:rsidR="00BB6F1F" w:rsidRPr="001A6C82" w:rsidRDefault="00BB6F1F"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Consolidated_OS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C7F26">
              <w:rPr>
                <w:rFonts w:ascii="Calibri" w:eastAsia="Calibri" w:hAnsi="Calibri" w:cs="Times New Roman"/>
                <w:noProof/>
                <w:sz w:val="20"/>
                <w:szCs w:val="20"/>
              </w:rPr>
              <w:t>30</w:t>
            </w:r>
            <w:r>
              <w:rPr>
                <w:rFonts w:ascii="Calibri" w:eastAsia="Calibri" w:hAnsi="Calibri" w:cs="Times New Roman"/>
                <w:sz w:val="20"/>
                <w:szCs w:val="20"/>
              </w:rPr>
              <w:fldChar w:fldCharType="end"/>
            </w:r>
          </w:p>
        </w:tc>
      </w:tr>
      <w:tr w:rsidR="00BB6F1F" w:rsidRPr="001A6C82" w:rsidTr="00AC68FF">
        <w:tc>
          <w:tcPr>
            <w:tcW w:w="1526" w:type="dxa"/>
            <w:vMerge/>
            <w:tcBorders>
              <w:top w:val="nil"/>
              <w:left w:val="nil"/>
              <w:bottom w:val="nil"/>
              <w:right w:val="nil"/>
            </w:tcBorders>
          </w:tcPr>
          <w:p w:rsidR="00BB6F1F" w:rsidRPr="001A6C82" w:rsidRDefault="00BB6F1F" w:rsidP="00AC68FF">
            <w:pPr>
              <w:rPr>
                <w:rFonts w:ascii="Calibri" w:eastAsia="Calibri" w:hAnsi="Calibri" w:cs="Times New Roman"/>
                <w:b/>
                <w:sz w:val="20"/>
                <w:szCs w:val="20"/>
              </w:rPr>
            </w:pPr>
          </w:p>
        </w:tc>
        <w:tc>
          <w:tcPr>
            <w:tcW w:w="6804" w:type="dxa"/>
            <w:tcBorders>
              <w:top w:val="nil"/>
              <w:left w:val="nil"/>
              <w:bottom w:val="nil"/>
              <w:right w:val="nil"/>
            </w:tcBorders>
          </w:tcPr>
          <w:p w:rsidR="00BB6F1F" w:rsidRPr="001A6C82" w:rsidRDefault="00BB6F1F" w:rsidP="00AC68FF">
            <w:pPr>
              <w:spacing w:line="360" w:lineRule="auto"/>
              <w:rPr>
                <w:rFonts w:ascii="Calibri" w:eastAsia="Calibri" w:hAnsi="Calibri" w:cs="Times New Roman"/>
                <w:sz w:val="20"/>
                <w:szCs w:val="20"/>
              </w:rPr>
            </w:pPr>
            <w:r w:rsidRPr="001A6C82">
              <w:rPr>
                <w:rFonts w:ascii="Calibri" w:eastAsia="Calibri" w:hAnsi="Calibri" w:cs="Times New Roman"/>
                <w:sz w:val="20"/>
                <w:szCs w:val="20"/>
              </w:rPr>
              <w:t>Consolidated balance sheet</w:t>
            </w:r>
          </w:p>
        </w:tc>
        <w:tc>
          <w:tcPr>
            <w:tcW w:w="1417" w:type="dxa"/>
            <w:gridSpan w:val="2"/>
            <w:tcBorders>
              <w:top w:val="nil"/>
              <w:left w:val="nil"/>
              <w:bottom w:val="nil"/>
              <w:right w:val="nil"/>
            </w:tcBorders>
          </w:tcPr>
          <w:p w:rsidR="00BB6F1F" w:rsidRPr="001A6C82" w:rsidRDefault="00BB6F1F"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Consolidated_BS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C7F26">
              <w:rPr>
                <w:rFonts w:ascii="Calibri" w:eastAsia="Calibri" w:hAnsi="Calibri" w:cs="Times New Roman"/>
                <w:noProof/>
                <w:sz w:val="20"/>
                <w:szCs w:val="20"/>
              </w:rPr>
              <w:t>31</w:t>
            </w:r>
            <w:r>
              <w:rPr>
                <w:rFonts w:ascii="Calibri" w:eastAsia="Calibri" w:hAnsi="Calibri" w:cs="Times New Roman"/>
                <w:sz w:val="20"/>
                <w:szCs w:val="20"/>
              </w:rPr>
              <w:fldChar w:fldCharType="end"/>
            </w:r>
          </w:p>
        </w:tc>
      </w:tr>
      <w:tr w:rsidR="00BB6F1F" w:rsidRPr="001A6C82" w:rsidTr="00AC68FF">
        <w:tc>
          <w:tcPr>
            <w:tcW w:w="1526" w:type="dxa"/>
            <w:vMerge/>
            <w:tcBorders>
              <w:top w:val="nil"/>
              <w:left w:val="nil"/>
              <w:bottom w:val="nil"/>
              <w:right w:val="nil"/>
            </w:tcBorders>
          </w:tcPr>
          <w:p w:rsidR="00BB6F1F" w:rsidRPr="001A6C82" w:rsidRDefault="00BB6F1F" w:rsidP="00AC68FF">
            <w:pPr>
              <w:rPr>
                <w:rFonts w:ascii="Calibri" w:eastAsia="Calibri" w:hAnsi="Calibri" w:cs="Times New Roman"/>
                <w:b/>
                <w:sz w:val="20"/>
                <w:szCs w:val="20"/>
              </w:rPr>
            </w:pPr>
          </w:p>
        </w:tc>
        <w:tc>
          <w:tcPr>
            <w:tcW w:w="6804" w:type="dxa"/>
            <w:tcBorders>
              <w:top w:val="nil"/>
              <w:left w:val="nil"/>
              <w:bottom w:val="nil"/>
              <w:right w:val="nil"/>
            </w:tcBorders>
          </w:tcPr>
          <w:p w:rsidR="00BB6F1F" w:rsidRPr="001A6C82" w:rsidRDefault="00BB6F1F" w:rsidP="00AC68FF">
            <w:pPr>
              <w:spacing w:line="360" w:lineRule="auto"/>
              <w:rPr>
                <w:rFonts w:ascii="Calibri" w:eastAsia="Calibri" w:hAnsi="Calibri" w:cs="Times New Roman"/>
                <w:sz w:val="20"/>
                <w:szCs w:val="20"/>
              </w:rPr>
            </w:pPr>
            <w:r w:rsidRPr="001A6C82">
              <w:rPr>
                <w:rFonts w:ascii="Calibri" w:eastAsia="Calibri" w:hAnsi="Calibri" w:cs="Times New Roman"/>
                <w:sz w:val="20"/>
                <w:szCs w:val="20"/>
              </w:rPr>
              <w:t>Consolidated cash flow statement</w:t>
            </w:r>
          </w:p>
        </w:tc>
        <w:tc>
          <w:tcPr>
            <w:tcW w:w="1417" w:type="dxa"/>
            <w:gridSpan w:val="2"/>
            <w:tcBorders>
              <w:top w:val="nil"/>
              <w:left w:val="nil"/>
              <w:bottom w:val="nil"/>
              <w:right w:val="nil"/>
            </w:tcBorders>
          </w:tcPr>
          <w:p w:rsidR="00BB6F1F" w:rsidRPr="001A6C82" w:rsidRDefault="00BB6F1F"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Consolidated_CF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C7F26">
              <w:rPr>
                <w:rFonts w:ascii="Calibri" w:eastAsia="Calibri" w:hAnsi="Calibri" w:cs="Times New Roman"/>
                <w:noProof/>
                <w:sz w:val="20"/>
                <w:szCs w:val="20"/>
              </w:rPr>
              <w:t>32</w:t>
            </w:r>
            <w:r>
              <w:rPr>
                <w:rFonts w:ascii="Calibri" w:eastAsia="Calibri" w:hAnsi="Calibri" w:cs="Times New Roman"/>
                <w:sz w:val="20"/>
                <w:szCs w:val="20"/>
              </w:rPr>
              <w:fldChar w:fldCharType="end"/>
            </w:r>
          </w:p>
        </w:tc>
      </w:tr>
      <w:tr w:rsidR="00BB6F1F" w:rsidRPr="001A6C82" w:rsidTr="00AC68FF">
        <w:trPr>
          <w:trHeight w:val="70"/>
        </w:trPr>
        <w:tc>
          <w:tcPr>
            <w:tcW w:w="1526" w:type="dxa"/>
            <w:vMerge/>
            <w:tcBorders>
              <w:top w:val="nil"/>
              <w:left w:val="nil"/>
              <w:bottom w:val="single" w:sz="6" w:space="0" w:color="auto"/>
              <w:right w:val="nil"/>
            </w:tcBorders>
          </w:tcPr>
          <w:p w:rsidR="00BB6F1F" w:rsidRPr="001A6C82" w:rsidRDefault="00BB6F1F" w:rsidP="00AC68FF">
            <w:pPr>
              <w:rPr>
                <w:rFonts w:ascii="Calibri" w:eastAsia="Calibri" w:hAnsi="Calibri" w:cs="Times New Roman"/>
                <w:b/>
                <w:sz w:val="20"/>
                <w:szCs w:val="20"/>
              </w:rPr>
            </w:pPr>
          </w:p>
        </w:tc>
        <w:tc>
          <w:tcPr>
            <w:tcW w:w="6804" w:type="dxa"/>
            <w:tcBorders>
              <w:top w:val="nil"/>
              <w:left w:val="nil"/>
              <w:bottom w:val="single" w:sz="6" w:space="0" w:color="auto"/>
              <w:right w:val="nil"/>
            </w:tcBorders>
          </w:tcPr>
          <w:p w:rsidR="00BB6F1F" w:rsidRPr="001A6C82" w:rsidRDefault="00BB6F1F" w:rsidP="00AC68FF">
            <w:pPr>
              <w:spacing w:line="360" w:lineRule="auto"/>
              <w:rPr>
                <w:rFonts w:ascii="Calibri" w:eastAsia="Calibri" w:hAnsi="Calibri" w:cs="Times New Roman"/>
                <w:sz w:val="20"/>
                <w:szCs w:val="20"/>
              </w:rPr>
            </w:pPr>
            <w:r w:rsidRPr="001A6C82">
              <w:rPr>
                <w:rFonts w:ascii="Calibri" w:eastAsia="Calibri" w:hAnsi="Calibri" w:cs="Times New Roman"/>
                <w:sz w:val="20"/>
                <w:szCs w:val="20"/>
              </w:rPr>
              <w:t>Consolidated statement of changes in equity</w:t>
            </w:r>
          </w:p>
        </w:tc>
        <w:tc>
          <w:tcPr>
            <w:tcW w:w="1417" w:type="dxa"/>
            <w:gridSpan w:val="2"/>
            <w:tcBorders>
              <w:top w:val="nil"/>
              <w:left w:val="nil"/>
              <w:bottom w:val="single" w:sz="6" w:space="0" w:color="auto"/>
              <w:right w:val="nil"/>
            </w:tcBorders>
          </w:tcPr>
          <w:p w:rsidR="00BB6F1F" w:rsidRPr="001A6C82" w:rsidRDefault="00BB6F1F"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Consolidated_SOCIE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C7F26">
              <w:rPr>
                <w:rFonts w:ascii="Calibri" w:eastAsia="Calibri" w:hAnsi="Calibri" w:cs="Times New Roman"/>
                <w:noProof/>
                <w:sz w:val="20"/>
                <w:szCs w:val="20"/>
              </w:rPr>
              <w:t>33</w:t>
            </w:r>
            <w:r>
              <w:rPr>
                <w:rFonts w:ascii="Calibri" w:eastAsia="Calibri" w:hAnsi="Calibri" w:cs="Times New Roman"/>
                <w:sz w:val="20"/>
                <w:szCs w:val="20"/>
              </w:rPr>
              <w:fldChar w:fldCharType="end"/>
            </w:r>
          </w:p>
        </w:tc>
      </w:tr>
      <w:tr w:rsidR="00BB6F1F" w:rsidRPr="001A6C82" w:rsidTr="00AC68FF">
        <w:tc>
          <w:tcPr>
            <w:tcW w:w="1526" w:type="dxa"/>
            <w:vMerge w:val="restart"/>
            <w:tcBorders>
              <w:top w:val="single" w:sz="6" w:space="0" w:color="auto"/>
              <w:left w:val="nil"/>
              <w:bottom w:val="nil"/>
              <w:right w:val="nil"/>
            </w:tcBorders>
          </w:tcPr>
          <w:p w:rsidR="00BB6F1F" w:rsidRPr="001A6C82" w:rsidRDefault="00BB6F1F" w:rsidP="00AC68FF">
            <w:pPr>
              <w:rPr>
                <w:rFonts w:ascii="Calibri" w:eastAsia="Calibri" w:hAnsi="Calibri" w:cs="Times New Roman"/>
                <w:b/>
                <w:sz w:val="20"/>
                <w:szCs w:val="20"/>
              </w:rPr>
            </w:pPr>
            <w:r w:rsidRPr="001A6C82">
              <w:rPr>
                <w:rFonts w:ascii="Calibri" w:eastAsia="Calibri" w:hAnsi="Calibri" w:cs="Times New Roman"/>
                <w:b/>
                <w:sz w:val="20"/>
                <w:szCs w:val="20"/>
              </w:rPr>
              <w:t>Notes to the</w:t>
            </w:r>
          </w:p>
          <w:p w:rsidR="00BB6F1F" w:rsidRPr="001A6C82" w:rsidRDefault="00BB6F1F" w:rsidP="00AC68FF">
            <w:pPr>
              <w:rPr>
                <w:rFonts w:ascii="Calibri" w:eastAsia="Calibri" w:hAnsi="Calibri" w:cs="Times New Roman"/>
                <w:b/>
                <w:sz w:val="20"/>
                <w:szCs w:val="20"/>
              </w:rPr>
            </w:pPr>
            <w:r w:rsidRPr="001A6C82">
              <w:rPr>
                <w:rFonts w:ascii="Calibri" w:eastAsia="Calibri" w:hAnsi="Calibri" w:cs="Times New Roman"/>
                <w:b/>
                <w:sz w:val="20"/>
                <w:szCs w:val="20"/>
              </w:rPr>
              <w:t xml:space="preserve">financial </w:t>
            </w:r>
          </w:p>
          <w:p w:rsidR="00BB6F1F" w:rsidRPr="001A6C82" w:rsidRDefault="00BB6F1F" w:rsidP="00AC68FF">
            <w:pPr>
              <w:rPr>
                <w:rFonts w:ascii="Calibri" w:eastAsia="Calibri" w:hAnsi="Calibri" w:cs="Times New Roman"/>
                <w:b/>
                <w:sz w:val="20"/>
                <w:szCs w:val="20"/>
              </w:rPr>
            </w:pPr>
            <w:r w:rsidRPr="001A6C82">
              <w:rPr>
                <w:rFonts w:ascii="Calibri" w:eastAsia="Calibri" w:hAnsi="Calibri" w:cs="Times New Roman"/>
                <w:b/>
                <w:sz w:val="20"/>
                <w:szCs w:val="20"/>
              </w:rPr>
              <w:t>statements</w:t>
            </w:r>
          </w:p>
        </w:tc>
        <w:tc>
          <w:tcPr>
            <w:tcW w:w="6804" w:type="dxa"/>
            <w:tcBorders>
              <w:top w:val="single" w:sz="6" w:space="0" w:color="auto"/>
              <w:left w:val="nil"/>
              <w:bottom w:val="nil"/>
              <w:right w:val="nil"/>
            </w:tcBorders>
            <w:shd w:val="clear" w:color="auto" w:fill="D9D9D9" w:themeFill="background1" w:themeFillShade="D9"/>
          </w:tcPr>
          <w:p w:rsidR="00BB6F1F" w:rsidRPr="00C14036" w:rsidRDefault="00BB6F1F" w:rsidP="00AC68FF">
            <w:pPr>
              <w:spacing w:before="60" w:after="60"/>
              <w:rPr>
                <w:rFonts w:ascii="Calibri" w:eastAsia="Calibri" w:hAnsi="Calibri" w:cs="Times New Roman"/>
                <w:b/>
                <w:sz w:val="20"/>
                <w:szCs w:val="20"/>
              </w:rPr>
            </w:pPr>
            <w:r>
              <w:rPr>
                <w:rFonts w:ascii="Calibri" w:eastAsia="Calibri" w:hAnsi="Calibri" w:cs="Times New Roman"/>
                <w:b/>
                <w:sz w:val="20"/>
                <w:szCs w:val="20"/>
              </w:rPr>
              <w:t xml:space="preserve">1. </w:t>
            </w:r>
            <w:r w:rsidRPr="00C14036">
              <w:rPr>
                <w:rFonts w:ascii="Calibri" w:eastAsia="Calibri" w:hAnsi="Calibri" w:cs="Times New Roman"/>
                <w:b/>
                <w:sz w:val="20"/>
                <w:szCs w:val="20"/>
              </w:rPr>
              <w:t>About this report</w:t>
            </w:r>
          </w:p>
        </w:tc>
        <w:tc>
          <w:tcPr>
            <w:tcW w:w="1417" w:type="dxa"/>
            <w:gridSpan w:val="2"/>
            <w:tcBorders>
              <w:top w:val="single" w:sz="6" w:space="0" w:color="auto"/>
              <w:left w:val="nil"/>
              <w:bottom w:val="nil"/>
              <w:right w:val="nil"/>
            </w:tcBorders>
            <w:shd w:val="clear" w:color="auto" w:fill="D9D9D9" w:themeFill="background1" w:themeFillShade="D9"/>
          </w:tcPr>
          <w:p w:rsidR="00BB6F1F" w:rsidRDefault="00BB6F1F" w:rsidP="00AC68FF">
            <w:pPr>
              <w:spacing w:before="60" w:after="60"/>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Section_01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C7F26">
              <w:rPr>
                <w:rFonts w:ascii="Calibri" w:eastAsia="Calibri" w:hAnsi="Calibri" w:cs="Times New Roman"/>
                <w:noProof/>
                <w:sz w:val="20"/>
                <w:szCs w:val="20"/>
              </w:rPr>
              <w:t>34</w:t>
            </w:r>
            <w:r>
              <w:rPr>
                <w:rFonts w:ascii="Calibri" w:eastAsia="Calibri" w:hAnsi="Calibri" w:cs="Times New Roman"/>
                <w:sz w:val="20"/>
                <w:szCs w:val="20"/>
              </w:rPr>
              <w:fldChar w:fldCharType="end"/>
            </w:r>
          </w:p>
        </w:tc>
      </w:tr>
      <w:tr w:rsidR="00BB6F1F" w:rsidRPr="001A6C82" w:rsidTr="00AC68FF">
        <w:trPr>
          <w:trHeight w:val="116"/>
        </w:trPr>
        <w:tc>
          <w:tcPr>
            <w:tcW w:w="1526" w:type="dxa"/>
            <w:vMerge/>
            <w:tcBorders>
              <w:top w:val="nil"/>
              <w:left w:val="nil"/>
              <w:right w:val="nil"/>
            </w:tcBorders>
          </w:tcPr>
          <w:p w:rsidR="00BB6F1F" w:rsidRPr="001A6C82" w:rsidRDefault="00BB6F1F" w:rsidP="00AC68FF">
            <w:pPr>
              <w:rPr>
                <w:rFonts w:ascii="Calibri" w:eastAsia="Calibri" w:hAnsi="Calibri" w:cs="Times New Roman"/>
                <w:b/>
                <w:sz w:val="20"/>
                <w:szCs w:val="20"/>
              </w:rPr>
            </w:pPr>
          </w:p>
        </w:tc>
        <w:tc>
          <w:tcPr>
            <w:tcW w:w="6804" w:type="dxa"/>
            <w:tcBorders>
              <w:top w:val="nil"/>
              <w:left w:val="nil"/>
              <w:bottom w:val="nil"/>
              <w:right w:val="nil"/>
            </w:tcBorders>
          </w:tcPr>
          <w:p w:rsidR="00BB6F1F" w:rsidRPr="00C14036" w:rsidRDefault="00BB6F1F" w:rsidP="005B0F23">
            <w:pPr>
              <w:spacing w:before="60"/>
              <w:rPr>
                <w:rFonts w:ascii="Calibri" w:eastAsia="Calibri" w:hAnsi="Calibri" w:cs="Times New Roman"/>
                <w:i/>
                <w:sz w:val="19"/>
                <w:szCs w:val="19"/>
              </w:rPr>
            </w:pPr>
            <w:r>
              <w:rPr>
                <w:rFonts w:ascii="Calibri" w:eastAsia="Calibri" w:hAnsi="Calibri" w:cs="Times New Roman"/>
                <w:i/>
                <w:sz w:val="19"/>
                <w:szCs w:val="19"/>
              </w:rPr>
              <w:t>Basis of preparation</w:t>
            </w:r>
          </w:p>
        </w:tc>
        <w:tc>
          <w:tcPr>
            <w:tcW w:w="1417" w:type="dxa"/>
            <w:gridSpan w:val="2"/>
            <w:tcBorders>
              <w:top w:val="nil"/>
              <w:left w:val="nil"/>
              <w:bottom w:val="nil"/>
              <w:right w:val="nil"/>
            </w:tcBorders>
          </w:tcPr>
          <w:p w:rsidR="00BB6F1F" w:rsidRPr="001A6C82" w:rsidRDefault="00BB6F1F" w:rsidP="00AC68FF"/>
        </w:tc>
      </w:tr>
      <w:tr w:rsidR="00BB6F1F" w:rsidRPr="001A6C82" w:rsidTr="00AC68FF">
        <w:trPr>
          <w:trHeight w:val="65"/>
        </w:trPr>
        <w:tc>
          <w:tcPr>
            <w:tcW w:w="1526" w:type="dxa"/>
            <w:vMerge/>
            <w:tcBorders>
              <w:left w:val="nil"/>
              <w:bottom w:val="nil"/>
              <w:right w:val="nil"/>
            </w:tcBorders>
          </w:tcPr>
          <w:p w:rsidR="00BB6F1F" w:rsidRPr="001A6C82" w:rsidRDefault="00BB6F1F" w:rsidP="00AC68FF">
            <w:pPr>
              <w:rPr>
                <w:rFonts w:ascii="Calibri" w:eastAsia="Calibri" w:hAnsi="Calibri" w:cs="Times New Roman"/>
                <w:b/>
                <w:sz w:val="20"/>
                <w:szCs w:val="20"/>
              </w:rPr>
            </w:pPr>
          </w:p>
        </w:tc>
        <w:tc>
          <w:tcPr>
            <w:tcW w:w="6804" w:type="dxa"/>
            <w:tcBorders>
              <w:top w:val="nil"/>
              <w:left w:val="nil"/>
              <w:bottom w:val="nil"/>
              <w:right w:val="nil"/>
            </w:tcBorders>
          </w:tcPr>
          <w:p w:rsidR="00BB6F1F" w:rsidRPr="00C14036" w:rsidRDefault="00BB6F1F" w:rsidP="00AC68FF">
            <w:pPr>
              <w:spacing w:after="120"/>
              <w:rPr>
                <w:rFonts w:ascii="Calibri" w:eastAsia="Calibri" w:hAnsi="Calibri" w:cs="Times New Roman"/>
                <w:i/>
                <w:sz w:val="19"/>
                <w:szCs w:val="19"/>
              </w:rPr>
            </w:pPr>
            <w:r>
              <w:rPr>
                <w:rFonts w:ascii="Calibri" w:eastAsia="Calibri" w:hAnsi="Calibri" w:cs="Times New Roman"/>
                <w:i/>
                <w:sz w:val="19"/>
                <w:szCs w:val="19"/>
              </w:rPr>
              <w:t>Compliance information</w:t>
            </w:r>
          </w:p>
        </w:tc>
        <w:tc>
          <w:tcPr>
            <w:tcW w:w="1417" w:type="dxa"/>
            <w:gridSpan w:val="2"/>
            <w:tcBorders>
              <w:top w:val="nil"/>
              <w:left w:val="nil"/>
              <w:bottom w:val="nil"/>
              <w:right w:val="nil"/>
            </w:tcBorders>
          </w:tcPr>
          <w:p w:rsidR="00BB6F1F" w:rsidRPr="001A6C82" w:rsidRDefault="00BB6F1F" w:rsidP="00AC68FF"/>
        </w:tc>
      </w:tr>
      <w:tr w:rsidR="00BB6F1F" w:rsidRPr="001A6C82" w:rsidTr="00AC68FF">
        <w:tc>
          <w:tcPr>
            <w:tcW w:w="1526" w:type="dxa"/>
            <w:vMerge w:val="restart"/>
            <w:tcBorders>
              <w:top w:val="nil"/>
              <w:left w:val="nil"/>
              <w:bottom w:val="nil"/>
              <w:right w:val="nil"/>
            </w:tcBorders>
          </w:tcPr>
          <w:p w:rsidR="00BB6F1F" w:rsidRPr="001A6C82" w:rsidRDefault="00BB6F1F" w:rsidP="00AC68FF">
            <w:pPr>
              <w:rPr>
                <w:rFonts w:ascii="Calibri" w:eastAsia="Calibri" w:hAnsi="Calibri" w:cs="Times New Roman"/>
                <w:b/>
                <w:sz w:val="20"/>
                <w:szCs w:val="20"/>
              </w:rPr>
            </w:pPr>
            <w:r w:rsidRPr="001A6C82">
              <w:rPr>
                <w:rFonts w:ascii="Calibri" w:eastAsia="Calibri" w:hAnsi="Calibri" w:cs="Times New Roman"/>
                <w:b/>
                <w:sz w:val="20"/>
                <w:szCs w:val="20"/>
              </w:rPr>
              <w:t xml:space="preserve"> </w:t>
            </w:r>
          </w:p>
        </w:tc>
        <w:tc>
          <w:tcPr>
            <w:tcW w:w="6804" w:type="dxa"/>
            <w:tcBorders>
              <w:top w:val="nil"/>
              <w:left w:val="nil"/>
              <w:bottom w:val="nil"/>
              <w:right w:val="nil"/>
            </w:tcBorders>
            <w:shd w:val="clear" w:color="auto" w:fill="D9D9D9" w:themeFill="background1" w:themeFillShade="D9"/>
          </w:tcPr>
          <w:p w:rsidR="00BB6F1F" w:rsidRPr="001A6C82" w:rsidRDefault="00BB6F1F" w:rsidP="00AC68FF">
            <w:pPr>
              <w:spacing w:before="60" w:after="60"/>
              <w:rPr>
                <w:rFonts w:ascii="Calibri" w:eastAsia="Calibri" w:hAnsi="Calibri" w:cs="Times New Roman"/>
                <w:b/>
                <w:sz w:val="20"/>
                <w:szCs w:val="20"/>
              </w:rPr>
            </w:pPr>
            <w:r>
              <w:rPr>
                <w:rFonts w:ascii="Calibri" w:eastAsia="Calibri" w:hAnsi="Calibri" w:cs="Times New Roman"/>
                <w:b/>
                <w:sz w:val="20"/>
                <w:szCs w:val="20"/>
              </w:rPr>
              <w:t>2. How</w:t>
            </w:r>
            <w:r w:rsidRPr="001A6C82">
              <w:rPr>
                <w:rFonts w:ascii="Calibri" w:eastAsia="Calibri" w:hAnsi="Calibri" w:cs="Times New Roman"/>
                <w:b/>
                <w:sz w:val="20"/>
                <w:szCs w:val="20"/>
              </w:rPr>
              <w:t xml:space="preserve"> funds</w:t>
            </w:r>
            <w:r>
              <w:rPr>
                <w:rFonts w:ascii="Calibri" w:eastAsia="Calibri" w:hAnsi="Calibri" w:cs="Times New Roman"/>
                <w:b/>
                <w:sz w:val="20"/>
                <w:szCs w:val="20"/>
              </w:rPr>
              <w:t xml:space="preserve"> are raised</w:t>
            </w:r>
          </w:p>
        </w:tc>
        <w:tc>
          <w:tcPr>
            <w:tcW w:w="1417" w:type="dxa"/>
            <w:gridSpan w:val="2"/>
            <w:tcBorders>
              <w:top w:val="nil"/>
              <w:left w:val="nil"/>
              <w:bottom w:val="nil"/>
              <w:right w:val="nil"/>
            </w:tcBorders>
            <w:shd w:val="clear" w:color="auto" w:fill="D9D9D9" w:themeFill="background1" w:themeFillShade="D9"/>
          </w:tcPr>
          <w:p w:rsidR="00BB6F1F" w:rsidRPr="001A6C82" w:rsidRDefault="00BB6F1F" w:rsidP="00AC68FF">
            <w:pPr>
              <w:spacing w:before="60" w:after="60"/>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Section_02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C7F26">
              <w:rPr>
                <w:rFonts w:ascii="Calibri" w:eastAsia="Calibri" w:hAnsi="Calibri" w:cs="Times New Roman"/>
                <w:noProof/>
                <w:sz w:val="20"/>
                <w:szCs w:val="20"/>
              </w:rPr>
              <w:t>36</w:t>
            </w:r>
            <w:r>
              <w:rPr>
                <w:rFonts w:ascii="Calibri" w:eastAsia="Calibri" w:hAnsi="Calibri" w:cs="Times New Roman"/>
                <w:sz w:val="20"/>
                <w:szCs w:val="20"/>
              </w:rPr>
              <w:fldChar w:fldCharType="end"/>
            </w:r>
          </w:p>
        </w:tc>
      </w:tr>
      <w:tr w:rsidR="00BB6F1F" w:rsidRPr="001A6C82" w:rsidTr="00AC68FF">
        <w:trPr>
          <w:trHeight w:val="80"/>
        </w:trPr>
        <w:tc>
          <w:tcPr>
            <w:tcW w:w="1526" w:type="dxa"/>
            <w:vMerge/>
            <w:tcBorders>
              <w:top w:val="nil"/>
              <w:left w:val="nil"/>
              <w:right w:val="nil"/>
            </w:tcBorders>
          </w:tcPr>
          <w:p w:rsidR="00BB6F1F" w:rsidRPr="001A6C82" w:rsidRDefault="00BB6F1F" w:rsidP="00AC68FF">
            <w:pPr>
              <w:rPr>
                <w:rFonts w:ascii="Calibri" w:eastAsia="Calibri" w:hAnsi="Calibri" w:cs="Times New Roman"/>
                <w:b/>
                <w:sz w:val="20"/>
                <w:szCs w:val="20"/>
              </w:rPr>
            </w:pPr>
          </w:p>
        </w:tc>
        <w:tc>
          <w:tcPr>
            <w:tcW w:w="6804" w:type="dxa"/>
            <w:tcBorders>
              <w:top w:val="nil"/>
              <w:left w:val="nil"/>
              <w:bottom w:val="nil"/>
              <w:right w:val="nil"/>
            </w:tcBorders>
          </w:tcPr>
          <w:p w:rsidR="00BB6F1F" w:rsidRPr="001A6C82" w:rsidRDefault="00BB6F1F" w:rsidP="005B0F23">
            <w:pPr>
              <w:spacing w:before="60" w:after="120"/>
              <w:rPr>
                <w:rFonts w:ascii="Calibri" w:eastAsia="Calibri" w:hAnsi="Calibri" w:cs="Times New Roman"/>
                <w:i/>
                <w:sz w:val="19"/>
                <w:szCs w:val="19"/>
              </w:rPr>
            </w:pPr>
            <w:r w:rsidRPr="001A6C82">
              <w:rPr>
                <w:rFonts w:ascii="Calibri" w:eastAsia="Calibri" w:hAnsi="Calibri" w:cs="Times New Roman"/>
                <w:i/>
                <w:sz w:val="19"/>
                <w:szCs w:val="19"/>
              </w:rPr>
              <w:t>Revenue recognised</w:t>
            </w:r>
            <w:r>
              <w:rPr>
                <w:rFonts w:ascii="Calibri" w:eastAsia="Calibri" w:hAnsi="Calibri" w:cs="Times New Roman"/>
                <w:i/>
                <w:sz w:val="19"/>
                <w:szCs w:val="19"/>
              </w:rPr>
              <w:t xml:space="preserve"> from </w:t>
            </w:r>
            <w:r w:rsidRPr="001A6C82">
              <w:rPr>
                <w:rFonts w:ascii="Calibri" w:eastAsia="Calibri" w:hAnsi="Calibri" w:cs="Times New Roman"/>
                <w:i/>
                <w:sz w:val="19"/>
                <w:szCs w:val="19"/>
              </w:rPr>
              <w:t xml:space="preserve">taxes, grants, sales of goods and services and other </w:t>
            </w:r>
            <w:r>
              <w:rPr>
                <w:rFonts w:ascii="Calibri" w:eastAsia="Calibri" w:hAnsi="Calibri" w:cs="Times New Roman"/>
                <w:i/>
                <w:sz w:val="19"/>
                <w:szCs w:val="19"/>
              </w:rPr>
              <w:t>sources</w:t>
            </w:r>
          </w:p>
        </w:tc>
        <w:tc>
          <w:tcPr>
            <w:tcW w:w="1417" w:type="dxa"/>
            <w:gridSpan w:val="2"/>
            <w:tcBorders>
              <w:top w:val="nil"/>
              <w:left w:val="nil"/>
              <w:bottom w:val="nil"/>
              <w:right w:val="nil"/>
            </w:tcBorders>
          </w:tcPr>
          <w:p w:rsidR="00BB6F1F" w:rsidRPr="001A6C82" w:rsidRDefault="00BB6F1F" w:rsidP="00AC68FF"/>
        </w:tc>
      </w:tr>
      <w:tr w:rsidR="00BB6F1F" w:rsidRPr="001A6C82" w:rsidTr="00AC68FF">
        <w:trPr>
          <w:trHeight w:val="70"/>
        </w:trPr>
        <w:tc>
          <w:tcPr>
            <w:tcW w:w="1526" w:type="dxa"/>
            <w:vMerge/>
            <w:tcBorders>
              <w:left w:val="nil"/>
              <w:right w:val="nil"/>
            </w:tcBorders>
          </w:tcPr>
          <w:p w:rsidR="00BB6F1F" w:rsidRPr="001A6C82" w:rsidRDefault="00BB6F1F" w:rsidP="00AC68FF">
            <w:pPr>
              <w:rPr>
                <w:rFonts w:ascii="Calibri" w:eastAsia="Calibri" w:hAnsi="Calibri" w:cs="Times New Roman"/>
                <w:b/>
                <w:sz w:val="20"/>
                <w:szCs w:val="20"/>
              </w:rPr>
            </w:pPr>
          </w:p>
        </w:tc>
        <w:tc>
          <w:tcPr>
            <w:tcW w:w="6804" w:type="dxa"/>
            <w:tcBorders>
              <w:top w:val="nil"/>
              <w:left w:val="nil"/>
              <w:bottom w:val="nil"/>
              <w:right w:val="nil"/>
            </w:tcBorders>
            <w:shd w:val="clear" w:color="auto" w:fill="D9D9D9" w:themeFill="background1" w:themeFillShade="D9"/>
          </w:tcPr>
          <w:p w:rsidR="00BB6F1F" w:rsidRPr="001A6C82" w:rsidRDefault="00BB6F1F" w:rsidP="00AC68FF">
            <w:pPr>
              <w:spacing w:before="60" w:after="60"/>
              <w:rPr>
                <w:rFonts w:ascii="Calibri" w:eastAsia="Calibri" w:hAnsi="Calibri" w:cs="Times New Roman"/>
                <w:b/>
                <w:sz w:val="20"/>
                <w:szCs w:val="20"/>
              </w:rPr>
            </w:pPr>
            <w:r>
              <w:rPr>
                <w:rFonts w:ascii="Calibri" w:eastAsia="Calibri" w:hAnsi="Calibri" w:cs="Times New Roman"/>
                <w:b/>
                <w:sz w:val="20"/>
                <w:szCs w:val="20"/>
              </w:rPr>
              <w:t>3</w:t>
            </w:r>
            <w:r w:rsidRPr="001A6C82">
              <w:rPr>
                <w:rFonts w:ascii="Calibri" w:eastAsia="Calibri" w:hAnsi="Calibri" w:cs="Times New Roman"/>
                <w:b/>
                <w:sz w:val="20"/>
                <w:szCs w:val="20"/>
              </w:rPr>
              <w:t xml:space="preserve">. How </w:t>
            </w:r>
            <w:r>
              <w:rPr>
                <w:rFonts w:ascii="Calibri" w:eastAsia="Calibri" w:hAnsi="Calibri" w:cs="Times New Roman"/>
                <w:b/>
                <w:sz w:val="20"/>
                <w:szCs w:val="20"/>
              </w:rPr>
              <w:t>funds are spent</w:t>
            </w:r>
          </w:p>
        </w:tc>
        <w:tc>
          <w:tcPr>
            <w:tcW w:w="1417" w:type="dxa"/>
            <w:gridSpan w:val="2"/>
            <w:tcBorders>
              <w:top w:val="nil"/>
              <w:left w:val="nil"/>
              <w:bottom w:val="nil"/>
              <w:right w:val="nil"/>
            </w:tcBorders>
            <w:shd w:val="clear" w:color="auto" w:fill="D9D9D9" w:themeFill="background1" w:themeFillShade="D9"/>
          </w:tcPr>
          <w:p w:rsidR="00BB6F1F" w:rsidRPr="001A6C82" w:rsidRDefault="00BB6F1F"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Section_03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C7F26">
              <w:rPr>
                <w:rFonts w:ascii="Calibri" w:eastAsia="Calibri" w:hAnsi="Calibri" w:cs="Times New Roman"/>
                <w:noProof/>
                <w:sz w:val="20"/>
                <w:szCs w:val="20"/>
              </w:rPr>
              <w:t>41</w:t>
            </w:r>
            <w:r>
              <w:rPr>
                <w:rFonts w:ascii="Calibri" w:eastAsia="Calibri" w:hAnsi="Calibri" w:cs="Times New Roman"/>
                <w:sz w:val="20"/>
                <w:szCs w:val="20"/>
              </w:rPr>
              <w:fldChar w:fldCharType="end"/>
            </w:r>
          </w:p>
        </w:tc>
      </w:tr>
      <w:tr w:rsidR="00BB6F1F" w:rsidRPr="007A77A6" w:rsidTr="005B0F23">
        <w:tc>
          <w:tcPr>
            <w:tcW w:w="1526" w:type="dxa"/>
            <w:vMerge/>
            <w:tcBorders>
              <w:left w:val="nil"/>
              <w:right w:val="nil"/>
            </w:tcBorders>
          </w:tcPr>
          <w:p w:rsidR="00BB6F1F" w:rsidRPr="001A6C82" w:rsidRDefault="00BB6F1F" w:rsidP="00AC68FF">
            <w:pPr>
              <w:rPr>
                <w:rFonts w:ascii="Calibri" w:eastAsia="Calibri" w:hAnsi="Calibri" w:cs="Times New Roman"/>
                <w:sz w:val="20"/>
                <w:szCs w:val="20"/>
              </w:rPr>
            </w:pPr>
          </w:p>
        </w:tc>
        <w:tc>
          <w:tcPr>
            <w:tcW w:w="7087" w:type="dxa"/>
            <w:gridSpan w:val="2"/>
            <w:tcBorders>
              <w:top w:val="nil"/>
              <w:left w:val="nil"/>
              <w:bottom w:val="nil"/>
              <w:right w:val="nil"/>
            </w:tcBorders>
          </w:tcPr>
          <w:p w:rsidR="00BB6F1F" w:rsidRPr="001A6C82" w:rsidRDefault="00BB6F1F" w:rsidP="005B0F23">
            <w:pPr>
              <w:spacing w:before="60" w:after="120"/>
              <w:rPr>
                <w:rFonts w:ascii="Calibri" w:eastAsia="Calibri" w:hAnsi="Calibri" w:cs="Times New Roman"/>
                <w:i/>
                <w:sz w:val="19"/>
                <w:szCs w:val="19"/>
              </w:rPr>
            </w:pPr>
            <w:r w:rsidRPr="001A6C82">
              <w:rPr>
                <w:rFonts w:ascii="Calibri" w:eastAsia="Calibri" w:hAnsi="Calibri" w:cs="Times New Roman"/>
                <w:i/>
                <w:sz w:val="19"/>
                <w:szCs w:val="19"/>
              </w:rPr>
              <w:t>Operating expenses of the State</w:t>
            </w:r>
            <w:r>
              <w:rPr>
                <w:rFonts w:ascii="Calibri" w:eastAsia="Calibri" w:hAnsi="Calibri" w:cs="Times New Roman"/>
                <w:i/>
                <w:sz w:val="19"/>
                <w:szCs w:val="19"/>
              </w:rPr>
              <w:t xml:space="preserve"> and capital spending on infrastructure </w:t>
            </w:r>
            <w:r w:rsidR="005B0F23">
              <w:rPr>
                <w:rFonts w:ascii="Calibri" w:eastAsia="Calibri" w:hAnsi="Calibri" w:cs="Times New Roman"/>
                <w:i/>
                <w:sz w:val="19"/>
                <w:szCs w:val="19"/>
              </w:rPr>
              <w:t>a</w:t>
            </w:r>
            <w:r>
              <w:rPr>
                <w:rFonts w:ascii="Calibri" w:eastAsia="Calibri" w:hAnsi="Calibri" w:cs="Times New Roman"/>
                <w:i/>
                <w:sz w:val="19"/>
                <w:szCs w:val="19"/>
              </w:rPr>
              <w:t>nd other assets</w:t>
            </w:r>
          </w:p>
        </w:tc>
        <w:tc>
          <w:tcPr>
            <w:tcW w:w="1134" w:type="dxa"/>
            <w:tcBorders>
              <w:top w:val="nil"/>
              <w:left w:val="nil"/>
              <w:bottom w:val="nil"/>
              <w:right w:val="nil"/>
            </w:tcBorders>
          </w:tcPr>
          <w:p w:rsidR="00BB6F1F" w:rsidRPr="007A77A6" w:rsidRDefault="00BB6F1F" w:rsidP="00AC68FF">
            <w:pPr>
              <w:jc w:val="right"/>
              <w:rPr>
                <w:rFonts w:ascii="Calibri" w:eastAsia="Calibri" w:hAnsi="Calibri" w:cs="Times New Roman"/>
                <w:i/>
                <w:sz w:val="19"/>
                <w:szCs w:val="19"/>
              </w:rPr>
            </w:pPr>
          </w:p>
        </w:tc>
      </w:tr>
      <w:tr w:rsidR="00BB6F1F" w:rsidRPr="001A6C82" w:rsidTr="00AC68FF">
        <w:trPr>
          <w:trHeight w:val="181"/>
        </w:trPr>
        <w:tc>
          <w:tcPr>
            <w:tcW w:w="1526" w:type="dxa"/>
            <w:vMerge/>
            <w:tcBorders>
              <w:left w:val="nil"/>
              <w:right w:val="nil"/>
            </w:tcBorders>
          </w:tcPr>
          <w:p w:rsidR="00BB6F1F" w:rsidRPr="001A6C82" w:rsidRDefault="00BB6F1F"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rsidR="00BB6F1F" w:rsidRPr="001A6C82" w:rsidRDefault="00BB6F1F" w:rsidP="00AC68FF">
            <w:pPr>
              <w:spacing w:before="60" w:after="60"/>
              <w:rPr>
                <w:rFonts w:ascii="Calibri" w:eastAsia="Calibri" w:hAnsi="Calibri" w:cs="Times New Roman"/>
                <w:b/>
                <w:sz w:val="20"/>
                <w:szCs w:val="20"/>
              </w:rPr>
            </w:pPr>
            <w:r>
              <w:rPr>
                <w:rFonts w:ascii="Calibri" w:eastAsia="Calibri" w:hAnsi="Calibri" w:cs="Times New Roman"/>
                <w:b/>
                <w:sz w:val="20"/>
                <w:szCs w:val="20"/>
              </w:rPr>
              <w:t>4. Major assets and investments</w:t>
            </w:r>
          </w:p>
        </w:tc>
        <w:tc>
          <w:tcPr>
            <w:tcW w:w="1417" w:type="dxa"/>
            <w:gridSpan w:val="2"/>
            <w:tcBorders>
              <w:top w:val="nil"/>
              <w:left w:val="nil"/>
              <w:bottom w:val="nil"/>
              <w:right w:val="nil"/>
            </w:tcBorders>
            <w:shd w:val="clear" w:color="auto" w:fill="D9D9D9" w:themeFill="background1" w:themeFillShade="D9"/>
          </w:tcPr>
          <w:p w:rsidR="00BB6F1F" w:rsidRPr="001A6C82" w:rsidRDefault="00BB6F1F"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Section_04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C7F26">
              <w:rPr>
                <w:rFonts w:ascii="Calibri" w:eastAsia="Calibri" w:hAnsi="Calibri" w:cs="Times New Roman"/>
                <w:noProof/>
                <w:sz w:val="20"/>
                <w:szCs w:val="20"/>
              </w:rPr>
              <w:t>49</w:t>
            </w:r>
            <w:r>
              <w:rPr>
                <w:rFonts w:ascii="Calibri" w:eastAsia="Calibri" w:hAnsi="Calibri" w:cs="Times New Roman"/>
                <w:sz w:val="20"/>
                <w:szCs w:val="20"/>
              </w:rPr>
              <w:fldChar w:fldCharType="end"/>
            </w:r>
          </w:p>
        </w:tc>
      </w:tr>
      <w:tr w:rsidR="00BB6F1F" w:rsidRPr="001A6C82" w:rsidTr="00AC68FF">
        <w:trPr>
          <w:trHeight w:val="70"/>
        </w:trPr>
        <w:tc>
          <w:tcPr>
            <w:tcW w:w="1526" w:type="dxa"/>
            <w:vMerge/>
            <w:tcBorders>
              <w:left w:val="nil"/>
              <w:right w:val="nil"/>
            </w:tcBorders>
          </w:tcPr>
          <w:p w:rsidR="00BB6F1F" w:rsidRPr="001A6C82" w:rsidRDefault="00BB6F1F" w:rsidP="00AC68FF">
            <w:pPr>
              <w:rPr>
                <w:rFonts w:ascii="Calibri" w:eastAsia="Calibri" w:hAnsi="Calibri" w:cs="Times New Roman"/>
                <w:sz w:val="20"/>
                <w:szCs w:val="20"/>
              </w:rPr>
            </w:pPr>
          </w:p>
        </w:tc>
        <w:tc>
          <w:tcPr>
            <w:tcW w:w="6804" w:type="dxa"/>
            <w:tcBorders>
              <w:top w:val="nil"/>
              <w:left w:val="nil"/>
              <w:bottom w:val="nil"/>
              <w:right w:val="nil"/>
            </w:tcBorders>
          </w:tcPr>
          <w:p w:rsidR="00BB6F1F" w:rsidRPr="001A6C82" w:rsidRDefault="00BB6F1F" w:rsidP="005B0F23">
            <w:pPr>
              <w:spacing w:before="60" w:after="120"/>
              <w:rPr>
                <w:rFonts w:ascii="Calibri" w:eastAsia="Calibri" w:hAnsi="Calibri" w:cs="Times New Roman"/>
                <w:sz w:val="19"/>
                <w:szCs w:val="19"/>
              </w:rPr>
            </w:pPr>
            <w:r w:rsidRPr="001A6C82">
              <w:rPr>
                <w:rFonts w:ascii="Calibri" w:eastAsia="Calibri" w:hAnsi="Calibri" w:cs="Times New Roman"/>
                <w:i/>
                <w:sz w:val="19"/>
                <w:szCs w:val="19"/>
              </w:rPr>
              <w:t xml:space="preserve">Land, </w:t>
            </w:r>
            <w:r>
              <w:rPr>
                <w:rFonts w:ascii="Calibri" w:eastAsia="Calibri" w:hAnsi="Calibri" w:cs="Times New Roman"/>
                <w:i/>
                <w:sz w:val="19"/>
                <w:szCs w:val="19"/>
              </w:rPr>
              <w:t xml:space="preserve">buildings, infrastructure, plant and equipment, other non-financial assets, </w:t>
            </w:r>
            <w:r w:rsidR="005B0F23">
              <w:rPr>
                <w:rFonts w:ascii="Calibri" w:eastAsia="Calibri" w:hAnsi="Calibri" w:cs="Times New Roman"/>
                <w:i/>
                <w:sz w:val="19"/>
                <w:szCs w:val="19"/>
              </w:rPr>
              <w:br/>
            </w:r>
            <w:r>
              <w:rPr>
                <w:rFonts w:ascii="Calibri" w:eastAsia="Calibri" w:hAnsi="Calibri" w:cs="Times New Roman"/>
                <w:i/>
                <w:sz w:val="19"/>
                <w:szCs w:val="19"/>
              </w:rPr>
              <w:t>and investments held in associates and joint arrangements</w:t>
            </w:r>
          </w:p>
        </w:tc>
        <w:tc>
          <w:tcPr>
            <w:tcW w:w="1417" w:type="dxa"/>
            <w:gridSpan w:val="2"/>
            <w:tcBorders>
              <w:top w:val="nil"/>
              <w:left w:val="nil"/>
              <w:bottom w:val="nil"/>
              <w:right w:val="nil"/>
            </w:tcBorders>
          </w:tcPr>
          <w:p w:rsidR="00BB6F1F" w:rsidRPr="001A6C82" w:rsidRDefault="00BB6F1F" w:rsidP="00AC68FF"/>
        </w:tc>
      </w:tr>
      <w:tr w:rsidR="00BB6F1F" w:rsidRPr="001A6C82" w:rsidTr="00AC68FF">
        <w:tc>
          <w:tcPr>
            <w:tcW w:w="1526" w:type="dxa"/>
            <w:vMerge/>
            <w:tcBorders>
              <w:left w:val="nil"/>
              <w:right w:val="nil"/>
            </w:tcBorders>
          </w:tcPr>
          <w:p w:rsidR="00BB6F1F" w:rsidRPr="001A6C82" w:rsidRDefault="00BB6F1F"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rsidR="00BB6F1F" w:rsidRPr="001A6C82" w:rsidRDefault="00BB6F1F" w:rsidP="00AC68FF">
            <w:pPr>
              <w:spacing w:before="60" w:after="60"/>
              <w:rPr>
                <w:rFonts w:ascii="Calibri" w:eastAsia="Calibri" w:hAnsi="Calibri" w:cs="Times New Roman"/>
                <w:b/>
                <w:sz w:val="20"/>
                <w:szCs w:val="20"/>
              </w:rPr>
            </w:pPr>
            <w:r>
              <w:rPr>
                <w:rFonts w:ascii="Calibri" w:eastAsia="Calibri" w:hAnsi="Calibri" w:cs="Times New Roman"/>
                <w:b/>
                <w:sz w:val="20"/>
                <w:szCs w:val="20"/>
              </w:rPr>
              <w:t>5</w:t>
            </w:r>
            <w:r w:rsidRPr="001A6C82">
              <w:rPr>
                <w:rFonts w:ascii="Calibri" w:eastAsia="Calibri" w:hAnsi="Calibri" w:cs="Times New Roman"/>
                <w:b/>
                <w:sz w:val="20"/>
                <w:szCs w:val="20"/>
              </w:rPr>
              <w:t xml:space="preserve">. </w:t>
            </w:r>
            <w:r>
              <w:rPr>
                <w:rFonts w:ascii="Calibri" w:eastAsia="Calibri" w:hAnsi="Calibri" w:cs="Times New Roman"/>
                <w:b/>
                <w:sz w:val="20"/>
                <w:szCs w:val="20"/>
              </w:rPr>
              <w:t>Financing State operations</w:t>
            </w:r>
          </w:p>
        </w:tc>
        <w:tc>
          <w:tcPr>
            <w:tcW w:w="1417" w:type="dxa"/>
            <w:gridSpan w:val="2"/>
            <w:tcBorders>
              <w:top w:val="nil"/>
              <w:left w:val="nil"/>
              <w:bottom w:val="nil"/>
              <w:right w:val="nil"/>
            </w:tcBorders>
            <w:shd w:val="clear" w:color="auto" w:fill="D9D9D9" w:themeFill="background1" w:themeFillShade="D9"/>
          </w:tcPr>
          <w:p w:rsidR="00BB6F1F" w:rsidRPr="001A6C82" w:rsidRDefault="00BB6F1F"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Section_05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C7F26">
              <w:rPr>
                <w:rFonts w:ascii="Calibri" w:eastAsia="Calibri" w:hAnsi="Calibri" w:cs="Times New Roman"/>
                <w:noProof/>
                <w:sz w:val="20"/>
                <w:szCs w:val="20"/>
              </w:rPr>
              <w:t>60</w:t>
            </w:r>
            <w:r>
              <w:rPr>
                <w:rFonts w:ascii="Calibri" w:eastAsia="Calibri" w:hAnsi="Calibri" w:cs="Times New Roman"/>
                <w:sz w:val="20"/>
                <w:szCs w:val="20"/>
              </w:rPr>
              <w:fldChar w:fldCharType="end"/>
            </w:r>
          </w:p>
        </w:tc>
      </w:tr>
      <w:tr w:rsidR="00BB6F1F" w:rsidRPr="001A6C82" w:rsidTr="00AC68FF">
        <w:trPr>
          <w:trHeight w:val="70"/>
        </w:trPr>
        <w:tc>
          <w:tcPr>
            <w:tcW w:w="1526" w:type="dxa"/>
            <w:vMerge/>
            <w:tcBorders>
              <w:left w:val="nil"/>
              <w:right w:val="nil"/>
            </w:tcBorders>
          </w:tcPr>
          <w:p w:rsidR="00BB6F1F" w:rsidRPr="001A6C82" w:rsidRDefault="00BB6F1F" w:rsidP="00AC68FF">
            <w:pPr>
              <w:rPr>
                <w:rFonts w:ascii="Calibri" w:eastAsia="Calibri" w:hAnsi="Calibri" w:cs="Times New Roman"/>
                <w:sz w:val="20"/>
                <w:szCs w:val="20"/>
              </w:rPr>
            </w:pPr>
          </w:p>
        </w:tc>
        <w:tc>
          <w:tcPr>
            <w:tcW w:w="6804" w:type="dxa"/>
            <w:tcBorders>
              <w:top w:val="nil"/>
              <w:left w:val="nil"/>
              <w:bottom w:val="nil"/>
              <w:right w:val="nil"/>
            </w:tcBorders>
          </w:tcPr>
          <w:p w:rsidR="00BB6F1F" w:rsidRPr="001A6C82" w:rsidRDefault="00BB6F1F" w:rsidP="005B0F23">
            <w:pPr>
              <w:spacing w:before="60" w:after="120"/>
              <w:rPr>
                <w:rFonts w:ascii="Calibri" w:eastAsia="Calibri" w:hAnsi="Calibri" w:cs="Times New Roman"/>
                <w:sz w:val="19"/>
                <w:szCs w:val="19"/>
              </w:rPr>
            </w:pPr>
            <w:r w:rsidRPr="006C54DA">
              <w:rPr>
                <w:rFonts w:ascii="Calibri" w:eastAsia="Calibri" w:hAnsi="Calibri" w:cs="Times New Roman"/>
                <w:i/>
                <w:sz w:val="19"/>
                <w:szCs w:val="19"/>
              </w:rPr>
              <w:t xml:space="preserve">Borrowings and cash flow information, investments held and </w:t>
            </w:r>
            <w:r>
              <w:rPr>
                <w:rFonts w:ascii="Calibri" w:eastAsia="Calibri" w:hAnsi="Calibri" w:cs="Times New Roman"/>
                <w:i/>
                <w:sz w:val="19"/>
                <w:szCs w:val="19"/>
              </w:rPr>
              <w:t>p</w:t>
            </w:r>
            <w:r w:rsidRPr="006C54DA">
              <w:rPr>
                <w:rFonts w:ascii="Calibri" w:eastAsia="Calibri" w:hAnsi="Calibri" w:cs="Times New Roman"/>
                <w:i/>
                <w:sz w:val="19"/>
                <w:szCs w:val="19"/>
              </w:rPr>
              <w:t xml:space="preserve">ublic </w:t>
            </w:r>
            <w:r>
              <w:rPr>
                <w:rFonts w:ascii="Calibri" w:eastAsia="Calibri" w:hAnsi="Calibri" w:cs="Times New Roman"/>
                <w:i/>
                <w:sz w:val="19"/>
                <w:szCs w:val="19"/>
              </w:rPr>
              <w:t>p</w:t>
            </w:r>
            <w:r w:rsidRPr="006C54DA">
              <w:rPr>
                <w:rFonts w:ascii="Calibri" w:eastAsia="Calibri" w:hAnsi="Calibri" w:cs="Times New Roman"/>
                <w:i/>
                <w:sz w:val="19"/>
                <w:szCs w:val="19"/>
              </w:rPr>
              <w:t xml:space="preserve">rivate </w:t>
            </w:r>
            <w:r>
              <w:rPr>
                <w:rFonts w:ascii="Calibri" w:eastAsia="Calibri" w:hAnsi="Calibri" w:cs="Times New Roman"/>
                <w:i/>
                <w:sz w:val="19"/>
                <w:szCs w:val="19"/>
              </w:rPr>
              <w:t>p</w:t>
            </w:r>
            <w:r w:rsidRPr="006C54DA">
              <w:rPr>
                <w:rFonts w:ascii="Calibri" w:eastAsia="Calibri" w:hAnsi="Calibri" w:cs="Times New Roman"/>
                <w:i/>
                <w:sz w:val="19"/>
                <w:szCs w:val="19"/>
              </w:rPr>
              <w:t>artnership (service con</w:t>
            </w:r>
            <w:r>
              <w:rPr>
                <w:rFonts w:ascii="Calibri" w:eastAsia="Calibri" w:hAnsi="Calibri" w:cs="Times New Roman"/>
                <w:i/>
                <w:sz w:val="19"/>
                <w:szCs w:val="19"/>
              </w:rPr>
              <w:t xml:space="preserve">cession) arrangements and </w:t>
            </w:r>
            <w:r w:rsidRPr="006C54DA">
              <w:rPr>
                <w:rFonts w:ascii="Calibri" w:eastAsia="Calibri" w:hAnsi="Calibri" w:cs="Times New Roman"/>
                <w:i/>
                <w:sz w:val="19"/>
                <w:szCs w:val="19"/>
              </w:rPr>
              <w:t>commitments</w:t>
            </w:r>
            <w:r>
              <w:rPr>
                <w:rFonts w:ascii="Calibri" w:eastAsia="Calibri" w:hAnsi="Calibri" w:cs="Times New Roman"/>
                <w:i/>
                <w:sz w:val="19"/>
                <w:szCs w:val="19"/>
              </w:rPr>
              <w:t xml:space="preserve"> at 30 June</w:t>
            </w:r>
          </w:p>
        </w:tc>
        <w:tc>
          <w:tcPr>
            <w:tcW w:w="1417" w:type="dxa"/>
            <w:gridSpan w:val="2"/>
            <w:tcBorders>
              <w:top w:val="nil"/>
              <w:left w:val="nil"/>
              <w:bottom w:val="nil"/>
              <w:right w:val="nil"/>
            </w:tcBorders>
          </w:tcPr>
          <w:p w:rsidR="00BB6F1F" w:rsidRPr="001A6C82" w:rsidRDefault="00BB6F1F" w:rsidP="00AC68FF"/>
        </w:tc>
      </w:tr>
      <w:tr w:rsidR="00BB6F1F" w:rsidRPr="001A6C82" w:rsidTr="00AC68FF">
        <w:tc>
          <w:tcPr>
            <w:tcW w:w="1526" w:type="dxa"/>
            <w:vMerge/>
            <w:tcBorders>
              <w:left w:val="nil"/>
              <w:right w:val="nil"/>
            </w:tcBorders>
          </w:tcPr>
          <w:p w:rsidR="00BB6F1F" w:rsidRPr="001A6C82" w:rsidRDefault="00BB6F1F"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rsidR="00BB6F1F" w:rsidRPr="001A6C82" w:rsidRDefault="00BB6F1F" w:rsidP="00AC68FF">
            <w:pPr>
              <w:spacing w:before="60" w:after="60"/>
              <w:rPr>
                <w:rFonts w:ascii="Calibri" w:eastAsia="Calibri" w:hAnsi="Calibri" w:cs="Times New Roman"/>
                <w:b/>
                <w:sz w:val="20"/>
                <w:szCs w:val="20"/>
              </w:rPr>
            </w:pPr>
            <w:r>
              <w:rPr>
                <w:rFonts w:ascii="Calibri" w:eastAsia="Calibri" w:hAnsi="Calibri" w:cs="Times New Roman"/>
                <w:b/>
                <w:sz w:val="20"/>
                <w:szCs w:val="20"/>
              </w:rPr>
              <w:t>6. Other</w:t>
            </w:r>
            <w:r w:rsidRPr="001A6C82">
              <w:rPr>
                <w:rFonts w:ascii="Calibri" w:eastAsia="Calibri" w:hAnsi="Calibri" w:cs="Times New Roman"/>
                <w:b/>
                <w:sz w:val="20"/>
                <w:szCs w:val="20"/>
              </w:rPr>
              <w:t xml:space="preserve"> assets and liabilities</w:t>
            </w:r>
          </w:p>
        </w:tc>
        <w:tc>
          <w:tcPr>
            <w:tcW w:w="1417" w:type="dxa"/>
            <w:gridSpan w:val="2"/>
            <w:tcBorders>
              <w:top w:val="nil"/>
              <w:left w:val="nil"/>
              <w:bottom w:val="nil"/>
              <w:right w:val="nil"/>
            </w:tcBorders>
            <w:shd w:val="clear" w:color="auto" w:fill="D9D9D9" w:themeFill="background1" w:themeFillShade="D9"/>
          </w:tcPr>
          <w:p w:rsidR="00BB6F1F" w:rsidRPr="001A6C82" w:rsidRDefault="00BB6F1F"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Section_06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C7F26">
              <w:rPr>
                <w:rFonts w:ascii="Calibri" w:eastAsia="Calibri" w:hAnsi="Calibri" w:cs="Times New Roman"/>
                <w:noProof/>
                <w:sz w:val="20"/>
                <w:szCs w:val="20"/>
              </w:rPr>
              <w:t>69</w:t>
            </w:r>
            <w:r>
              <w:rPr>
                <w:rFonts w:ascii="Calibri" w:eastAsia="Calibri" w:hAnsi="Calibri" w:cs="Times New Roman"/>
                <w:sz w:val="20"/>
                <w:szCs w:val="20"/>
              </w:rPr>
              <w:fldChar w:fldCharType="end"/>
            </w:r>
          </w:p>
        </w:tc>
      </w:tr>
      <w:tr w:rsidR="00BB6F1F" w:rsidRPr="001A6C82" w:rsidTr="00AC68FF">
        <w:trPr>
          <w:trHeight w:val="70"/>
        </w:trPr>
        <w:tc>
          <w:tcPr>
            <w:tcW w:w="1526" w:type="dxa"/>
            <w:vMerge/>
            <w:tcBorders>
              <w:left w:val="nil"/>
              <w:right w:val="nil"/>
            </w:tcBorders>
          </w:tcPr>
          <w:p w:rsidR="00BB6F1F" w:rsidRPr="001A6C82" w:rsidRDefault="00BB6F1F" w:rsidP="00AC68FF">
            <w:pPr>
              <w:rPr>
                <w:rFonts w:ascii="Calibri" w:eastAsia="Calibri" w:hAnsi="Calibri" w:cs="Times New Roman"/>
                <w:sz w:val="20"/>
                <w:szCs w:val="20"/>
              </w:rPr>
            </w:pPr>
          </w:p>
        </w:tc>
        <w:tc>
          <w:tcPr>
            <w:tcW w:w="6804" w:type="dxa"/>
            <w:tcBorders>
              <w:top w:val="nil"/>
              <w:left w:val="nil"/>
              <w:bottom w:val="nil"/>
              <w:right w:val="nil"/>
            </w:tcBorders>
          </w:tcPr>
          <w:p w:rsidR="00BB6F1F" w:rsidRPr="001A6C82" w:rsidRDefault="00BB6F1F" w:rsidP="005B0F23">
            <w:pPr>
              <w:spacing w:before="60" w:after="120"/>
              <w:rPr>
                <w:rFonts w:ascii="Calibri" w:eastAsia="Calibri" w:hAnsi="Calibri" w:cs="Times New Roman"/>
                <w:sz w:val="19"/>
                <w:szCs w:val="19"/>
              </w:rPr>
            </w:pPr>
            <w:r>
              <w:rPr>
                <w:rFonts w:ascii="Calibri" w:eastAsia="Calibri" w:hAnsi="Calibri" w:cs="Times New Roman"/>
                <w:i/>
                <w:sz w:val="19"/>
                <w:szCs w:val="19"/>
              </w:rPr>
              <w:t>Other key asset and liability balances</w:t>
            </w:r>
          </w:p>
        </w:tc>
        <w:tc>
          <w:tcPr>
            <w:tcW w:w="1417" w:type="dxa"/>
            <w:gridSpan w:val="2"/>
            <w:tcBorders>
              <w:top w:val="nil"/>
              <w:left w:val="nil"/>
              <w:bottom w:val="nil"/>
              <w:right w:val="nil"/>
            </w:tcBorders>
          </w:tcPr>
          <w:p w:rsidR="00BB6F1F" w:rsidRPr="001A6C82" w:rsidRDefault="00BB6F1F" w:rsidP="00AC68FF"/>
        </w:tc>
      </w:tr>
      <w:tr w:rsidR="00BB6F1F" w:rsidRPr="001A6C82" w:rsidTr="00AC68FF">
        <w:tc>
          <w:tcPr>
            <w:tcW w:w="1526" w:type="dxa"/>
            <w:vMerge/>
            <w:tcBorders>
              <w:left w:val="nil"/>
              <w:right w:val="nil"/>
            </w:tcBorders>
          </w:tcPr>
          <w:p w:rsidR="00BB6F1F" w:rsidRPr="001A6C82" w:rsidRDefault="00BB6F1F"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rsidR="00BB6F1F" w:rsidRPr="001A6C82" w:rsidRDefault="00BB6F1F" w:rsidP="00AC68FF">
            <w:pPr>
              <w:spacing w:before="60" w:after="60"/>
              <w:rPr>
                <w:rFonts w:ascii="Calibri" w:eastAsia="Calibri" w:hAnsi="Calibri" w:cs="Times New Roman"/>
                <w:b/>
                <w:sz w:val="20"/>
                <w:szCs w:val="20"/>
              </w:rPr>
            </w:pPr>
            <w:r>
              <w:rPr>
                <w:rFonts w:ascii="Calibri" w:eastAsia="Calibri" w:hAnsi="Calibri" w:cs="Times New Roman"/>
                <w:b/>
                <w:sz w:val="20"/>
                <w:szCs w:val="20"/>
              </w:rPr>
              <w:t>7</w:t>
            </w:r>
            <w:r w:rsidRPr="001A6C82">
              <w:rPr>
                <w:rFonts w:ascii="Calibri" w:eastAsia="Calibri" w:hAnsi="Calibri" w:cs="Times New Roman"/>
                <w:b/>
                <w:sz w:val="20"/>
                <w:szCs w:val="20"/>
              </w:rPr>
              <w:t xml:space="preserve">. </w:t>
            </w:r>
            <w:r>
              <w:rPr>
                <w:rFonts w:ascii="Calibri" w:eastAsia="Calibri" w:hAnsi="Calibri" w:cs="Times New Roman"/>
                <w:b/>
                <w:sz w:val="20"/>
                <w:szCs w:val="20"/>
              </w:rPr>
              <w:t>Risks, contingencies and valuation judgements</w:t>
            </w:r>
          </w:p>
        </w:tc>
        <w:tc>
          <w:tcPr>
            <w:tcW w:w="1417" w:type="dxa"/>
            <w:gridSpan w:val="2"/>
            <w:tcBorders>
              <w:top w:val="nil"/>
              <w:left w:val="nil"/>
              <w:bottom w:val="nil"/>
              <w:right w:val="nil"/>
            </w:tcBorders>
            <w:shd w:val="clear" w:color="auto" w:fill="D9D9D9" w:themeFill="background1" w:themeFillShade="D9"/>
          </w:tcPr>
          <w:p w:rsidR="00BB6F1F" w:rsidRPr="001A6C82" w:rsidRDefault="00BB6F1F"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Section_07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C7F26">
              <w:rPr>
                <w:rFonts w:ascii="Calibri" w:eastAsia="Calibri" w:hAnsi="Calibri" w:cs="Times New Roman"/>
                <w:noProof/>
                <w:sz w:val="20"/>
                <w:szCs w:val="20"/>
              </w:rPr>
              <w:t>80</w:t>
            </w:r>
            <w:r>
              <w:rPr>
                <w:rFonts w:ascii="Calibri" w:eastAsia="Calibri" w:hAnsi="Calibri" w:cs="Times New Roman"/>
                <w:sz w:val="20"/>
                <w:szCs w:val="20"/>
              </w:rPr>
              <w:fldChar w:fldCharType="end"/>
            </w:r>
          </w:p>
        </w:tc>
      </w:tr>
      <w:tr w:rsidR="00BB6F1F" w:rsidRPr="001A6C82" w:rsidTr="00AC68FF">
        <w:trPr>
          <w:trHeight w:val="70"/>
        </w:trPr>
        <w:tc>
          <w:tcPr>
            <w:tcW w:w="1526" w:type="dxa"/>
            <w:vMerge/>
            <w:tcBorders>
              <w:left w:val="nil"/>
              <w:right w:val="nil"/>
            </w:tcBorders>
          </w:tcPr>
          <w:p w:rsidR="00BB6F1F" w:rsidRPr="001A6C82" w:rsidRDefault="00BB6F1F" w:rsidP="00AC68FF">
            <w:pPr>
              <w:rPr>
                <w:rFonts w:ascii="Calibri" w:eastAsia="Calibri" w:hAnsi="Calibri" w:cs="Times New Roman"/>
                <w:sz w:val="20"/>
                <w:szCs w:val="20"/>
              </w:rPr>
            </w:pPr>
          </w:p>
        </w:tc>
        <w:tc>
          <w:tcPr>
            <w:tcW w:w="6804" w:type="dxa"/>
            <w:tcBorders>
              <w:top w:val="nil"/>
              <w:left w:val="nil"/>
              <w:bottom w:val="nil"/>
              <w:right w:val="nil"/>
            </w:tcBorders>
          </w:tcPr>
          <w:p w:rsidR="00BB6F1F" w:rsidRPr="001A6C82" w:rsidRDefault="00BB6F1F" w:rsidP="003E2986">
            <w:pPr>
              <w:spacing w:before="60" w:after="120"/>
              <w:rPr>
                <w:rFonts w:ascii="Calibri" w:eastAsia="Calibri" w:hAnsi="Calibri" w:cs="Times New Roman"/>
                <w:sz w:val="19"/>
                <w:szCs w:val="19"/>
              </w:rPr>
            </w:pPr>
            <w:r w:rsidRPr="001A6C82">
              <w:rPr>
                <w:rFonts w:ascii="Calibri" w:eastAsia="Calibri" w:hAnsi="Calibri" w:cs="Times New Roman"/>
                <w:i/>
                <w:sz w:val="19"/>
                <w:szCs w:val="19"/>
              </w:rPr>
              <w:t xml:space="preserve">Financial </w:t>
            </w:r>
            <w:r>
              <w:rPr>
                <w:rFonts w:ascii="Calibri" w:eastAsia="Calibri" w:hAnsi="Calibri" w:cs="Times New Roman"/>
                <w:i/>
                <w:sz w:val="19"/>
                <w:szCs w:val="19"/>
              </w:rPr>
              <w:t>instruments</w:t>
            </w:r>
            <w:r w:rsidRPr="001A6C82">
              <w:rPr>
                <w:rFonts w:ascii="Calibri" w:eastAsia="Calibri" w:hAnsi="Calibri" w:cs="Times New Roman"/>
                <w:i/>
                <w:sz w:val="19"/>
                <w:szCs w:val="19"/>
              </w:rPr>
              <w:t>, contingent assets and li</w:t>
            </w:r>
            <w:r>
              <w:rPr>
                <w:rFonts w:ascii="Calibri" w:eastAsia="Calibri" w:hAnsi="Calibri" w:cs="Times New Roman"/>
                <w:i/>
                <w:sz w:val="19"/>
                <w:szCs w:val="19"/>
              </w:rPr>
              <w:t>abilities, and</w:t>
            </w:r>
            <w:r w:rsidRPr="006C54DA">
              <w:rPr>
                <w:rFonts w:ascii="Calibri" w:eastAsia="Calibri" w:hAnsi="Calibri" w:cs="Times New Roman"/>
                <w:i/>
                <w:sz w:val="19"/>
                <w:szCs w:val="19"/>
              </w:rPr>
              <w:t xml:space="preserve"> fair value </w:t>
            </w:r>
            <w:r w:rsidRPr="001A6C82">
              <w:rPr>
                <w:rFonts w:ascii="Calibri" w:eastAsia="Calibri" w:hAnsi="Calibri" w:cs="Times New Roman"/>
                <w:i/>
                <w:sz w:val="19"/>
                <w:szCs w:val="19"/>
              </w:rPr>
              <w:t>determination</w:t>
            </w:r>
            <w:r>
              <w:rPr>
                <w:rFonts w:ascii="Calibri" w:eastAsia="Calibri" w:hAnsi="Calibri" w:cs="Times New Roman"/>
                <w:i/>
                <w:sz w:val="19"/>
                <w:szCs w:val="19"/>
              </w:rPr>
              <w:t xml:space="preserve"> disclosures</w:t>
            </w:r>
          </w:p>
        </w:tc>
        <w:tc>
          <w:tcPr>
            <w:tcW w:w="1417" w:type="dxa"/>
            <w:gridSpan w:val="2"/>
            <w:tcBorders>
              <w:top w:val="nil"/>
              <w:left w:val="nil"/>
              <w:bottom w:val="nil"/>
              <w:right w:val="nil"/>
            </w:tcBorders>
          </w:tcPr>
          <w:p w:rsidR="00BB6F1F" w:rsidRPr="001A6C82" w:rsidRDefault="00BB6F1F" w:rsidP="00AC68FF"/>
        </w:tc>
      </w:tr>
      <w:tr w:rsidR="00BB6F1F" w:rsidRPr="001A6C82" w:rsidTr="00AC68FF">
        <w:tc>
          <w:tcPr>
            <w:tcW w:w="1526" w:type="dxa"/>
            <w:vMerge/>
            <w:tcBorders>
              <w:left w:val="nil"/>
              <w:right w:val="nil"/>
            </w:tcBorders>
          </w:tcPr>
          <w:p w:rsidR="00BB6F1F" w:rsidRPr="001A6C82" w:rsidRDefault="00BB6F1F"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rsidR="00BB6F1F" w:rsidRPr="001A6C82" w:rsidRDefault="00BB6F1F" w:rsidP="00AC68FF">
            <w:pPr>
              <w:spacing w:before="60" w:after="60"/>
              <w:rPr>
                <w:rFonts w:ascii="Calibri" w:eastAsia="Calibri" w:hAnsi="Calibri" w:cs="Times New Roman"/>
                <w:b/>
                <w:sz w:val="20"/>
                <w:szCs w:val="20"/>
              </w:rPr>
            </w:pPr>
            <w:r>
              <w:rPr>
                <w:rFonts w:ascii="Calibri" w:eastAsia="Calibri" w:hAnsi="Calibri" w:cs="Times New Roman"/>
                <w:b/>
                <w:sz w:val="20"/>
                <w:szCs w:val="20"/>
              </w:rPr>
              <w:t>8. Comparison</w:t>
            </w:r>
            <w:r w:rsidRPr="001A6C82">
              <w:rPr>
                <w:rFonts w:ascii="Calibri" w:eastAsia="Calibri" w:hAnsi="Calibri" w:cs="Times New Roman"/>
                <w:b/>
                <w:sz w:val="20"/>
                <w:szCs w:val="20"/>
              </w:rPr>
              <w:t xml:space="preserve"> against budget</w:t>
            </w:r>
            <w:r>
              <w:rPr>
                <w:rFonts w:ascii="Calibri" w:eastAsia="Calibri" w:hAnsi="Calibri" w:cs="Times New Roman"/>
                <w:b/>
                <w:sz w:val="20"/>
                <w:szCs w:val="20"/>
              </w:rPr>
              <w:t xml:space="preserve"> and the public account</w:t>
            </w:r>
          </w:p>
        </w:tc>
        <w:tc>
          <w:tcPr>
            <w:tcW w:w="1417" w:type="dxa"/>
            <w:gridSpan w:val="2"/>
            <w:tcBorders>
              <w:top w:val="nil"/>
              <w:left w:val="nil"/>
              <w:bottom w:val="nil"/>
              <w:right w:val="nil"/>
            </w:tcBorders>
            <w:shd w:val="clear" w:color="auto" w:fill="D9D9D9" w:themeFill="background1" w:themeFillShade="D9"/>
          </w:tcPr>
          <w:p w:rsidR="00BB6F1F" w:rsidRPr="001A6C82" w:rsidRDefault="00BB6F1F"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Page</w:t>
            </w:r>
            <w:r>
              <w:rPr>
                <w:rFonts w:ascii="Calibri" w:eastAsia="Calibri" w:hAnsi="Calibri" w:cs="Times New Roman"/>
                <w:sz w:val="20"/>
                <w:szCs w:val="20"/>
              </w:rPr>
              <w:t xml:space="preserv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Section_08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C7F26">
              <w:rPr>
                <w:rFonts w:ascii="Calibri" w:eastAsia="Calibri" w:hAnsi="Calibri" w:cs="Times New Roman"/>
                <w:noProof/>
                <w:sz w:val="20"/>
                <w:szCs w:val="20"/>
              </w:rPr>
              <w:t>107</w:t>
            </w:r>
            <w:r>
              <w:rPr>
                <w:rFonts w:ascii="Calibri" w:eastAsia="Calibri" w:hAnsi="Calibri" w:cs="Times New Roman"/>
                <w:sz w:val="20"/>
                <w:szCs w:val="20"/>
              </w:rPr>
              <w:fldChar w:fldCharType="end"/>
            </w:r>
          </w:p>
        </w:tc>
      </w:tr>
      <w:tr w:rsidR="00BB6F1F" w:rsidRPr="001A6C82" w:rsidTr="00AC68FF">
        <w:trPr>
          <w:trHeight w:val="70"/>
        </w:trPr>
        <w:tc>
          <w:tcPr>
            <w:tcW w:w="1526" w:type="dxa"/>
            <w:vMerge/>
            <w:tcBorders>
              <w:left w:val="nil"/>
              <w:right w:val="nil"/>
            </w:tcBorders>
          </w:tcPr>
          <w:p w:rsidR="00BB6F1F" w:rsidRPr="001A6C82" w:rsidRDefault="00BB6F1F" w:rsidP="00AC68FF">
            <w:pPr>
              <w:rPr>
                <w:rFonts w:ascii="Calibri" w:eastAsia="Calibri" w:hAnsi="Calibri" w:cs="Times New Roman"/>
                <w:sz w:val="20"/>
                <w:szCs w:val="20"/>
              </w:rPr>
            </w:pPr>
          </w:p>
        </w:tc>
        <w:tc>
          <w:tcPr>
            <w:tcW w:w="6804" w:type="dxa"/>
            <w:tcBorders>
              <w:top w:val="nil"/>
              <w:left w:val="nil"/>
              <w:bottom w:val="nil"/>
              <w:right w:val="nil"/>
            </w:tcBorders>
          </w:tcPr>
          <w:p w:rsidR="00BB6F1F" w:rsidRPr="001A6C82" w:rsidRDefault="00BB6F1F" w:rsidP="005B0F23">
            <w:pPr>
              <w:spacing w:before="60" w:after="120"/>
              <w:rPr>
                <w:rFonts w:ascii="Calibri" w:eastAsia="Calibri" w:hAnsi="Calibri" w:cs="Times New Roman"/>
                <w:i/>
                <w:sz w:val="19"/>
                <w:szCs w:val="19"/>
              </w:rPr>
            </w:pPr>
            <w:r w:rsidRPr="001A6C82">
              <w:rPr>
                <w:rFonts w:ascii="Calibri" w:eastAsia="Calibri" w:hAnsi="Calibri" w:cs="Times New Roman"/>
                <w:i/>
                <w:sz w:val="19"/>
                <w:szCs w:val="19"/>
              </w:rPr>
              <w:t>Explanations of material variances between budg</w:t>
            </w:r>
            <w:r>
              <w:rPr>
                <w:rFonts w:ascii="Calibri" w:eastAsia="Calibri" w:hAnsi="Calibri" w:cs="Times New Roman"/>
                <w:i/>
                <w:sz w:val="19"/>
                <w:szCs w:val="19"/>
              </w:rPr>
              <w:t xml:space="preserve">et and actual outcomes, and </w:t>
            </w:r>
            <w:r w:rsidR="005B0F23">
              <w:rPr>
                <w:rFonts w:ascii="Calibri" w:eastAsia="Calibri" w:hAnsi="Calibri" w:cs="Times New Roman"/>
                <w:i/>
                <w:sz w:val="19"/>
                <w:szCs w:val="19"/>
              </w:rPr>
              <w:br/>
            </w:r>
            <w:r w:rsidRPr="001A6C82">
              <w:rPr>
                <w:rFonts w:ascii="Calibri" w:eastAsia="Calibri" w:hAnsi="Calibri" w:cs="Times New Roman"/>
                <w:i/>
                <w:sz w:val="19"/>
                <w:szCs w:val="19"/>
              </w:rPr>
              <w:t>public account disclosure</w:t>
            </w:r>
            <w:r>
              <w:rPr>
                <w:rFonts w:ascii="Calibri" w:eastAsia="Calibri" w:hAnsi="Calibri" w:cs="Times New Roman"/>
                <w:i/>
                <w:sz w:val="19"/>
                <w:szCs w:val="19"/>
              </w:rPr>
              <w:t>s</w:t>
            </w:r>
          </w:p>
        </w:tc>
        <w:tc>
          <w:tcPr>
            <w:tcW w:w="1417" w:type="dxa"/>
            <w:gridSpan w:val="2"/>
            <w:tcBorders>
              <w:top w:val="nil"/>
              <w:left w:val="nil"/>
              <w:bottom w:val="nil"/>
              <w:right w:val="nil"/>
            </w:tcBorders>
          </w:tcPr>
          <w:p w:rsidR="00BB6F1F" w:rsidRPr="001A6C82" w:rsidRDefault="00BB6F1F" w:rsidP="00AC68FF"/>
        </w:tc>
      </w:tr>
      <w:tr w:rsidR="00BB6F1F" w:rsidRPr="001A6C82" w:rsidTr="00AC68FF">
        <w:tc>
          <w:tcPr>
            <w:tcW w:w="1526" w:type="dxa"/>
            <w:vMerge/>
            <w:tcBorders>
              <w:left w:val="nil"/>
              <w:bottom w:val="single" w:sz="8" w:space="0" w:color="auto"/>
              <w:right w:val="nil"/>
            </w:tcBorders>
          </w:tcPr>
          <w:p w:rsidR="00BB6F1F" w:rsidRPr="001A6C82" w:rsidRDefault="00BB6F1F" w:rsidP="00AC68FF">
            <w:pPr>
              <w:rPr>
                <w:rFonts w:ascii="Calibri" w:eastAsia="Calibri" w:hAnsi="Calibri" w:cs="Times New Roman"/>
                <w:sz w:val="20"/>
                <w:szCs w:val="20"/>
              </w:rPr>
            </w:pPr>
          </w:p>
        </w:tc>
        <w:tc>
          <w:tcPr>
            <w:tcW w:w="6804" w:type="dxa"/>
            <w:tcBorders>
              <w:top w:val="nil"/>
              <w:left w:val="nil"/>
              <w:bottom w:val="single" w:sz="8" w:space="0" w:color="auto"/>
              <w:right w:val="nil"/>
            </w:tcBorders>
            <w:shd w:val="clear" w:color="auto" w:fill="D9D9D9" w:themeFill="background1" w:themeFillShade="D9"/>
          </w:tcPr>
          <w:p w:rsidR="00BB6F1F" w:rsidRPr="001A6C82" w:rsidRDefault="00BB6F1F" w:rsidP="00AC68FF">
            <w:pPr>
              <w:spacing w:before="60" w:after="60"/>
              <w:rPr>
                <w:rFonts w:ascii="Calibri" w:eastAsia="Calibri" w:hAnsi="Calibri" w:cs="Times New Roman"/>
                <w:b/>
                <w:sz w:val="20"/>
                <w:szCs w:val="20"/>
              </w:rPr>
            </w:pPr>
            <w:r>
              <w:rPr>
                <w:rFonts w:ascii="Calibri" w:eastAsia="Calibri" w:hAnsi="Calibri" w:cs="Times New Roman"/>
                <w:b/>
                <w:sz w:val="20"/>
                <w:szCs w:val="20"/>
              </w:rPr>
              <w:t>9</w:t>
            </w:r>
            <w:r w:rsidRPr="001A6C82">
              <w:rPr>
                <w:rFonts w:ascii="Calibri" w:eastAsia="Calibri" w:hAnsi="Calibri" w:cs="Times New Roman"/>
                <w:b/>
                <w:sz w:val="20"/>
                <w:szCs w:val="20"/>
              </w:rPr>
              <w:t>. Other disclosures</w:t>
            </w:r>
          </w:p>
        </w:tc>
        <w:tc>
          <w:tcPr>
            <w:tcW w:w="1417" w:type="dxa"/>
            <w:gridSpan w:val="2"/>
            <w:tcBorders>
              <w:top w:val="nil"/>
              <w:left w:val="nil"/>
              <w:bottom w:val="single" w:sz="8" w:space="0" w:color="auto"/>
              <w:right w:val="nil"/>
            </w:tcBorders>
            <w:shd w:val="clear" w:color="auto" w:fill="D9D9D9" w:themeFill="background1" w:themeFillShade="D9"/>
          </w:tcPr>
          <w:p w:rsidR="00BB6F1F" w:rsidRPr="001A6C82" w:rsidRDefault="00BB6F1F"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Section_09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C7F26">
              <w:rPr>
                <w:rFonts w:ascii="Calibri" w:eastAsia="Calibri" w:hAnsi="Calibri" w:cs="Times New Roman"/>
                <w:noProof/>
                <w:sz w:val="20"/>
                <w:szCs w:val="20"/>
              </w:rPr>
              <w:t>129</w:t>
            </w:r>
            <w:r>
              <w:rPr>
                <w:rFonts w:ascii="Calibri" w:eastAsia="Calibri" w:hAnsi="Calibri" w:cs="Times New Roman"/>
                <w:sz w:val="20"/>
                <w:szCs w:val="20"/>
              </w:rPr>
              <w:fldChar w:fldCharType="end"/>
            </w:r>
          </w:p>
        </w:tc>
      </w:tr>
    </w:tbl>
    <w:p w:rsidR="00BB6F1F" w:rsidRDefault="00BB6F1F">
      <w:pPr>
        <w:keepLines w:val="0"/>
      </w:pPr>
    </w:p>
    <w:p w:rsidR="00BB6F1F" w:rsidRDefault="00BB6F1F">
      <w:pPr>
        <w:keepLines w:val="0"/>
      </w:pPr>
      <w:r>
        <w:br w:type="page"/>
      </w:r>
    </w:p>
    <w:p w:rsidR="00BB6F1F" w:rsidRDefault="00BB6F1F" w:rsidP="00AC68FF">
      <w:pPr>
        <w:pStyle w:val="Heading10"/>
      </w:pPr>
      <w:r>
        <w:lastRenderedPageBreak/>
        <w:t xml:space="preserve">PUBLIC SECTOR </w:t>
      </w:r>
      <w:r w:rsidRPr="00995105">
        <w:t>TERMS</w:t>
      </w:r>
      <w:r>
        <w:t xml:space="preserve"> EXPLAINED</w:t>
      </w:r>
    </w:p>
    <w:p w:rsidR="00BB6F1F" w:rsidRDefault="00BB6F1F" w:rsidP="00AC68FF">
      <w:r>
        <w:t>The State of Victoria reporting entity includes government departments, public non-financial corporations (PNFCs), public financial corporations (PFCs) and other government controlled entities. The State and most of its subsidiary entities are not-for-profit entities.</w:t>
      </w:r>
    </w:p>
    <w:p w:rsidR="00BB6F1F" w:rsidRDefault="00BB6F1F" w:rsidP="00AC68FF"/>
    <w:p w:rsidR="00BB6F1F" w:rsidRDefault="00BB6F1F" w:rsidP="00AC68FF">
      <w:pPr>
        <w:jc w:val="center"/>
      </w:pPr>
      <w:r w:rsidRPr="00E97BE2">
        <w:rPr>
          <w:noProof/>
          <w:lang w:eastAsia="en-AU"/>
        </w:rPr>
        <w:drawing>
          <wp:inline distT="0" distB="0" distL="0" distR="0" wp14:anchorId="170E31E4" wp14:editId="169CB14D">
            <wp:extent cx="4981575" cy="187984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81575" cy="1879840"/>
                    </a:xfrm>
                    <a:prstGeom prst="rect">
                      <a:avLst/>
                    </a:prstGeom>
                    <a:noFill/>
                    <a:ln>
                      <a:noFill/>
                    </a:ln>
                  </pic:spPr>
                </pic:pic>
              </a:graphicData>
            </a:graphic>
          </wp:inline>
        </w:drawing>
      </w:r>
    </w:p>
    <w:p w:rsidR="00BB6F1F" w:rsidRDefault="00BB6F1F" w:rsidP="00AC68FF">
      <w:pPr>
        <w:jc w:val="center"/>
      </w:pPr>
    </w:p>
    <w:p w:rsidR="00BB6F1F" w:rsidRDefault="00BB6F1F" w:rsidP="00AC68FF">
      <w:pPr>
        <w:spacing w:after="120"/>
      </w:pPr>
      <w:r>
        <w:t>The</w:t>
      </w:r>
      <w:r w:rsidRPr="00765456">
        <w:t xml:space="preserve"> </w:t>
      </w:r>
      <w:r>
        <w:t xml:space="preserve">State controlled </w:t>
      </w:r>
      <w:r w:rsidRPr="00765456">
        <w:t>entities are classified into</w:t>
      </w:r>
      <w:r>
        <w:t xml:space="preserve"> various</w:t>
      </w:r>
      <w:r w:rsidRPr="00765456">
        <w:t xml:space="preserve"> sectors according to </w:t>
      </w:r>
      <w:r>
        <w:t>the System of National Accounts, as follows:</w:t>
      </w:r>
    </w:p>
    <w:tbl>
      <w:tblPr>
        <w:tblStyle w:val="DTFTable"/>
        <w:tblW w:w="9639" w:type="dxa"/>
        <w:tblLook w:val="04A0" w:firstRow="1" w:lastRow="0" w:firstColumn="1" w:lastColumn="0" w:noHBand="0" w:noVBand="1"/>
      </w:tblPr>
      <w:tblGrid>
        <w:gridCol w:w="1864"/>
        <w:gridCol w:w="7775"/>
      </w:tblGrid>
      <w:tr w:rsidR="00BB6F1F" w:rsidRPr="00B42574" w:rsidTr="00AC68FF">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64" w:type="dxa"/>
          </w:tcPr>
          <w:p w:rsidR="00BB6F1F" w:rsidRPr="00B42574" w:rsidRDefault="00BB6F1F" w:rsidP="00AC68FF">
            <w:pPr>
              <w:rPr>
                <w:sz w:val="19"/>
                <w:szCs w:val="19"/>
              </w:rPr>
            </w:pPr>
            <w:r w:rsidRPr="00B42574">
              <w:rPr>
                <w:sz w:val="19"/>
                <w:szCs w:val="19"/>
              </w:rPr>
              <w:t>Term</w:t>
            </w:r>
          </w:p>
        </w:tc>
        <w:tc>
          <w:tcPr>
            <w:tcW w:w="7775" w:type="dxa"/>
          </w:tcPr>
          <w:p w:rsidR="00BB6F1F" w:rsidRPr="00B42574" w:rsidRDefault="00BB6F1F" w:rsidP="00AC68FF">
            <w:pPr>
              <w:jc w:val="left"/>
              <w:cnfStyle w:val="100000000000" w:firstRow="1" w:lastRow="0" w:firstColumn="0" w:lastColumn="0" w:oddVBand="0" w:evenVBand="0" w:oddHBand="0" w:evenHBand="0" w:firstRowFirstColumn="0" w:firstRowLastColumn="0" w:lastRowFirstColumn="0" w:lastRowLastColumn="0"/>
              <w:rPr>
                <w:sz w:val="19"/>
                <w:szCs w:val="19"/>
              </w:rPr>
            </w:pPr>
            <w:r w:rsidRPr="00B42574">
              <w:rPr>
                <w:sz w:val="19"/>
                <w:szCs w:val="19"/>
              </w:rPr>
              <w:t>Explanation</w:t>
            </w:r>
          </w:p>
        </w:tc>
      </w:tr>
      <w:tr w:rsidR="00BB6F1F" w:rsidRPr="00B42574"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rsidR="00BB6F1F" w:rsidRPr="00B42574" w:rsidRDefault="00BB6F1F" w:rsidP="00AC68FF">
            <w:pPr>
              <w:ind w:left="0" w:firstLine="0"/>
              <w:rPr>
                <w:sz w:val="19"/>
                <w:szCs w:val="19"/>
              </w:rPr>
            </w:pPr>
            <w:r w:rsidRPr="00B42574">
              <w:rPr>
                <w:sz w:val="19"/>
                <w:szCs w:val="19"/>
              </w:rPr>
              <w:t>General government sector (GGS)</w:t>
            </w:r>
          </w:p>
        </w:tc>
        <w:tc>
          <w:tcPr>
            <w:tcW w:w="7775" w:type="dxa"/>
          </w:tcPr>
          <w:p w:rsidR="00BB6F1F" w:rsidRPr="00B42574" w:rsidRDefault="00BB6F1F" w:rsidP="00AC68FF">
            <w:pPr>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 xml:space="preserve">The Victorian general government sector includes all government departments, offices and other bodies engaged in providing services free of charge or at prices significantly below their cost of production. The general government sector is not a separate entity but represents a sector within the State of Victoria reporting entity, and is reported in accordance with </w:t>
            </w:r>
            <w:r>
              <w:rPr>
                <w:sz w:val="19"/>
                <w:szCs w:val="19"/>
              </w:rPr>
              <w:br/>
            </w:r>
            <w:r w:rsidRPr="00B42574">
              <w:rPr>
                <w:sz w:val="19"/>
                <w:szCs w:val="19"/>
              </w:rPr>
              <w:t xml:space="preserve">AASB 1049 </w:t>
            </w:r>
            <w:r w:rsidRPr="00B42574">
              <w:rPr>
                <w:i/>
                <w:sz w:val="19"/>
                <w:szCs w:val="19"/>
              </w:rPr>
              <w:t>Whole of Government and General Government Sector Financial Reporting</w:t>
            </w:r>
            <w:r w:rsidRPr="00B42574">
              <w:rPr>
                <w:sz w:val="19"/>
                <w:szCs w:val="19"/>
              </w:rPr>
              <w:t>.</w:t>
            </w:r>
          </w:p>
          <w:p w:rsidR="00BB6F1F" w:rsidRPr="00B42574" w:rsidRDefault="00BB6F1F" w:rsidP="00AC68FF">
            <w:pPr>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 xml:space="preserve">The primary function of entities within the general government sector is to provide public services </w:t>
            </w:r>
            <w:r>
              <w:rPr>
                <w:sz w:val="19"/>
                <w:szCs w:val="19"/>
              </w:rPr>
              <w:t>(outputs), which are mainly non-</w:t>
            </w:r>
            <w:r w:rsidRPr="00B42574">
              <w:rPr>
                <w:sz w:val="19"/>
                <w:szCs w:val="19"/>
              </w:rPr>
              <w:t>market in nature for the collective consumption of the community, and involve the transfer or redistribution of revenue which is financed mainly through taxes and other compulsory levies.</w:t>
            </w:r>
          </w:p>
        </w:tc>
      </w:tr>
      <w:tr w:rsidR="00BB6F1F" w:rsidRPr="00B42574"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rsidR="00BB6F1F" w:rsidRPr="00B42574" w:rsidRDefault="00BB6F1F" w:rsidP="00AC68FF">
            <w:pPr>
              <w:ind w:left="0" w:firstLine="0"/>
              <w:rPr>
                <w:sz w:val="19"/>
                <w:szCs w:val="19"/>
              </w:rPr>
            </w:pPr>
            <w:r w:rsidRPr="00B42574">
              <w:rPr>
                <w:sz w:val="19"/>
                <w:szCs w:val="19"/>
              </w:rPr>
              <w:t>Public non-financial corporations (PNFC) sector</w:t>
            </w:r>
          </w:p>
        </w:tc>
        <w:tc>
          <w:tcPr>
            <w:tcW w:w="7775" w:type="dxa"/>
          </w:tcPr>
          <w:p w:rsidR="00BB6F1F" w:rsidRPr="00B42574" w:rsidRDefault="00BB6F1F" w:rsidP="00AC68FF">
            <w:pPr>
              <w:jc w:val="left"/>
              <w:cnfStyle w:val="000000010000" w:firstRow="0" w:lastRow="0" w:firstColumn="0" w:lastColumn="0" w:oddVBand="0" w:evenVBand="0" w:oddHBand="0" w:evenHBand="1" w:firstRowFirstColumn="0" w:firstRowLastColumn="0" w:lastRowFirstColumn="0" w:lastRowLastColumn="0"/>
              <w:rPr>
                <w:sz w:val="19"/>
                <w:szCs w:val="19"/>
              </w:rPr>
            </w:pPr>
            <w:r w:rsidRPr="00B42574">
              <w:rPr>
                <w:sz w:val="19"/>
                <w:szCs w:val="19"/>
              </w:rPr>
              <w:t>The primary function of entities in the PNFC sector is to provide goods and services in a competitive market that is non-regulatory and non</w:t>
            </w:r>
            <w:r w:rsidRPr="00B42574">
              <w:rPr>
                <w:sz w:val="19"/>
                <w:szCs w:val="19"/>
              </w:rPr>
              <w:noBreakHyphen/>
              <w:t>financial in nature. Such entities are financed mainly through sales to the consumer of these goods and services.</w:t>
            </w:r>
          </w:p>
        </w:tc>
      </w:tr>
      <w:tr w:rsidR="00BB6F1F" w:rsidRPr="00B42574"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rsidR="00BB6F1F" w:rsidRPr="00B42574" w:rsidRDefault="00BB6F1F" w:rsidP="00AC68FF">
            <w:pPr>
              <w:ind w:left="0" w:firstLine="0"/>
              <w:rPr>
                <w:sz w:val="19"/>
                <w:szCs w:val="19"/>
              </w:rPr>
            </w:pPr>
            <w:r w:rsidRPr="00B42574">
              <w:rPr>
                <w:sz w:val="19"/>
                <w:szCs w:val="19"/>
              </w:rPr>
              <w:t>Public financial corporations (PFC) sector</w:t>
            </w:r>
          </w:p>
        </w:tc>
        <w:tc>
          <w:tcPr>
            <w:tcW w:w="7775" w:type="dxa"/>
          </w:tcPr>
          <w:p w:rsidR="00BB6F1F" w:rsidRPr="00B42574" w:rsidRDefault="00BB6F1F" w:rsidP="00AC68FF">
            <w:pPr>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 PFC sector comprises entities engaged primarily in providing financial intermediation services or auxiliary financial services and which have one or more of the following characteristics:</w:t>
            </w:r>
          </w:p>
          <w:p w:rsidR="00BB6F1F" w:rsidRPr="00B42574" w:rsidRDefault="00BB6F1F" w:rsidP="00BB6F1F">
            <w:pPr>
              <w:pStyle w:val="ListBullet"/>
              <w:keepLines w:val="0"/>
              <w:numPr>
                <w:ilvl w:val="0"/>
                <w:numId w:val="21"/>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perform a central borrowing function;</w:t>
            </w:r>
          </w:p>
          <w:p w:rsidR="00BB6F1F" w:rsidRPr="00B42574" w:rsidRDefault="00BB6F1F" w:rsidP="00BB6F1F">
            <w:pPr>
              <w:pStyle w:val="ListBullet"/>
              <w:keepLines w:val="0"/>
              <w:numPr>
                <w:ilvl w:val="0"/>
                <w:numId w:val="21"/>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provide insurance services;</w:t>
            </w:r>
          </w:p>
          <w:p w:rsidR="00BB6F1F" w:rsidRPr="00B42574" w:rsidRDefault="00BB6F1F" w:rsidP="00BB6F1F">
            <w:pPr>
              <w:pStyle w:val="ListBullet"/>
              <w:keepLines w:val="0"/>
              <w:numPr>
                <w:ilvl w:val="0"/>
                <w:numId w:val="21"/>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accept call, term or savings deposits; or</w:t>
            </w:r>
          </w:p>
          <w:p w:rsidR="00BB6F1F" w:rsidRPr="00B42574" w:rsidRDefault="00BB6F1F" w:rsidP="00BB6F1F">
            <w:pPr>
              <w:pStyle w:val="ListBullet"/>
              <w:keepLines w:val="0"/>
              <w:numPr>
                <w:ilvl w:val="0"/>
                <w:numId w:val="21"/>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have the ability to incur liabilities and acquire financial assets in the market on their own account.</w:t>
            </w:r>
          </w:p>
        </w:tc>
      </w:tr>
      <w:tr w:rsidR="00BB6F1F" w:rsidRPr="00B42574"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rsidR="00BB6F1F" w:rsidRPr="00B42574" w:rsidRDefault="00BB6F1F" w:rsidP="00AC68FF">
            <w:pPr>
              <w:ind w:left="0" w:firstLine="0"/>
              <w:rPr>
                <w:sz w:val="19"/>
                <w:szCs w:val="19"/>
              </w:rPr>
            </w:pPr>
            <w:r w:rsidRPr="00B42574">
              <w:rPr>
                <w:sz w:val="19"/>
                <w:szCs w:val="19"/>
              </w:rPr>
              <w:t>Non-financial public sector (NFPS)</w:t>
            </w:r>
          </w:p>
        </w:tc>
        <w:tc>
          <w:tcPr>
            <w:tcW w:w="7775" w:type="dxa"/>
          </w:tcPr>
          <w:p w:rsidR="00BB6F1F" w:rsidRPr="00B42574" w:rsidRDefault="00BB6F1F" w:rsidP="00AC68FF">
            <w:pPr>
              <w:jc w:val="left"/>
              <w:cnfStyle w:val="000000010000" w:firstRow="0" w:lastRow="0" w:firstColumn="0" w:lastColumn="0" w:oddVBand="0" w:evenVBand="0" w:oddHBand="0" w:evenHBand="1" w:firstRowFirstColumn="0" w:firstRowLastColumn="0" w:lastRowFirstColumn="0" w:lastRowLastColumn="0"/>
              <w:rPr>
                <w:sz w:val="19"/>
                <w:szCs w:val="19"/>
              </w:rPr>
            </w:pPr>
            <w:r w:rsidRPr="00B42574">
              <w:rPr>
                <w:sz w:val="19"/>
                <w:szCs w:val="19"/>
              </w:rPr>
              <w:t>The NFPS sector repre</w:t>
            </w:r>
            <w:r>
              <w:rPr>
                <w:sz w:val="19"/>
                <w:szCs w:val="19"/>
              </w:rPr>
              <w:t>sents the consolidation of the general government</w:t>
            </w:r>
            <w:r w:rsidRPr="00B42574">
              <w:rPr>
                <w:sz w:val="19"/>
                <w:szCs w:val="19"/>
              </w:rPr>
              <w:t xml:space="preserve"> and PNFC sectors.</w:t>
            </w:r>
          </w:p>
        </w:tc>
      </w:tr>
    </w:tbl>
    <w:p w:rsidR="00BB6F1F" w:rsidRDefault="00BB6F1F" w:rsidP="00AC68FF">
      <w:r w:rsidRPr="004C1FBB">
        <w:t>Note 9.1 disaggregates information about these sectors. Disclosing this information assists users of the financial statements to determine the effects of differing activities on the financial performance and position of the State. It also assists users to identify the resources used in a range of goods and services, and the extent to which the State has recovered the costs of those resources from revenues attributable to those activities.</w:t>
      </w:r>
    </w:p>
    <w:p w:rsidR="00BB6F1F" w:rsidRDefault="00BB6F1F">
      <w:pPr>
        <w:keepLines w:val="0"/>
      </w:pPr>
      <w:r>
        <w:br w:type="page"/>
      </w:r>
    </w:p>
    <w:p w:rsidR="00BB6F1F" w:rsidRDefault="00BB6F1F" w:rsidP="00AC68FF">
      <w:pPr>
        <w:pStyle w:val="Heading10"/>
      </w:pPr>
      <w:bookmarkStart w:id="4" w:name="AG_Report"/>
      <w:r w:rsidRPr="004C1FBB">
        <w:lastRenderedPageBreak/>
        <w:t>REPORT OF THE AUDITOR-GENERAL</w:t>
      </w:r>
      <w:bookmarkEnd w:id="4"/>
    </w:p>
    <w:p w:rsidR="00BB6F1F" w:rsidRDefault="00D705FE" w:rsidP="00D705FE">
      <w:pPr>
        <w:jc w:val="center"/>
      </w:pPr>
      <w:r>
        <w:rPr>
          <w:noProof/>
          <w:lang w:eastAsia="en-AU"/>
        </w:rPr>
        <w:drawing>
          <wp:inline distT="0" distB="0" distL="0" distR="0">
            <wp:extent cx="5796000" cy="8638536"/>
            <wp:effectExtent l="0" t="0" r="0" b="0"/>
            <wp:docPr id="56" name="Picture 56" descr="R:\Admin\eDraftPDFs\AFR\Certification\AG Repo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R:\Admin\eDraftPDFs\AFR\Certification\AG Report-1.png"/>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5796000" cy="8638536"/>
                    </a:xfrm>
                    <a:prstGeom prst="rect">
                      <a:avLst/>
                    </a:prstGeom>
                    <a:noFill/>
                    <a:ln>
                      <a:noFill/>
                    </a:ln>
                    <a:extLst>
                      <a:ext uri="{53640926-AAD7-44D8-BBD7-CCE9431645EC}">
                        <a14:shadowObscured xmlns:a14="http://schemas.microsoft.com/office/drawing/2010/main"/>
                      </a:ext>
                    </a:extLst>
                  </pic:spPr>
                </pic:pic>
              </a:graphicData>
            </a:graphic>
          </wp:inline>
        </w:drawing>
      </w:r>
    </w:p>
    <w:p w:rsidR="00BB6F1F" w:rsidRDefault="00111AEE" w:rsidP="00D705FE">
      <w:pPr>
        <w:jc w:val="center"/>
      </w:pPr>
      <w:r>
        <w:rPr>
          <w:noProof/>
          <w:lang w:eastAsia="en-AU"/>
        </w:rPr>
        <w:lastRenderedPageBreak/>
        <w:drawing>
          <wp:inline distT="0" distB="0" distL="0" distR="0" wp14:anchorId="3B1D4C5F" wp14:editId="6E079F3E">
            <wp:extent cx="5796000" cy="8911194"/>
            <wp:effectExtent l="0" t="0" r="0" b="4445"/>
            <wp:docPr id="53" name="Picture 53" descr="R:\Admin\eDraftPDFs\AFR\Certification\AG Repo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R:\Admin\eDraftPDFs\AFR\Certification\AG Report-2.png"/>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5796000" cy="8911194"/>
                    </a:xfrm>
                    <a:prstGeom prst="rect">
                      <a:avLst/>
                    </a:prstGeom>
                    <a:noFill/>
                    <a:ln>
                      <a:noFill/>
                    </a:ln>
                    <a:extLst>
                      <a:ext uri="{53640926-AAD7-44D8-BBD7-CCE9431645EC}">
                        <a14:shadowObscured xmlns:a14="http://schemas.microsoft.com/office/drawing/2010/main"/>
                      </a:ext>
                    </a:extLst>
                  </pic:spPr>
                </pic:pic>
              </a:graphicData>
            </a:graphic>
          </wp:inline>
        </w:drawing>
      </w:r>
    </w:p>
    <w:p w:rsidR="00BB6F1F" w:rsidRDefault="00111AEE" w:rsidP="00D705FE">
      <w:pPr>
        <w:jc w:val="center"/>
      </w:pPr>
      <w:r>
        <w:rPr>
          <w:noProof/>
          <w:lang w:eastAsia="en-AU"/>
        </w:rPr>
        <w:lastRenderedPageBreak/>
        <w:drawing>
          <wp:inline distT="0" distB="0" distL="0" distR="0">
            <wp:extent cx="5940000" cy="8916037"/>
            <wp:effectExtent l="0" t="0" r="3810" b="0"/>
            <wp:docPr id="54" name="Picture 54" descr="R:\Admin\eDraftPDFs\AFR\Certification\AG Repo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R:\Admin\eDraftPDFs\AFR\Certification\AG Report-3.png"/>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5940000" cy="8916037"/>
                    </a:xfrm>
                    <a:prstGeom prst="rect">
                      <a:avLst/>
                    </a:prstGeom>
                    <a:noFill/>
                    <a:ln>
                      <a:noFill/>
                    </a:ln>
                    <a:extLst>
                      <a:ext uri="{53640926-AAD7-44D8-BBD7-CCE9431645EC}">
                        <a14:shadowObscured xmlns:a14="http://schemas.microsoft.com/office/drawing/2010/main"/>
                      </a:ext>
                    </a:extLst>
                  </pic:spPr>
                </pic:pic>
              </a:graphicData>
            </a:graphic>
          </wp:inline>
        </w:drawing>
      </w:r>
    </w:p>
    <w:p w:rsidR="00D705FE" w:rsidRDefault="00D705FE" w:rsidP="00D705FE">
      <w:pPr>
        <w:jc w:val="center"/>
      </w:pPr>
      <w:r>
        <w:rPr>
          <w:noProof/>
          <w:lang w:eastAsia="en-AU"/>
        </w:rPr>
        <w:lastRenderedPageBreak/>
        <w:drawing>
          <wp:inline distT="0" distB="0" distL="0" distR="0">
            <wp:extent cx="5904000" cy="8859551"/>
            <wp:effectExtent l="0" t="0" r="1905" b="0"/>
            <wp:docPr id="55" name="Picture 55" descr="R:\Admin\eDraftPDFs\AFR\Certification\AG Repor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R:\Admin\eDraftPDFs\AFR\Certification\AG Report-4.png"/>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5904000" cy="8859551"/>
                    </a:xfrm>
                    <a:prstGeom prst="rect">
                      <a:avLst/>
                    </a:prstGeom>
                    <a:noFill/>
                    <a:ln>
                      <a:noFill/>
                    </a:ln>
                    <a:extLst>
                      <a:ext uri="{53640926-AAD7-44D8-BBD7-CCE9431645EC}">
                        <a14:shadowObscured xmlns:a14="http://schemas.microsoft.com/office/drawing/2010/main"/>
                      </a:ext>
                    </a:extLst>
                  </pic:spPr>
                </pic:pic>
              </a:graphicData>
            </a:graphic>
          </wp:inline>
        </w:drawing>
      </w:r>
    </w:p>
    <w:p w:rsidR="00BB6F1F" w:rsidRDefault="00BB6F1F" w:rsidP="00AC68FF">
      <w:pPr>
        <w:pStyle w:val="Heading10"/>
      </w:pPr>
      <w:bookmarkStart w:id="5" w:name="Certification"/>
      <w:r w:rsidRPr="004C1FBB">
        <w:lastRenderedPageBreak/>
        <w:t>CERTIFICATION</w:t>
      </w:r>
      <w:bookmarkEnd w:id="5"/>
      <w:r w:rsidRPr="004C1FBB">
        <w:t xml:space="preserve"> BY </w:t>
      </w:r>
      <w:r w:rsidRPr="00995105">
        <w:t>THE</w:t>
      </w:r>
      <w:r w:rsidRPr="004C1FBB">
        <w:t xml:space="preserve"> TREASURER AND THE DEPARTMENT OF TREASURY AND FINANCE</w:t>
      </w:r>
    </w:p>
    <w:p w:rsidR="00BB6F1F" w:rsidRPr="00F23E76" w:rsidRDefault="00BB6F1F" w:rsidP="00AC68FF">
      <w:r w:rsidRPr="00F23E76">
        <w:t xml:space="preserve">The Department of Treasury and Finance has prepared </w:t>
      </w:r>
      <w:r>
        <w:t xml:space="preserve">the </w:t>
      </w:r>
      <w:r w:rsidRPr="00F23E76">
        <w:rPr>
          <w:i/>
        </w:rPr>
        <w:t>Annual Financial Report</w:t>
      </w:r>
      <w:r w:rsidRPr="00F23E76">
        <w:t xml:space="preserve"> </w:t>
      </w:r>
      <w:r>
        <w:t xml:space="preserve">through consolidating the </w:t>
      </w:r>
      <w:r w:rsidRPr="00F23E76">
        <w:t>financial information provided by the Victorian public sector reporting entities listed herein.</w:t>
      </w:r>
    </w:p>
    <w:p w:rsidR="00BB6F1F" w:rsidRPr="00F23E76" w:rsidRDefault="00BB6F1F" w:rsidP="00AC68FF">
      <w:r w:rsidRPr="00F23E76">
        <w:t xml:space="preserve">In our opinion, the </w:t>
      </w:r>
      <w:r w:rsidRPr="00F23E76">
        <w:rPr>
          <w:i/>
        </w:rPr>
        <w:t>Annual Financial Report</w:t>
      </w:r>
      <w:r>
        <w:t xml:space="preserve">, which comprises </w:t>
      </w:r>
      <w:r w:rsidRPr="00F23E76">
        <w:t>the consolidated comprehensive operating statement, consolidated balance sheet, consolidated cash flow statement, consolidated statement of changes in equity, and notes to the financial statements of the State and the Victorian general government sector as at 30</w:t>
      </w:r>
      <w:r>
        <w:t> June 2017</w:t>
      </w:r>
      <w:r w:rsidRPr="00F23E76">
        <w:t>:</w:t>
      </w:r>
    </w:p>
    <w:p w:rsidR="00BB6F1F" w:rsidRPr="00F23E76" w:rsidRDefault="00BB6F1F" w:rsidP="00AC68FF">
      <w:pPr>
        <w:ind w:left="567" w:hanging="567"/>
      </w:pPr>
      <w:r w:rsidRPr="00F23E76">
        <w:t>(a)</w:t>
      </w:r>
      <w:r w:rsidRPr="00F23E76">
        <w:tab/>
        <w:t>presents fairly the State</w:t>
      </w:r>
      <w:r>
        <w:t>’s</w:t>
      </w:r>
      <w:r w:rsidRPr="00F23E76">
        <w:t xml:space="preserve"> and the Victorian general government sector</w:t>
      </w:r>
      <w:r>
        <w:t>’</w:t>
      </w:r>
      <w:r w:rsidRPr="00F23E76">
        <w:t>s financ</w:t>
      </w:r>
      <w:r>
        <w:t xml:space="preserve">ial positions as at </w:t>
      </w:r>
      <w:r>
        <w:br/>
        <w:t>30 June 2017</w:t>
      </w:r>
      <w:r w:rsidRPr="00F23E76">
        <w:t xml:space="preserve"> and their financial performance and cash flows for the financial year ended on that date; and</w:t>
      </w:r>
    </w:p>
    <w:p w:rsidR="00BB6F1F" w:rsidRPr="00F23E76" w:rsidRDefault="00BB6F1F" w:rsidP="00AC68FF">
      <w:pPr>
        <w:ind w:left="567" w:hanging="567"/>
      </w:pPr>
      <w:r w:rsidRPr="00F23E76">
        <w:t>(b)</w:t>
      </w:r>
      <w:r w:rsidRPr="00F23E76">
        <w:tab/>
        <w:t xml:space="preserve">has been prepared in accordance with Australian Accounting Standards and pronouncements, in particular AASB 1049 </w:t>
      </w:r>
      <w:r w:rsidRPr="00F23E76">
        <w:rPr>
          <w:i/>
        </w:rPr>
        <w:t xml:space="preserve">Whole of Government and General Government Sector Financial Reporting </w:t>
      </w:r>
      <w:r w:rsidRPr="00F23E76">
        <w:t xml:space="preserve">and the financial reporting requirements contained in Part 5 of the </w:t>
      </w:r>
      <w:r w:rsidRPr="00F23E76">
        <w:rPr>
          <w:i/>
        </w:rPr>
        <w:t>Financial Management Act 1994</w:t>
      </w:r>
      <w:r w:rsidRPr="00F23E76">
        <w:t>.</w:t>
      </w:r>
    </w:p>
    <w:p w:rsidR="00BB6F1F" w:rsidRPr="00F23E76" w:rsidRDefault="00BB6F1F" w:rsidP="00AC68FF">
      <w:r w:rsidRPr="00F23E76">
        <w:t xml:space="preserve">At the time of signing, we are not aware of any circumstances which would render any particulars included in the </w:t>
      </w:r>
      <w:r w:rsidRPr="00F23E76">
        <w:rPr>
          <w:i/>
        </w:rPr>
        <w:t>Annual Financial Report</w:t>
      </w:r>
      <w:r w:rsidRPr="00F23E76">
        <w:t xml:space="preserve"> to be misleading or inaccurate.</w:t>
      </w:r>
    </w:p>
    <w:p w:rsidR="00BB6F1F" w:rsidRDefault="00BB6F1F" w:rsidP="00AC68FF"/>
    <w:p w:rsidR="00BB6F1F" w:rsidRDefault="00BB6F1F" w:rsidP="00AC68FF"/>
    <w:p w:rsidR="00E73501" w:rsidRDefault="00E73501" w:rsidP="00AC68FF">
      <w:bookmarkStart w:id="6" w:name="_GoBack"/>
      <w:bookmarkEnd w:id="6"/>
    </w:p>
    <w:p w:rsidR="00E73501" w:rsidRDefault="00E73501" w:rsidP="00AC68FF"/>
    <w:p w:rsidR="00BB6F1F" w:rsidRDefault="00BB6F1F" w:rsidP="007C4E5C">
      <w:pPr>
        <w:ind w:left="-28"/>
      </w:pPr>
    </w:p>
    <w:p w:rsidR="00BB6F1F" w:rsidRDefault="00E73501" w:rsidP="00E73501">
      <w:pPr>
        <w:tabs>
          <w:tab w:val="left" w:pos="5103"/>
        </w:tabs>
      </w:pPr>
      <w:r>
        <w:t>Tim Pallas MP</w:t>
      </w:r>
      <w:r>
        <w:tab/>
        <w:t>David Martine</w:t>
      </w:r>
    </w:p>
    <w:p w:rsidR="00E73501" w:rsidRPr="00E73501" w:rsidRDefault="00E73501" w:rsidP="00E73501">
      <w:pPr>
        <w:tabs>
          <w:tab w:val="left" w:pos="5103"/>
        </w:tabs>
        <w:spacing w:before="0"/>
        <w:rPr>
          <w:b/>
        </w:rPr>
      </w:pPr>
      <w:r w:rsidRPr="00E73501">
        <w:rPr>
          <w:b/>
        </w:rPr>
        <w:t>Treasurer</w:t>
      </w:r>
      <w:r w:rsidRPr="00E73501">
        <w:rPr>
          <w:b/>
        </w:rPr>
        <w:tab/>
        <w:t>Secretary</w:t>
      </w:r>
    </w:p>
    <w:p w:rsidR="007C4E5C" w:rsidRDefault="007C4E5C" w:rsidP="00AC68FF">
      <w:pPr>
        <w:tabs>
          <w:tab w:val="left" w:pos="5103"/>
        </w:tabs>
        <w:spacing w:before="0"/>
      </w:pPr>
    </w:p>
    <w:p w:rsidR="00BB6F1F" w:rsidRDefault="00BB6F1F" w:rsidP="007C4E5C">
      <w:r>
        <w:t>Authorised for issue on:</w:t>
      </w:r>
    </w:p>
    <w:p w:rsidR="00BB6F1F" w:rsidRPr="00F37715" w:rsidRDefault="00BB6F1F" w:rsidP="007C4E5C">
      <w:r w:rsidRPr="00205297">
        <w:t>18 September 2017</w:t>
      </w:r>
    </w:p>
    <w:p w:rsidR="00BB6F1F" w:rsidRDefault="00BB6F1F" w:rsidP="00AC68FF">
      <w:pPr>
        <w:tabs>
          <w:tab w:val="left" w:pos="5103"/>
        </w:tabs>
        <w:spacing w:before="0"/>
      </w:pPr>
    </w:p>
    <w:p w:rsidR="00BB6F1F" w:rsidRDefault="00BB6F1F" w:rsidP="00AC68FF">
      <w:pPr>
        <w:tabs>
          <w:tab w:val="left" w:pos="5103"/>
        </w:tabs>
        <w:spacing w:before="0"/>
      </w:pPr>
    </w:p>
    <w:p w:rsidR="00BB6F1F" w:rsidRDefault="00BB6F1F" w:rsidP="00AC68FF">
      <w:pPr>
        <w:tabs>
          <w:tab w:val="left" w:pos="5103"/>
        </w:tabs>
        <w:spacing w:before="0"/>
        <w:sectPr w:rsidR="00BB6F1F" w:rsidSect="00AC68FF">
          <w:pgSz w:w="11907" w:h="16839" w:code="9"/>
          <w:pgMar w:top="1134" w:right="1134" w:bottom="1134" w:left="1134" w:header="624" w:footer="567" w:gutter="0"/>
          <w:cols w:sep="1" w:space="567"/>
          <w:docGrid w:linePitch="360"/>
        </w:sectPr>
      </w:pPr>
    </w:p>
    <w:p w:rsidR="00BB6F1F" w:rsidRDefault="00BB6F1F" w:rsidP="00AC68FF">
      <w:pPr>
        <w:pStyle w:val="Heading10"/>
        <w:spacing w:before="0"/>
      </w:pPr>
      <w:bookmarkStart w:id="7" w:name="Consolidated_OS"/>
      <w:r w:rsidRPr="004C1FBB">
        <w:lastRenderedPageBreak/>
        <w:t xml:space="preserve">CONSOLIDATED </w:t>
      </w:r>
      <w:bookmarkEnd w:id="7"/>
      <w:r w:rsidRPr="004C1FBB">
        <w:t>COMPREHENSIVE OPERATING STATEMENT</w:t>
      </w:r>
    </w:p>
    <w:p w:rsidR="00BB6F1F" w:rsidRPr="005A36FE" w:rsidRDefault="00BB6F1F" w:rsidP="00AC68FF">
      <w:pPr>
        <w:pStyle w:val="TableHeading"/>
        <w:rPr>
          <w:bCs/>
          <w:lang w:val="en-US"/>
        </w:rPr>
      </w:pPr>
      <w:r w:rsidRPr="004C1FBB">
        <w:t>For the financial year ended 30 June</w:t>
      </w:r>
      <w:r w:rsidRPr="004C1FBB">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272"/>
        <w:gridCol w:w="737"/>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73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5A36FE">
              <w:rPr>
                <w:rFonts w:eastAsiaTheme="minorEastAsia" w:cs="Calibri"/>
                <w:iCs/>
                <w:color w:val="FFFFFF"/>
                <w:szCs w:val="18"/>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73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Notes</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Revenue from transactions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Taxation revenue</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21 892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19 446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22 272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19 896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vertAlign w:val="superscript"/>
                <w:lang w:eastAsia="en-AU"/>
              </w:rPr>
            </w:pPr>
            <w:r w:rsidRPr="005A36FE">
              <w:rPr>
                <w:rFonts w:eastAsiaTheme="minorEastAsia" w:cs="Calibri"/>
                <w:color w:val="000000"/>
                <w:szCs w:val="18"/>
                <w:lang w:eastAsia="en-AU"/>
              </w:rPr>
              <w:t xml:space="preserve">Interest revenue </w:t>
            </w:r>
            <w:r w:rsidRPr="005A36FE">
              <w:rPr>
                <w:rFonts w:eastAsiaTheme="minorEastAsia" w:cs="Calibri"/>
                <w:color w:val="000000"/>
                <w:szCs w:val="18"/>
                <w:vertAlign w:val="superscript"/>
                <w:lang w:eastAsia="en-AU"/>
              </w:rPr>
              <w:t>(a)</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711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724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863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786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Dividends, income tax equivalent and rate equivalent revenue</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914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1 159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658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848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Sales of goods and services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14 539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14 324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6 939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6 671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Grant revenue</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27 350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25 241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27 542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25 406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Other revenue</w:t>
            </w:r>
          </w:p>
        </w:tc>
        <w:tc>
          <w:tcPr>
            <w:tcW w:w="73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2.6</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3 406</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3 835</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2 645</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3 108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vertAlign w:val="superscript"/>
                <w:lang w:eastAsia="en-AU"/>
              </w:rPr>
            </w:pPr>
            <w:r w:rsidRPr="005A36FE">
              <w:rPr>
                <w:rFonts w:eastAsiaTheme="minorEastAsia" w:cs="Calibri"/>
                <w:b/>
                <w:bCs/>
                <w:color w:val="000000"/>
                <w:szCs w:val="18"/>
                <w:lang w:eastAsia="en-AU"/>
              </w:rPr>
              <w:t xml:space="preserve">Total revenue from transactions </w:t>
            </w:r>
            <w:r w:rsidRPr="005A36FE">
              <w:rPr>
                <w:rFonts w:eastAsiaTheme="minorEastAsia" w:cs="Calibri"/>
                <w:b/>
                <w:bCs/>
                <w:color w:val="000000"/>
                <w:szCs w:val="18"/>
                <w:vertAlign w:val="superscript"/>
                <w:lang w:eastAsia="en-AU"/>
              </w:rPr>
              <w:t>(a)</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68 812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64 729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60 918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56 716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Expenses from transactions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Employee expenses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22 617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21 066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21 497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20 002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Net superannuation interest expense</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693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880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692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878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Other superannuation</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2 475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2 254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2 332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2 123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Depreciation</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4.1.2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4 869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4 706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2 616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2 504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vertAlign w:val="superscript"/>
                <w:lang w:eastAsia="en-AU"/>
              </w:rPr>
            </w:pPr>
            <w:r w:rsidRPr="005A36FE">
              <w:rPr>
                <w:rFonts w:eastAsiaTheme="minorEastAsia" w:cs="Calibri"/>
                <w:color w:val="000000"/>
                <w:szCs w:val="18"/>
                <w:lang w:eastAsia="en-AU"/>
              </w:rPr>
              <w:t xml:space="preserve">Interest expense </w:t>
            </w:r>
            <w:r w:rsidRPr="005A36FE">
              <w:rPr>
                <w:rFonts w:eastAsiaTheme="minorEastAsia" w:cs="Calibri"/>
                <w:color w:val="000000"/>
                <w:szCs w:val="18"/>
                <w:vertAlign w:val="superscript"/>
                <w:lang w:eastAsia="en-AU"/>
              </w:rPr>
              <w:t>(a)</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5.5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2 729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2 802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2 028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2 076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Grant expense</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7 624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5 657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10 471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8 564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Other operating expenses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27 053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25 720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18 575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17 905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vertAlign w:val="superscript"/>
                <w:lang w:eastAsia="en-AU"/>
              </w:rPr>
            </w:pPr>
            <w:r w:rsidRPr="005A36FE">
              <w:rPr>
                <w:rFonts w:eastAsiaTheme="minorEastAsia" w:cs="Calibri"/>
                <w:b/>
                <w:bCs/>
                <w:color w:val="000000"/>
                <w:szCs w:val="18"/>
                <w:lang w:eastAsia="en-AU"/>
              </w:rPr>
              <w:t xml:space="preserve">Total expenses from transactions </w:t>
            </w:r>
            <w:r w:rsidRPr="005A36FE">
              <w:rPr>
                <w:rFonts w:eastAsiaTheme="minorEastAsia" w:cs="Calibri"/>
                <w:b/>
                <w:bCs/>
                <w:color w:val="000000"/>
                <w:szCs w:val="18"/>
                <w:vertAlign w:val="superscript"/>
                <w:lang w:eastAsia="en-AU"/>
              </w:rPr>
              <w:t>(a)</w:t>
            </w:r>
          </w:p>
        </w:tc>
        <w:tc>
          <w:tcPr>
            <w:tcW w:w="73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3.5, 3.6</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68 058</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63 085</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58 210</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54 052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Net result from transactions – net operating balance</w:t>
            </w:r>
          </w:p>
        </w:tc>
        <w:tc>
          <w:tcPr>
            <w:tcW w:w="73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754</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1 645</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2 709</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2 664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Other economic flows included in net result</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Net gain/(loss) on disposal of non-financial assets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Net gain/(loss) on financial assets or liabilities at fair value</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4 144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(1 468)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Share of net profit/(loss) from associates/joint venture entities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Other gains/(losses) from other economic flows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9.3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1 605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(1 596)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(688)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Total other economic flows included in net result</w:t>
            </w:r>
          </w:p>
        </w:tc>
        <w:tc>
          <w:tcPr>
            <w:tcW w:w="73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5 816</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(3 284)</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(150)</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(847)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Net result</w:t>
            </w:r>
          </w:p>
        </w:tc>
        <w:tc>
          <w:tcPr>
            <w:tcW w:w="73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6 570</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(1 640)</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2 559</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1 817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Other economic flows – other comprehensive income</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Items that will not be reclassified to net result</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Changes in non-financial assets revaluation surplus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8 792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17 514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6 090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6 236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proofErr w:type="spellStart"/>
            <w:r w:rsidRPr="005A36FE">
              <w:rPr>
                <w:rFonts w:eastAsiaTheme="minorEastAsia" w:cs="Calibri"/>
                <w:color w:val="000000"/>
                <w:szCs w:val="18"/>
                <w:lang w:eastAsia="en-AU"/>
              </w:rPr>
              <w:t>Remeasurement</w:t>
            </w:r>
            <w:proofErr w:type="spellEnd"/>
            <w:r w:rsidRPr="005A36FE">
              <w:rPr>
                <w:rFonts w:eastAsiaTheme="minorEastAsia" w:cs="Calibri"/>
                <w:color w:val="000000"/>
                <w:szCs w:val="18"/>
                <w:lang w:eastAsia="en-AU"/>
              </w:rPr>
              <w:t xml:space="preserve"> of superannuation defined benefits plans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4 389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(3 246)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4 367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(3 220)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Other movements in equity</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Items that may be reclassified subsequently to net result</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Net gain/(loss) on financial assets at fair value</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Net gain/(loss) on equity investments in other sector entities at proportional share of the carrying amount of net assets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6.1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3 122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10 533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Total other economic flows – other comprehensive income</w:t>
            </w:r>
          </w:p>
        </w:tc>
        <w:tc>
          <w:tcPr>
            <w:tcW w:w="73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13 319</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13 965</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13 720</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13 486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Comprehensive result – total change in net worth</w:t>
            </w:r>
          </w:p>
        </w:tc>
        <w:tc>
          <w:tcPr>
            <w:tcW w:w="73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19 889</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12 325</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16 279</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15 303</w:t>
            </w:r>
          </w:p>
        </w:tc>
      </w:tr>
      <w:tr w:rsidR="00BB6F1F" w:rsidRPr="005A36FE"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 xml:space="preserve"> </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KEY FISCAL AGGREGATES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5A36FE">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5A36FE">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5A36FE">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5A36FE">
              <w:rPr>
                <w:rFonts w:eastAsiaTheme="minorEastAsia" w:cs="Calibri"/>
                <w:b/>
                <w:bCs/>
                <w:color w:val="000000"/>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Net operating balance</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754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5A36FE">
              <w:rPr>
                <w:rFonts w:eastAsiaTheme="minorEastAsia" w:cs="Calibri"/>
                <w:b/>
                <w:bCs/>
                <w:color w:val="000000"/>
                <w:szCs w:val="16"/>
                <w:lang w:eastAsia="en-AU"/>
              </w:rPr>
              <w:t>1 645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5A36FE">
              <w:rPr>
                <w:rFonts w:eastAsiaTheme="minorEastAsia" w:cs="Calibri"/>
                <w:b/>
                <w:bCs/>
                <w:color w:val="000000"/>
                <w:szCs w:val="16"/>
                <w:lang w:eastAsia="en-AU"/>
              </w:rPr>
              <w:t>2 709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5A36FE">
              <w:rPr>
                <w:rFonts w:eastAsiaTheme="minorEastAsia" w:cs="Calibri"/>
                <w:b/>
                <w:bCs/>
                <w:color w:val="000000"/>
                <w:szCs w:val="16"/>
                <w:lang w:eastAsia="en-AU"/>
              </w:rPr>
              <w:t>2 664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Less: Net acquisition of non-financial assets from transactions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9.1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4 190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2 912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1 653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788</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6"/>
                <w:lang w:eastAsia="en-AU"/>
              </w:rPr>
            </w:pPr>
            <w:r w:rsidRPr="005A36FE">
              <w:rPr>
                <w:rFonts w:eastAsiaTheme="minorEastAsia" w:cs="Calibri"/>
                <w:bCs/>
                <w:color w:val="000000"/>
                <w:szCs w:val="16"/>
                <w:lang w:eastAsia="en-AU"/>
              </w:rPr>
              <w:t>Net lending/(borrowing)</w:t>
            </w:r>
          </w:p>
        </w:tc>
        <w:tc>
          <w:tcPr>
            <w:tcW w:w="73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eastAsiaTheme="minorEastAsia" w:cs="Calibri"/>
                <w:b w:val="0"/>
                <w:bCs/>
                <w:color w:val="000000"/>
                <w:lang w:eastAsia="en-AU"/>
              </w:rPr>
            </w:pPr>
            <w:r w:rsidRPr="005A36FE">
              <w:rPr>
                <w:rFonts w:eastAsiaTheme="minorEastAsia" w:cs="Calibri"/>
                <w:b w:val="0"/>
                <w:bCs/>
                <w:color w:val="000000"/>
                <w:lang w:eastAsia="en-AU"/>
              </w:rPr>
              <w:t xml:space="preserve"> </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(3 436)</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(1 267)</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1 055</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1 876</w:t>
            </w:r>
          </w:p>
        </w:tc>
      </w:tr>
    </w:tbl>
    <w:p w:rsidR="00BB6F1F" w:rsidRDefault="00BB6F1F" w:rsidP="00AC68FF">
      <w:pPr>
        <w:pStyle w:val="Source"/>
      </w:pPr>
      <w:r>
        <w:t>The accompanying notes form part of these financial statements.</w:t>
      </w:r>
    </w:p>
    <w:p w:rsidR="00BB6F1F" w:rsidRDefault="00BB6F1F" w:rsidP="00AC68FF">
      <w:pPr>
        <w:pStyle w:val="Note"/>
      </w:pPr>
      <w:r>
        <w:t>Note:</w:t>
      </w:r>
    </w:p>
    <w:p w:rsidR="00BB6F1F" w:rsidRPr="004E06C4" w:rsidRDefault="00BB6F1F" w:rsidP="00AC68FF">
      <w:pPr>
        <w:pStyle w:val="Note"/>
      </w:pPr>
      <w:r>
        <w:t>(a</w:t>
      </w:r>
      <w:r w:rsidRPr="004E06C4">
        <w:t>)</w:t>
      </w:r>
      <w:r w:rsidRPr="004E06C4">
        <w:tab/>
      </w:r>
      <w:r w:rsidRPr="008B5089">
        <w:t>June 2016 comparative figures have been restated to reflect the reclassification of borrowings</w:t>
      </w:r>
      <w:r>
        <w:t xml:space="preserve"> and investments </w:t>
      </w:r>
      <w:r w:rsidRPr="008B5089">
        <w:t xml:space="preserve">sold at a premium </w:t>
      </w:r>
      <w:r>
        <w:t xml:space="preserve">/ discount, </w:t>
      </w:r>
      <w:r w:rsidRPr="008B5089">
        <w:t xml:space="preserve">from interest expense to interest revenue.  </w:t>
      </w:r>
    </w:p>
    <w:p w:rsidR="00BB6F1F" w:rsidRDefault="00BB6F1F">
      <w:pPr>
        <w:keepLines w:val="0"/>
      </w:pPr>
    </w:p>
    <w:p w:rsidR="00BB6F1F" w:rsidRDefault="00BB6F1F">
      <w:pPr>
        <w:keepLines w:val="0"/>
      </w:pPr>
      <w:r>
        <w:br w:type="page"/>
      </w:r>
    </w:p>
    <w:p w:rsidR="00BB6F1F" w:rsidRDefault="00BB6F1F" w:rsidP="00AC68FF">
      <w:pPr>
        <w:pStyle w:val="Heading10"/>
      </w:pPr>
      <w:bookmarkStart w:id="8" w:name="Consolidated_BS"/>
      <w:r>
        <w:lastRenderedPageBreak/>
        <w:t xml:space="preserve">CONSOLIDATED </w:t>
      </w:r>
      <w:bookmarkEnd w:id="8"/>
      <w:r>
        <w:t>BALANCE SHEET</w:t>
      </w:r>
    </w:p>
    <w:p w:rsidR="00BB6F1F" w:rsidRPr="005A36FE" w:rsidRDefault="00BB6F1F" w:rsidP="00AC68FF">
      <w:pPr>
        <w:pStyle w:val="TableHeading"/>
        <w:rPr>
          <w:bCs/>
          <w:lang w:val="en-US"/>
        </w:rPr>
      </w:pPr>
      <w:r>
        <w:t>As at 30 June</w:t>
      </w:r>
      <w:r>
        <w:tab/>
      </w:r>
      <w:r>
        <w:tab/>
        <w:t>($ million)</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5272"/>
        <w:gridCol w:w="737"/>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73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 xml:space="preserve">General </w:t>
            </w:r>
            <w:r>
              <w:rPr>
                <w:rFonts w:eastAsiaTheme="minorEastAsia" w:cs="Calibri"/>
                <w:iCs/>
                <w:color w:val="FFFFFF"/>
                <w:szCs w:val="16"/>
                <w:lang w:eastAsia="en-AU"/>
              </w:rPr>
              <w:br/>
            </w:r>
            <w:r w:rsidRPr="005A36FE">
              <w:rPr>
                <w:rFonts w:eastAsiaTheme="minorEastAsia" w:cs="Calibri"/>
                <w:iCs/>
                <w:color w:val="FFFFFF"/>
                <w:szCs w:val="16"/>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73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Notes</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b/>
                <w:bCs/>
                <w:color w:val="000000"/>
                <w:szCs w:val="16"/>
                <w:lang w:eastAsia="en-AU"/>
              </w:rPr>
            </w:pPr>
            <w:r w:rsidRPr="005A36FE">
              <w:rPr>
                <w:rFonts w:eastAsiaTheme="minorEastAsia" w:cs="Arial"/>
                <w:b/>
                <w:bCs/>
                <w:color w:val="000000"/>
                <w:szCs w:val="16"/>
                <w:lang w:eastAsia="en-AU"/>
              </w:rPr>
              <w:t>Assets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b/>
                <w:bCs/>
                <w:color w:val="000000"/>
                <w:szCs w:val="16"/>
                <w:lang w:eastAsia="en-AU"/>
              </w:rPr>
            </w:pPr>
            <w:r w:rsidRPr="005A36FE">
              <w:rPr>
                <w:rFonts w:eastAsiaTheme="minorEastAsia" w:cs="Arial"/>
                <w:b/>
                <w:bCs/>
                <w:color w:val="000000"/>
                <w:szCs w:val="16"/>
                <w:lang w:eastAsia="en-AU"/>
              </w:rPr>
              <w:t>Financial assets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color w:val="000000"/>
                <w:szCs w:val="16"/>
                <w:lang w:eastAsia="en-AU"/>
              </w:rPr>
            </w:pPr>
            <w:r w:rsidRPr="005A36FE">
              <w:rPr>
                <w:rFonts w:eastAsiaTheme="minorEastAsia" w:cs="Arial"/>
                <w:color w:val="000000"/>
                <w:szCs w:val="16"/>
                <w:lang w:eastAsia="en-AU"/>
              </w:rPr>
              <w:t>Cash and deposits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5 869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6 676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5 530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4 772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color w:val="000000"/>
                <w:szCs w:val="16"/>
                <w:lang w:eastAsia="en-AU"/>
              </w:rPr>
            </w:pPr>
            <w:r w:rsidRPr="005A36FE">
              <w:rPr>
                <w:rFonts w:eastAsiaTheme="minorEastAsia" w:cs="Arial"/>
                <w:color w:val="000000"/>
                <w:szCs w:val="16"/>
                <w:lang w:eastAsia="en-AU"/>
              </w:rPr>
              <w:t>Advances paid</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280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153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12 939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4 582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color w:val="000000"/>
                <w:szCs w:val="16"/>
                <w:lang w:eastAsia="en-AU"/>
              </w:rPr>
            </w:pPr>
            <w:r w:rsidRPr="005A36FE">
              <w:rPr>
                <w:rFonts w:eastAsiaTheme="minorEastAsia" w:cs="Arial"/>
                <w:color w:val="000000"/>
                <w:szCs w:val="16"/>
                <w:lang w:eastAsia="en-AU"/>
              </w:rPr>
              <w:t>Receivables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8 038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7 793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5 931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5 566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color w:val="000000"/>
                <w:szCs w:val="16"/>
                <w:lang w:eastAsia="en-AU"/>
              </w:rPr>
            </w:pPr>
            <w:r w:rsidRPr="005A36FE">
              <w:rPr>
                <w:rFonts w:eastAsiaTheme="minorEastAsia" w:cs="Arial"/>
                <w:color w:val="000000"/>
                <w:szCs w:val="16"/>
                <w:lang w:eastAsia="en-AU"/>
              </w:rPr>
              <w:t>Investments, loans and placements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42 806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35 534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3 673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2 853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color w:val="000000"/>
                <w:szCs w:val="16"/>
                <w:lang w:eastAsia="en-AU"/>
              </w:rPr>
            </w:pPr>
            <w:r w:rsidRPr="005A36FE">
              <w:rPr>
                <w:rFonts w:eastAsiaTheme="minorEastAsia" w:cs="Arial"/>
                <w:color w:val="000000"/>
                <w:szCs w:val="16"/>
                <w:lang w:eastAsia="en-AU"/>
              </w:rPr>
              <w:t>Investments accounted for using the equity method</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4.3.2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2 187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1 918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47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46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color w:val="000000"/>
                <w:szCs w:val="16"/>
                <w:lang w:eastAsia="en-AU"/>
              </w:rPr>
            </w:pPr>
            <w:r w:rsidRPr="005A36FE">
              <w:rPr>
                <w:rFonts w:eastAsiaTheme="minorEastAsia" w:cs="Arial"/>
                <w:color w:val="000000"/>
                <w:szCs w:val="16"/>
                <w:lang w:eastAsia="en-AU"/>
              </w:rPr>
              <w:t>Investments in other sector entities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92 509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94 710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rPr>
                <w:rFonts w:eastAsiaTheme="minorEastAsia" w:cs="Arial"/>
                <w:b/>
                <w:bCs/>
                <w:color w:val="000000"/>
                <w:szCs w:val="16"/>
                <w:lang w:eastAsia="en-AU"/>
              </w:rPr>
            </w:pPr>
            <w:r w:rsidRPr="005A36FE">
              <w:rPr>
                <w:rFonts w:eastAsiaTheme="minorEastAsia" w:cs="Arial"/>
                <w:b/>
                <w:bCs/>
                <w:color w:val="000000"/>
                <w:szCs w:val="16"/>
                <w:lang w:eastAsia="en-AU"/>
              </w:rPr>
              <w:t>Total financial assets</w:t>
            </w:r>
          </w:p>
        </w:tc>
        <w:tc>
          <w:tcPr>
            <w:tcW w:w="73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59 180</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52 074</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120 630</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112 531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b/>
                <w:bCs/>
                <w:color w:val="000000"/>
                <w:szCs w:val="16"/>
                <w:lang w:eastAsia="en-AU"/>
              </w:rPr>
            </w:pPr>
            <w:r w:rsidRPr="005A36FE">
              <w:rPr>
                <w:rFonts w:eastAsiaTheme="minorEastAsia" w:cs="Arial"/>
                <w:b/>
                <w:bCs/>
                <w:color w:val="000000"/>
                <w:szCs w:val="16"/>
                <w:lang w:eastAsia="en-AU"/>
              </w:rPr>
              <w:t>Non-financial assets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color w:val="000000"/>
                <w:szCs w:val="16"/>
                <w:lang w:eastAsia="en-AU"/>
              </w:rPr>
            </w:pPr>
            <w:r w:rsidRPr="005A36FE">
              <w:rPr>
                <w:rFonts w:eastAsiaTheme="minorEastAsia" w:cs="Arial"/>
                <w:color w:val="000000"/>
                <w:szCs w:val="16"/>
                <w:lang w:eastAsia="en-AU"/>
              </w:rPr>
              <w:t>Inventories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671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709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173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188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color w:val="000000"/>
                <w:szCs w:val="16"/>
                <w:lang w:eastAsia="en-AU"/>
              </w:rPr>
            </w:pPr>
            <w:r w:rsidRPr="005A36FE">
              <w:rPr>
                <w:rFonts w:eastAsiaTheme="minorEastAsia" w:cs="Arial"/>
                <w:color w:val="000000"/>
                <w:szCs w:val="16"/>
                <w:lang w:eastAsia="en-AU"/>
              </w:rPr>
              <w:t>Non-financial assets held for sale</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432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200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405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188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color w:val="000000"/>
                <w:szCs w:val="16"/>
                <w:lang w:eastAsia="en-AU"/>
              </w:rPr>
            </w:pPr>
            <w:r w:rsidRPr="005A36FE">
              <w:rPr>
                <w:rFonts w:eastAsiaTheme="minorEastAsia" w:cs="Arial"/>
                <w:color w:val="000000"/>
                <w:szCs w:val="16"/>
                <w:lang w:eastAsia="en-AU"/>
              </w:rPr>
              <w:t>Land, buildings, infrastructure, plant and equipment</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4.1.1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238 886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226 557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121 776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114 254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color w:val="000000"/>
                <w:szCs w:val="16"/>
                <w:vertAlign w:val="superscript"/>
                <w:lang w:eastAsia="en-AU"/>
              </w:rPr>
            </w:pPr>
            <w:r w:rsidRPr="005A36FE">
              <w:rPr>
                <w:rFonts w:eastAsiaTheme="minorEastAsia" w:cs="Arial"/>
                <w:color w:val="000000"/>
                <w:szCs w:val="16"/>
                <w:lang w:eastAsia="en-AU"/>
              </w:rPr>
              <w:t xml:space="preserve">Other non-financial assets </w:t>
            </w:r>
            <w:r w:rsidRPr="005A36FE">
              <w:rPr>
                <w:rFonts w:eastAsiaTheme="minorEastAsia" w:cs="Arial"/>
                <w:color w:val="000000"/>
                <w:szCs w:val="16"/>
                <w:vertAlign w:val="superscript"/>
                <w:lang w:eastAsia="en-AU"/>
              </w:rPr>
              <w:t>(a)</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2 648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2 466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1 494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1 184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rPr>
                <w:rFonts w:eastAsiaTheme="minorEastAsia" w:cs="Arial"/>
                <w:b/>
                <w:bCs/>
                <w:color w:val="000000"/>
                <w:szCs w:val="16"/>
                <w:vertAlign w:val="superscript"/>
                <w:lang w:eastAsia="en-AU"/>
              </w:rPr>
            </w:pPr>
            <w:r w:rsidRPr="005A36FE">
              <w:rPr>
                <w:rFonts w:eastAsiaTheme="minorEastAsia" w:cs="Arial"/>
                <w:b/>
                <w:bCs/>
                <w:color w:val="000000"/>
                <w:szCs w:val="16"/>
                <w:lang w:eastAsia="en-AU"/>
              </w:rPr>
              <w:t xml:space="preserve">Total non-financial assets </w:t>
            </w:r>
            <w:r w:rsidRPr="005A36FE">
              <w:rPr>
                <w:rFonts w:eastAsiaTheme="minorEastAsia" w:cs="Arial"/>
                <w:b/>
                <w:bCs/>
                <w:color w:val="000000"/>
                <w:szCs w:val="16"/>
                <w:vertAlign w:val="superscript"/>
                <w:lang w:eastAsia="en-AU"/>
              </w:rPr>
              <w:t>(a)</w:t>
            </w:r>
          </w:p>
        </w:tc>
        <w:tc>
          <w:tcPr>
            <w:tcW w:w="73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242 637</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229 932</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123 849</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115 814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b/>
                <w:bCs/>
                <w:color w:val="000000"/>
                <w:szCs w:val="16"/>
                <w:vertAlign w:val="superscript"/>
                <w:lang w:eastAsia="en-AU"/>
              </w:rPr>
            </w:pPr>
            <w:r w:rsidRPr="005A36FE">
              <w:rPr>
                <w:rFonts w:eastAsiaTheme="minorEastAsia" w:cs="Arial"/>
                <w:b/>
                <w:bCs/>
                <w:color w:val="000000"/>
                <w:szCs w:val="16"/>
                <w:lang w:eastAsia="en-AU"/>
              </w:rPr>
              <w:t xml:space="preserve">Total assets </w:t>
            </w:r>
            <w:r w:rsidRPr="005A36FE">
              <w:rPr>
                <w:rFonts w:eastAsiaTheme="minorEastAsia" w:cs="Arial"/>
                <w:b/>
                <w:bCs/>
                <w:color w:val="000000"/>
                <w:szCs w:val="16"/>
                <w:vertAlign w:val="superscript"/>
                <w:lang w:eastAsia="en-AU"/>
              </w:rPr>
              <w:t>(a)</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3.6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301 818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282 006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244 478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228 345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b/>
                <w:bCs/>
                <w:color w:val="000000"/>
                <w:szCs w:val="16"/>
                <w:lang w:eastAsia="en-AU"/>
              </w:rPr>
            </w:pPr>
            <w:r w:rsidRPr="005A36FE">
              <w:rPr>
                <w:rFonts w:eastAsiaTheme="minorEastAsia" w:cs="Arial"/>
                <w:b/>
                <w:bCs/>
                <w:color w:val="000000"/>
                <w:szCs w:val="16"/>
                <w:lang w:eastAsia="en-AU"/>
              </w:rPr>
              <w:t>Liabilities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color w:val="000000"/>
                <w:szCs w:val="16"/>
                <w:lang w:eastAsia="en-AU"/>
              </w:rPr>
            </w:pPr>
            <w:r w:rsidRPr="005A36FE">
              <w:rPr>
                <w:rFonts w:eastAsiaTheme="minorEastAsia" w:cs="Arial"/>
                <w:color w:val="000000"/>
                <w:szCs w:val="16"/>
                <w:lang w:eastAsia="en-AU"/>
              </w:rPr>
              <w:t xml:space="preserve">Deposits held and advances received </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1 940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2 628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9 088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706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color w:val="000000"/>
                <w:szCs w:val="16"/>
                <w:lang w:eastAsia="en-AU"/>
              </w:rPr>
            </w:pPr>
            <w:r w:rsidRPr="005A36FE">
              <w:rPr>
                <w:rFonts w:eastAsiaTheme="minorEastAsia" w:cs="Arial"/>
                <w:color w:val="000000"/>
                <w:szCs w:val="16"/>
                <w:lang w:eastAsia="en-AU"/>
              </w:rPr>
              <w:t>Payables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17 233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7 937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5 815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5 773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color w:val="000000"/>
                <w:szCs w:val="16"/>
                <w:lang w:eastAsia="en-AU"/>
              </w:rPr>
            </w:pPr>
            <w:r w:rsidRPr="005A36FE">
              <w:rPr>
                <w:rFonts w:eastAsiaTheme="minorEastAsia" w:cs="Arial"/>
                <w:color w:val="000000"/>
                <w:szCs w:val="16"/>
                <w:lang w:eastAsia="en-AU"/>
              </w:rPr>
              <w:t>Borrowings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48 847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53 959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28 816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33 811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color w:val="000000"/>
                <w:szCs w:val="16"/>
                <w:lang w:eastAsia="en-AU"/>
              </w:rPr>
            </w:pPr>
            <w:r w:rsidRPr="005A36FE">
              <w:rPr>
                <w:rFonts w:eastAsiaTheme="minorEastAsia" w:cs="Arial"/>
                <w:color w:val="000000"/>
                <w:szCs w:val="16"/>
                <w:lang w:eastAsia="en-AU"/>
              </w:rPr>
              <w:t>Employee benefits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3.1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7 034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6 647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6 506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6 137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color w:val="000000"/>
                <w:szCs w:val="16"/>
                <w:lang w:eastAsia="en-AU"/>
              </w:rPr>
            </w:pPr>
            <w:r w:rsidRPr="005A36FE">
              <w:rPr>
                <w:rFonts w:eastAsiaTheme="minorEastAsia" w:cs="Arial"/>
                <w:color w:val="000000"/>
                <w:szCs w:val="16"/>
                <w:lang w:eastAsia="en-AU"/>
              </w:rPr>
              <w:t>Superannuation</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24 938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29 354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24 900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29 291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color w:val="000000"/>
                <w:szCs w:val="16"/>
                <w:lang w:eastAsia="en-AU"/>
              </w:rPr>
            </w:pPr>
            <w:r w:rsidRPr="005A36FE">
              <w:rPr>
                <w:rFonts w:eastAsiaTheme="minorEastAsia" w:cs="Arial"/>
                <w:color w:val="000000"/>
                <w:szCs w:val="16"/>
                <w:lang w:eastAsia="en-AU"/>
              </w:rPr>
              <w:t>Other provisions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29 592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29 085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1 326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829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rPr>
                <w:rFonts w:eastAsiaTheme="minorEastAsia" w:cs="Arial"/>
                <w:b/>
                <w:bCs/>
                <w:color w:val="000000"/>
                <w:szCs w:val="16"/>
                <w:lang w:eastAsia="en-AU"/>
              </w:rPr>
            </w:pPr>
            <w:r w:rsidRPr="005A36FE">
              <w:rPr>
                <w:rFonts w:eastAsiaTheme="minorEastAsia" w:cs="Arial"/>
                <w:b/>
                <w:bCs/>
                <w:color w:val="000000"/>
                <w:szCs w:val="16"/>
                <w:lang w:eastAsia="en-AU"/>
              </w:rPr>
              <w:t>Total liabilities</w:t>
            </w:r>
          </w:p>
        </w:tc>
        <w:tc>
          <w:tcPr>
            <w:tcW w:w="73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129 584</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129 611</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76 451</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76 547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rPr>
                <w:rFonts w:eastAsiaTheme="minorEastAsia" w:cs="Arial"/>
                <w:b/>
                <w:bCs/>
                <w:color w:val="000000"/>
                <w:szCs w:val="16"/>
                <w:vertAlign w:val="superscript"/>
                <w:lang w:eastAsia="en-AU"/>
              </w:rPr>
            </w:pPr>
            <w:r w:rsidRPr="005A36FE">
              <w:rPr>
                <w:rFonts w:eastAsiaTheme="minorEastAsia" w:cs="Arial"/>
                <w:b/>
                <w:bCs/>
                <w:color w:val="000000"/>
                <w:szCs w:val="16"/>
                <w:lang w:eastAsia="en-AU"/>
              </w:rPr>
              <w:t xml:space="preserve">Net assets </w:t>
            </w:r>
            <w:r w:rsidRPr="005A36FE">
              <w:rPr>
                <w:rFonts w:eastAsiaTheme="minorEastAsia" w:cs="Arial"/>
                <w:b/>
                <w:bCs/>
                <w:color w:val="000000"/>
                <w:szCs w:val="16"/>
                <w:vertAlign w:val="superscript"/>
                <w:lang w:eastAsia="en-AU"/>
              </w:rPr>
              <w:t>(a)</w:t>
            </w:r>
          </w:p>
        </w:tc>
        <w:tc>
          <w:tcPr>
            <w:tcW w:w="73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172 234</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152 395</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168 027</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151 798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color w:val="000000"/>
                <w:szCs w:val="16"/>
                <w:vertAlign w:val="superscript"/>
                <w:lang w:eastAsia="en-AU"/>
              </w:rPr>
            </w:pPr>
            <w:r w:rsidRPr="005A36FE">
              <w:rPr>
                <w:rFonts w:eastAsiaTheme="minorEastAsia" w:cs="Arial"/>
                <w:color w:val="000000"/>
                <w:szCs w:val="16"/>
                <w:lang w:eastAsia="en-AU"/>
              </w:rPr>
              <w:t xml:space="preserve">Accumulated surplus/(deficit) </w:t>
            </w:r>
            <w:r w:rsidRPr="005A36FE">
              <w:rPr>
                <w:rFonts w:eastAsiaTheme="minorEastAsia" w:cs="Arial"/>
                <w:color w:val="000000"/>
                <w:szCs w:val="16"/>
                <w:vertAlign w:val="superscript"/>
                <w:lang w:eastAsia="en-AU"/>
              </w:rPr>
              <w:t>(a)</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75 137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56 337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51 464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44 557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color w:val="000000"/>
                <w:szCs w:val="16"/>
                <w:lang w:eastAsia="en-AU"/>
              </w:rPr>
            </w:pPr>
            <w:r w:rsidRPr="005A36FE">
              <w:rPr>
                <w:rFonts w:eastAsiaTheme="minorEastAsia" w:cs="Arial"/>
                <w:color w:val="000000"/>
                <w:szCs w:val="16"/>
                <w:lang w:eastAsia="en-AU"/>
              </w:rPr>
              <w:t>Reserves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97 096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96 008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116 563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107 191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color w:val="000000"/>
                <w:szCs w:val="16"/>
                <w:lang w:eastAsia="en-AU"/>
              </w:rPr>
            </w:pPr>
            <w:r w:rsidRPr="005A36FE">
              <w:rPr>
                <w:rFonts w:eastAsiaTheme="minorEastAsia" w:cs="Arial"/>
                <w:color w:val="000000"/>
                <w:szCs w:val="16"/>
                <w:lang w:eastAsia="en-AU"/>
              </w:rPr>
              <w:t>Non-controlling interest</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50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50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rPr>
                <w:rFonts w:eastAsiaTheme="minorEastAsia" w:cs="Arial"/>
                <w:b/>
                <w:bCs/>
                <w:color w:val="000000"/>
                <w:szCs w:val="16"/>
                <w:vertAlign w:val="superscript"/>
                <w:lang w:eastAsia="en-AU"/>
              </w:rPr>
            </w:pPr>
            <w:r w:rsidRPr="005A36FE">
              <w:rPr>
                <w:rFonts w:eastAsiaTheme="minorEastAsia" w:cs="Arial"/>
                <w:b/>
                <w:bCs/>
                <w:color w:val="000000"/>
                <w:szCs w:val="16"/>
                <w:lang w:eastAsia="en-AU"/>
              </w:rPr>
              <w:t xml:space="preserve">Net worth </w:t>
            </w:r>
            <w:r w:rsidRPr="005A36FE">
              <w:rPr>
                <w:rFonts w:eastAsiaTheme="minorEastAsia" w:cs="Arial"/>
                <w:b/>
                <w:bCs/>
                <w:color w:val="000000"/>
                <w:szCs w:val="16"/>
                <w:vertAlign w:val="superscript"/>
                <w:lang w:eastAsia="en-AU"/>
              </w:rPr>
              <w:t>(a)</w:t>
            </w:r>
          </w:p>
        </w:tc>
        <w:tc>
          <w:tcPr>
            <w:tcW w:w="73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172 234</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152 395</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168 027</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151 798</w:t>
            </w:r>
          </w:p>
        </w:tc>
      </w:tr>
      <w:tr w:rsidR="00BB6F1F" w:rsidRPr="005A36FE"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 xml:space="preserve"> </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b/>
                <w:bCs/>
                <w:color w:val="000000"/>
                <w:szCs w:val="16"/>
                <w:lang w:eastAsia="en-AU"/>
              </w:rPr>
            </w:pPr>
            <w:r w:rsidRPr="005A36FE">
              <w:rPr>
                <w:rFonts w:eastAsiaTheme="minorEastAsia" w:cs="Arial"/>
                <w:b/>
                <w:bCs/>
                <w:color w:val="000000"/>
                <w:szCs w:val="16"/>
                <w:lang w:eastAsia="en-AU"/>
              </w:rPr>
              <w:t>FISCAL AGGREGATES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color w:val="000000"/>
                <w:szCs w:val="16"/>
                <w:lang w:eastAsia="en-AU"/>
              </w:rPr>
            </w:pPr>
            <w:r w:rsidRPr="005A36FE">
              <w:rPr>
                <w:rFonts w:eastAsiaTheme="minorEastAsia" w:cs="Arial"/>
                <w:color w:val="000000"/>
                <w:szCs w:val="16"/>
                <w:lang w:eastAsia="en-AU"/>
              </w:rPr>
              <w:t>Net financial worth</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(70 404)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(77 538)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44 178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35 984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Arial"/>
                <w:color w:val="000000"/>
                <w:szCs w:val="16"/>
                <w:lang w:eastAsia="en-AU"/>
              </w:rPr>
            </w:pPr>
            <w:r w:rsidRPr="005A36FE">
              <w:rPr>
                <w:rFonts w:eastAsiaTheme="minorEastAsia" w:cs="Arial"/>
                <w:color w:val="000000"/>
                <w:szCs w:val="16"/>
                <w:lang w:eastAsia="en-AU"/>
              </w:rPr>
              <w:t>Net financial liabilities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70 404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77 538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48 331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58 727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12" w:space="0" w:color="000000"/>
              <w:right w:val="nil"/>
            </w:tcBorders>
          </w:tcPr>
          <w:p w:rsidR="00BB6F1F" w:rsidRPr="005A36FE" w:rsidRDefault="00BB6F1F" w:rsidP="00AC68FF">
            <w:pPr>
              <w:keepLines w:val="0"/>
              <w:autoSpaceDE w:val="0"/>
              <w:autoSpaceDN w:val="0"/>
              <w:adjustRightInd w:val="0"/>
              <w:rPr>
                <w:rFonts w:eastAsiaTheme="minorEastAsia" w:cs="Arial"/>
                <w:color w:val="000000"/>
                <w:szCs w:val="16"/>
                <w:lang w:eastAsia="en-AU"/>
              </w:rPr>
            </w:pPr>
            <w:r w:rsidRPr="005A36FE">
              <w:rPr>
                <w:rFonts w:eastAsiaTheme="minorEastAsia" w:cs="Arial"/>
                <w:color w:val="000000"/>
                <w:szCs w:val="16"/>
                <w:lang w:eastAsia="en-AU"/>
              </w:rPr>
              <w:t>Net debt</w:t>
            </w:r>
          </w:p>
        </w:tc>
        <w:tc>
          <w:tcPr>
            <w:tcW w:w="737" w:type="dxa"/>
            <w:tcBorders>
              <w:top w:val="nil"/>
              <w:left w:val="nil"/>
              <w:bottom w:val="single" w:sz="12" w:space="0" w:color="000000"/>
              <w:right w:val="nil"/>
            </w:tcBorders>
          </w:tcPr>
          <w:p w:rsidR="00BB6F1F" w:rsidRPr="005A36FE"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1 833</w:t>
            </w:r>
          </w:p>
        </w:tc>
        <w:tc>
          <w:tcPr>
            <w:tcW w:w="907" w:type="dxa"/>
            <w:tcBorders>
              <w:top w:val="nil"/>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14 224</w:t>
            </w:r>
          </w:p>
        </w:tc>
        <w:tc>
          <w:tcPr>
            <w:tcW w:w="907" w:type="dxa"/>
            <w:tcBorders>
              <w:top w:val="nil"/>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15 762</w:t>
            </w:r>
          </w:p>
        </w:tc>
        <w:tc>
          <w:tcPr>
            <w:tcW w:w="907" w:type="dxa"/>
            <w:tcBorders>
              <w:top w:val="nil"/>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22 309</w:t>
            </w:r>
          </w:p>
        </w:tc>
      </w:tr>
    </w:tbl>
    <w:p w:rsidR="00BB6F1F" w:rsidRDefault="00BB6F1F" w:rsidP="00AC68FF">
      <w:pPr>
        <w:pStyle w:val="Source"/>
      </w:pPr>
      <w:r>
        <w:t>The accompanying notes form part of these financial statements.</w:t>
      </w:r>
    </w:p>
    <w:p w:rsidR="00BB6F1F" w:rsidRDefault="00BB6F1F" w:rsidP="00AC68FF">
      <w:pPr>
        <w:pStyle w:val="Note"/>
      </w:pPr>
      <w:r>
        <w:t>Note:</w:t>
      </w:r>
    </w:p>
    <w:p w:rsidR="00BB6F1F" w:rsidRPr="004E06C4" w:rsidRDefault="00BB6F1F" w:rsidP="00AC68FF">
      <w:pPr>
        <w:pStyle w:val="Note"/>
      </w:pPr>
      <w:r>
        <w:t>(a</w:t>
      </w:r>
      <w:r w:rsidRPr="004E06C4">
        <w:t>)</w:t>
      </w:r>
      <w:r w:rsidRPr="004E06C4">
        <w:tab/>
      </w:r>
      <w:r w:rsidRPr="00181405">
        <w:t xml:space="preserve">June 2016 comparative figures have been restated to reflect an adjustment to the Department of Environment, Land, Water and Planning's intangible produced assets and </w:t>
      </w:r>
      <w:r>
        <w:t xml:space="preserve">opening </w:t>
      </w:r>
      <w:r w:rsidRPr="00181405">
        <w:t xml:space="preserve">accumulated </w:t>
      </w:r>
      <w:r>
        <w:t>surplus / (deficit)</w:t>
      </w:r>
      <w:r w:rsidRPr="00181405">
        <w:t xml:space="preserve"> balances due to the </w:t>
      </w:r>
      <w:r>
        <w:t xml:space="preserve">first-time </w:t>
      </w:r>
      <w:r w:rsidRPr="00181405">
        <w:t>recognition of Renewable Energy Certificates.  </w:t>
      </w:r>
    </w:p>
    <w:p w:rsidR="00BB6F1F" w:rsidRDefault="00BB6F1F">
      <w:pPr>
        <w:keepLines w:val="0"/>
      </w:pPr>
      <w:r>
        <w:br w:type="page"/>
      </w:r>
    </w:p>
    <w:p w:rsidR="00BB6F1F" w:rsidRDefault="00BB6F1F" w:rsidP="00AC68FF">
      <w:pPr>
        <w:pStyle w:val="Heading10"/>
      </w:pPr>
      <w:bookmarkStart w:id="9" w:name="Consolidated_CF"/>
      <w:r>
        <w:lastRenderedPageBreak/>
        <w:t xml:space="preserve">CONSOLIDATED </w:t>
      </w:r>
      <w:bookmarkEnd w:id="9"/>
      <w:r>
        <w:t>CASH FLOW STATEMENT</w:t>
      </w:r>
    </w:p>
    <w:p w:rsidR="00BB6F1F" w:rsidRPr="005A36FE" w:rsidRDefault="00BB6F1F" w:rsidP="00AC68FF">
      <w:pPr>
        <w:pStyle w:val="TableHeading"/>
        <w:rPr>
          <w:bCs/>
          <w:lang w:val="en-US"/>
        </w:rPr>
      </w:pPr>
      <w:r>
        <w:t>For the financial year ended 30 June</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272"/>
        <w:gridCol w:w="737"/>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shd w:val="solid" w:color="000000" w:fill="auto"/>
          </w:tcPr>
          <w:p w:rsidR="00BB6F1F" w:rsidRPr="005A36FE" w:rsidRDefault="00BB6F1F" w:rsidP="00AC68FF">
            <w:pPr>
              <w:autoSpaceDE w:val="0"/>
              <w:autoSpaceDN w:val="0"/>
              <w:adjustRightInd w:val="0"/>
              <w:spacing w:before="0" w:after="18"/>
              <w:rPr>
                <w:rFonts w:eastAsiaTheme="minorEastAsia" w:cs="Calibri"/>
                <w:iCs/>
                <w:color w:val="FFFFFF"/>
                <w:sz w:val="16"/>
                <w:lang w:eastAsia="en-AU"/>
              </w:rPr>
            </w:pPr>
            <w:r w:rsidRPr="005A36FE">
              <w:rPr>
                <w:rFonts w:eastAsiaTheme="minorEastAsia" w:cs="Calibri"/>
                <w:iCs/>
                <w:color w:val="FFFFFF"/>
                <w:sz w:val="16"/>
                <w:lang w:eastAsia="en-AU"/>
              </w:rPr>
              <w:t xml:space="preserve"> </w:t>
            </w:r>
          </w:p>
        </w:tc>
        <w:tc>
          <w:tcPr>
            <w:tcW w:w="73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spacing w:before="0" w:after="18"/>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lang w:eastAsia="en-AU"/>
              </w:rPr>
            </w:pPr>
            <w:r w:rsidRPr="005A36FE">
              <w:rPr>
                <w:rFonts w:eastAsiaTheme="minorEastAsia" w:cs="Calibri"/>
                <w:iCs/>
                <w:color w:val="FFFFFF"/>
                <w:sz w:val="16"/>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spacing w:before="0" w:after="18"/>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5A36FE">
              <w:rPr>
                <w:rFonts w:eastAsiaTheme="minorEastAsia" w:cs="Calibri"/>
                <w:iCs/>
                <w:color w:val="FFFFFF"/>
                <w:sz w:val="16"/>
                <w:szCs w:val="20"/>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F44EB3">
            <w:pPr>
              <w:keepLines w:val="0"/>
              <w:autoSpaceDE w:val="0"/>
              <w:autoSpaceDN w:val="0"/>
              <w:adjustRightInd w:val="0"/>
              <w:spacing w:before="0" w:after="18"/>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5A36FE">
              <w:rPr>
                <w:rFonts w:eastAsiaTheme="minorEastAsia" w:cs="Calibri"/>
                <w:iCs/>
                <w:color w:val="FFFFFF"/>
                <w:sz w:val="16"/>
                <w:szCs w:val="20"/>
                <w:lang w:eastAsia="en-AU"/>
              </w:rPr>
              <w:t>General</w:t>
            </w:r>
            <w:r w:rsidR="00F44EB3">
              <w:rPr>
                <w:rFonts w:eastAsiaTheme="minorEastAsia" w:cs="Calibri"/>
                <w:iCs/>
                <w:color w:val="FFFFFF"/>
                <w:sz w:val="16"/>
                <w:szCs w:val="20"/>
                <w:lang w:eastAsia="en-AU"/>
              </w:rPr>
              <w:t xml:space="preserve"> </w:t>
            </w:r>
            <w:r w:rsidR="00F44EB3">
              <w:rPr>
                <w:rFonts w:eastAsiaTheme="minorEastAsia" w:cs="Calibri"/>
                <w:iCs/>
                <w:color w:val="FFFFFF"/>
                <w:sz w:val="16"/>
                <w:szCs w:val="20"/>
                <w:lang w:eastAsia="en-AU"/>
              </w:rPr>
              <w:br/>
            </w:r>
            <w:r w:rsidRPr="005A36FE">
              <w:rPr>
                <w:rFonts w:eastAsiaTheme="minorEastAsia" w:cs="Calibri"/>
                <w:iCs/>
                <w:color w:val="FFFFFF"/>
                <w:sz w:val="16"/>
                <w:szCs w:val="20"/>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spacing w:before="0" w:after="18"/>
              <w:rPr>
                <w:rFonts w:eastAsiaTheme="minorEastAsia" w:cs="Calibri"/>
                <w:iCs/>
                <w:color w:val="FFFFFF"/>
                <w:sz w:val="16"/>
                <w:lang w:eastAsia="en-AU"/>
              </w:rPr>
            </w:pPr>
            <w:r w:rsidRPr="005A36FE">
              <w:rPr>
                <w:rFonts w:eastAsiaTheme="minorEastAsia" w:cs="Calibri"/>
                <w:iCs/>
                <w:color w:val="FFFFFF"/>
                <w:sz w:val="16"/>
                <w:lang w:eastAsia="en-AU"/>
              </w:rPr>
              <w:t xml:space="preserve"> </w:t>
            </w:r>
          </w:p>
        </w:tc>
        <w:tc>
          <w:tcPr>
            <w:tcW w:w="73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spacing w:before="0" w:after="18"/>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lang w:eastAsia="en-AU"/>
              </w:rPr>
            </w:pPr>
            <w:r w:rsidRPr="005A36FE">
              <w:rPr>
                <w:rFonts w:eastAsiaTheme="minorEastAsia" w:cs="Calibri"/>
                <w:iCs/>
                <w:color w:val="FFFFFF"/>
                <w:sz w:val="16"/>
                <w:lang w:eastAsia="en-AU"/>
              </w:rPr>
              <w:t>Notes</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spacing w:before="0" w:after="18"/>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5A36FE">
              <w:rPr>
                <w:rFonts w:eastAsiaTheme="minorEastAsia" w:cs="Calibri"/>
                <w:iCs/>
                <w:color w:val="FFFFFF"/>
                <w:sz w:val="16"/>
                <w:szCs w:val="20"/>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spacing w:before="0" w:after="18"/>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5A36FE">
              <w:rPr>
                <w:rFonts w:eastAsiaTheme="minorEastAsia" w:cs="Calibri"/>
                <w:iCs/>
                <w:color w:val="FFFFFF"/>
                <w:sz w:val="16"/>
                <w:szCs w:val="20"/>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spacing w:before="0" w:after="18"/>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5A36FE">
              <w:rPr>
                <w:rFonts w:eastAsiaTheme="minorEastAsia" w:cs="Calibri"/>
                <w:iCs/>
                <w:color w:val="FFFFFF"/>
                <w:sz w:val="16"/>
                <w:szCs w:val="20"/>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spacing w:before="0" w:after="18"/>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5A36FE">
              <w:rPr>
                <w:rFonts w:eastAsiaTheme="minorEastAsia" w:cs="Calibri"/>
                <w:iCs/>
                <w:color w:val="FFFFFF"/>
                <w:sz w:val="16"/>
                <w:szCs w:val="20"/>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b/>
                <w:bCs/>
                <w:color w:val="000000"/>
                <w:sz w:val="16"/>
                <w:lang w:eastAsia="en-AU"/>
              </w:rPr>
            </w:pPr>
            <w:r w:rsidRPr="005A36FE">
              <w:rPr>
                <w:rFonts w:eastAsiaTheme="minorEastAsia" w:cs="Calibri"/>
                <w:b/>
                <w:bCs/>
                <w:color w:val="000000"/>
                <w:sz w:val="16"/>
                <w:lang w:eastAsia="en-AU"/>
              </w:rPr>
              <w:t>Cash flows from operating activities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5A36FE">
              <w:rPr>
                <w:rFonts w:eastAsiaTheme="minorEastAsia" w:cs="Calibri"/>
                <w:i/>
                <w:iCs/>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5A36FE">
              <w:rPr>
                <w:rFonts w:eastAsiaTheme="minorEastAsia" w:cs="Calibri"/>
                <w:i/>
                <w:iCs/>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5A36FE">
              <w:rPr>
                <w:rFonts w:eastAsiaTheme="minorEastAsia" w:cs="Calibri"/>
                <w:i/>
                <w:iCs/>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5A36FE">
              <w:rPr>
                <w:rFonts w:eastAsiaTheme="minorEastAsia" w:cs="Calibri"/>
                <w:i/>
                <w:iCs/>
                <w:color w:val="000000"/>
                <w:sz w:val="16"/>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b/>
                <w:bCs/>
                <w:color w:val="000000"/>
                <w:sz w:val="16"/>
                <w:lang w:eastAsia="en-AU"/>
              </w:rPr>
            </w:pPr>
            <w:r w:rsidRPr="005A36FE">
              <w:rPr>
                <w:rFonts w:eastAsiaTheme="minorEastAsia" w:cs="Calibri"/>
                <w:b/>
                <w:bCs/>
                <w:color w:val="000000"/>
                <w:sz w:val="16"/>
                <w:lang w:eastAsia="en-AU"/>
              </w:rPr>
              <w:t>Receipts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5A36FE">
              <w:rPr>
                <w:rFonts w:eastAsiaTheme="minorEastAsia" w:cs="Calibri"/>
                <w:i/>
                <w:iCs/>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5A36FE">
              <w:rPr>
                <w:rFonts w:eastAsiaTheme="minorEastAsia" w:cs="Calibri"/>
                <w:i/>
                <w:iCs/>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5A36FE">
              <w:rPr>
                <w:rFonts w:eastAsiaTheme="minorEastAsia" w:cs="Calibri"/>
                <w:i/>
                <w:iCs/>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5A36FE">
              <w:rPr>
                <w:rFonts w:eastAsiaTheme="minorEastAsia" w:cs="Calibri"/>
                <w:i/>
                <w:iCs/>
                <w:color w:val="000000"/>
                <w:sz w:val="16"/>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Taxes received</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21 406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19 325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21 786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19 775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Grants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27 351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25 203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27 542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25 375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vertAlign w:val="superscript"/>
                <w:lang w:eastAsia="en-AU"/>
              </w:rPr>
            </w:pPr>
            <w:r w:rsidRPr="005A36FE">
              <w:rPr>
                <w:rFonts w:eastAsiaTheme="minorEastAsia" w:cs="Calibri"/>
                <w:color w:val="000000"/>
                <w:sz w:val="16"/>
                <w:lang w:eastAsia="en-AU"/>
              </w:rPr>
              <w:t xml:space="preserve">Sales of goods and services </w:t>
            </w:r>
            <w:r w:rsidRPr="005A36FE">
              <w:rPr>
                <w:rFonts w:eastAsiaTheme="minorEastAsia" w:cs="Calibri"/>
                <w:color w:val="000000"/>
                <w:sz w:val="16"/>
                <w:vertAlign w:val="superscript"/>
                <w:lang w:eastAsia="en-AU"/>
              </w:rPr>
              <w:t>(a)</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25 201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15 892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7 737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7 253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Interest received</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517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557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862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786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Dividends, income tax equivalent and rate equivalent receipts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915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1 158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743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802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Other receipts</w:t>
            </w:r>
          </w:p>
        </w:tc>
        <w:tc>
          <w:tcPr>
            <w:tcW w:w="73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2 447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2 627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1 735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2 436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b/>
                <w:bCs/>
                <w:color w:val="000000"/>
                <w:sz w:val="16"/>
                <w:lang w:eastAsia="en-AU"/>
              </w:rPr>
            </w:pPr>
            <w:r w:rsidRPr="005A36FE">
              <w:rPr>
                <w:rFonts w:eastAsiaTheme="minorEastAsia" w:cs="Calibri"/>
                <w:b/>
                <w:bCs/>
                <w:color w:val="000000"/>
                <w:sz w:val="16"/>
                <w:lang w:eastAsia="en-AU"/>
              </w:rPr>
              <w:t>Total receipts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single" w:sz="6" w:space="0" w:color="auto"/>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77 837</w:t>
            </w:r>
          </w:p>
        </w:tc>
        <w:tc>
          <w:tcPr>
            <w:tcW w:w="907" w:type="dxa"/>
            <w:tcBorders>
              <w:top w:val="single" w:sz="6" w:space="0" w:color="auto"/>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64 763</w:t>
            </w:r>
          </w:p>
        </w:tc>
        <w:tc>
          <w:tcPr>
            <w:tcW w:w="907" w:type="dxa"/>
            <w:tcBorders>
              <w:top w:val="single" w:sz="6" w:space="0" w:color="auto"/>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60 405</w:t>
            </w:r>
          </w:p>
        </w:tc>
        <w:tc>
          <w:tcPr>
            <w:tcW w:w="907" w:type="dxa"/>
            <w:tcBorders>
              <w:top w:val="single" w:sz="6" w:space="0" w:color="auto"/>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56 428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b/>
                <w:bCs/>
                <w:color w:val="000000"/>
                <w:sz w:val="16"/>
                <w:lang w:eastAsia="en-AU"/>
              </w:rPr>
            </w:pPr>
            <w:r w:rsidRPr="005A36FE">
              <w:rPr>
                <w:rFonts w:eastAsiaTheme="minorEastAsia" w:cs="Calibri"/>
                <w:b/>
                <w:bCs/>
                <w:color w:val="000000"/>
                <w:sz w:val="16"/>
                <w:lang w:eastAsia="en-AU"/>
              </w:rPr>
              <w:t>Payments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Payments for employees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(22 067)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(20 645)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(20 965)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(19 621)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Superannuation</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(3 195)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(3 014)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(3 047)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(2 877)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Interest paid</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(2 718)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(2 711)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(1 998)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(2 040)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 xml:space="preserve">Grants and subsidies </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(6 772)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(5 623)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(10 203)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(8 538)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vertAlign w:val="superscript"/>
                <w:lang w:eastAsia="en-AU"/>
              </w:rPr>
            </w:pPr>
            <w:r w:rsidRPr="005A36FE">
              <w:rPr>
                <w:rFonts w:eastAsiaTheme="minorEastAsia" w:cs="Calibri"/>
                <w:color w:val="000000"/>
                <w:sz w:val="16"/>
                <w:lang w:eastAsia="en-AU"/>
              </w:rPr>
              <w:t>Goods and services</w:t>
            </w:r>
            <w:r w:rsidRPr="005A36FE">
              <w:rPr>
                <w:rFonts w:eastAsiaTheme="minorEastAsia" w:cs="Calibri"/>
                <w:color w:val="000000"/>
                <w:sz w:val="16"/>
                <w:vertAlign w:val="superscript"/>
                <w:lang w:eastAsia="en-AU"/>
              </w:rPr>
              <w:t xml:space="preserve"> (a)</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(25 280)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(24 365)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(18 048)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(17 257)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Other payments</w:t>
            </w:r>
          </w:p>
        </w:tc>
        <w:tc>
          <w:tcPr>
            <w:tcW w:w="73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(767)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(468)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(620)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(736)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rPr>
                <w:rFonts w:eastAsiaTheme="minorEastAsia" w:cs="Calibri"/>
                <w:b/>
                <w:bCs/>
                <w:color w:val="000000"/>
                <w:sz w:val="16"/>
                <w:lang w:eastAsia="en-AU"/>
              </w:rPr>
            </w:pPr>
            <w:r w:rsidRPr="005A36FE">
              <w:rPr>
                <w:rFonts w:eastAsiaTheme="minorEastAsia" w:cs="Calibri"/>
                <w:b/>
                <w:bCs/>
                <w:color w:val="000000"/>
                <w:sz w:val="16"/>
                <w:lang w:eastAsia="en-AU"/>
              </w:rPr>
              <w:t>Total payments</w:t>
            </w:r>
          </w:p>
        </w:tc>
        <w:tc>
          <w:tcPr>
            <w:tcW w:w="737" w:type="dxa"/>
            <w:tcBorders>
              <w:top w:val="single" w:sz="6" w:space="0" w:color="auto"/>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single" w:sz="6" w:space="0" w:color="auto"/>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(60 798)</w:t>
            </w:r>
          </w:p>
        </w:tc>
        <w:tc>
          <w:tcPr>
            <w:tcW w:w="907" w:type="dxa"/>
            <w:tcBorders>
              <w:top w:val="single" w:sz="6" w:space="0" w:color="auto"/>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(56 826)</w:t>
            </w:r>
          </w:p>
        </w:tc>
        <w:tc>
          <w:tcPr>
            <w:tcW w:w="907" w:type="dxa"/>
            <w:tcBorders>
              <w:top w:val="single" w:sz="6" w:space="0" w:color="auto"/>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(54 880)</w:t>
            </w:r>
          </w:p>
        </w:tc>
        <w:tc>
          <w:tcPr>
            <w:tcW w:w="907" w:type="dxa"/>
            <w:tcBorders>
              <w:top w:val="single" w:sz="6" w:space="0" w:color="auto"/>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(51 069)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b/>
                <w:bCs/>
                <w:color w:val="000000"/>
                <w:sz w:val="16"/>
                <w:lang w:eastAsia="en-AU"/>
              </w:rPr>
            </w:pPr>
            <w:r w:rsidRPr="005A36FE">
              <w:rPr>
                <w:rFonts w:eastAsiaTheme="minorEastAsia" w:cs="Calibri"/>
                <w:b/>
                <w:bCs/>
                <w:color w:val="000000"/>
                <w:sz w:val="16"/>
                <w:lang w:eastAsia="en-AU"/>
              </w:rPr>
              <w:t>Net cash flows from operating activities</w:t>
            </w:r>
          </w:p>
        </w:tc>
        <w:tc>
          <w:tcPr>
            <w:tcW w:w="737" w:type="dxa"/>
            <w:tcBorders>
              <w:top w:val="single" w:sz="6" w:space="0" w:color="auto"/>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5.3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17 039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7 936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5 524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5 359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b/>
                <w:bCs/>
                <w:color w:val="000000"/>
                <w:sz w:val="16"/>
                <w:lang w:eastAsia="en-AU"/>
              </w:rPr>
            </w:pPr>
            <w:r w:rsidRPr="005A36FE">
              <w:rPr>
                <w:rFonts w:eastAsiaTheme="minorEastAsia" w:cs="Calibri"/>
                <w:b/>
                <w:bCs/>
                <w:color w:val="000000"/>
                <w:sz w:val="16"/>
                <w:lang w:eastAsia="en-AU"/>
              </w:rPr>
              <w:t>Cash flows from investing activities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b/>
                <w:bCs/>
                <w:color w:val="000000"/>
                <w:sz w:val="16"/>
                <w:lang w:eastAsia="en-AU"/>
              </w:rPr>
            </w:pPr>
            <w:r w:rsidRPr="005A36FE">
              <w:rPr>
                <w:rFonts w:eastAsiaTheme="minorEastAsia" w:cs="Calibri"/>
                <w:b/>
                <w:bCs/>
                <w:color w:val="000000"/>
                <w:sz w:val="16"/>
                <w:lang w:eastAsia="en-AU"/>
              </w:rPr>
              <w:t>Cash flows from investments in non-financial assets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Purchases of non-financial assets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3.5, 3.6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(9 086)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(6 836)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(7 278)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(4 420)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Sales of non-financial assets</w:t>
            </w:r>
          </w:p>
        </w:tc>
        <w:tc>
          <w:tcPr>
            <w:tcW w:w="73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476</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454</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287</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190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b/>
                <w:bCs/>
                <w:color w:val="000000"/>
                <w:sz w:val="16"/>
                <w:lang w:eastAsia="en-AU"/>
              </w:rPr>
            </w:pPr>
            <w:r w:rsidRPr="005A36FE">
              <w:rPr>
                <w:rFonts w:eastAsiaTheme="minorEastAsia" w:cs="Calibri"/>
                <w:b/>
                <w:bCs/>
                <w:color w:val="000000"/>
                <w:sz w:val="16"/>
                <w:lang w:eastAsia="en-AU"/>
              </w:rPr>
              <w:t>Net cash flows from investments in non-financial assets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 w:val="16"/>
                <w:lang w:eastAsia="en-AU"/>
              </w:rPr>
            </w:pPr>
            <w:r w:rsidRPr="005A36FE">
              <w:rPr>
                <w:rFonts w:eastAsiaTheme="minorEastAsia" w:cs="Calibri"/>
                <w:bCs/>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(8 610)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(6 382)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(6 991)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(4 230)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b/>
                <w:bCs/>
                <w:color w:val="000000"/>
                <w:sz w:val="16"/>
                <w:lang w:eastAsia="en-AU"/>
              </w:rPr>
            </w:pPr>
            <w:r w:rsidRPr="005A36FE">
              <w:rPr>
                <w:rFonts w:eastAsiaTheme="minorEastAsia" w:cs="Calibri"/>
                <w:b/>
                <w:bCs/>
                <w:color w:val="000000"/>
                <w:sz w:val="16"/>
                <w:lang w:eastAsia="en-AU"/>
              </w:rPr>
              <w:t>Cash flows from investments in financial assets for policy purposes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Cash inflows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152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189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11 255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564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Cash outflows</w:t>
            </w:r>
          </w:p>
        </w:tc>
        <w:tc>
          <w:tcPr>
            <w:tcW w:w="73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(214)</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(179)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(11 121)</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(471)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b/>
                <w:bCs/>
                <w:color w:val="000000"/>
                <w:sz w:val="16"/>
                <w:lang w:eastAsia="en-AU"/>
              </w:rPr>
            </w:pPr>
            <w:r w:rsidRPr="005A36FE">
              <w:rPr>
                <w:rFonts w:eastAsiaTheme="minorEastAsia" w:cs="Calibri"/>
                <w:b/>
                <w:bCs/>
                <w:color w:val="000000"/>
                <w:sz w:val="16"/>
                <w:lang w:eastAsia="en-AU"/>
              </w:rPr>
              <w:t>Net cash flows from investments in financial assets for policy purposes</w:t>
            </w:r>
          </w:p>
        </w:tc>
        <w:tc>
          <w:tcPr>
            <w:tcW w:w="737" w:type="dxa"/>
            <w:tcBorders>
              <w:top w:val="single" w:sz="6" w:space="0" w:color="auto"/>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single" w:sz="6" w:space="0" w:color="auto"/>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(62)</w:t>
            </w:r>
          </w:p>
        </w:tc>
        <w:tc>
          <w:tcPr>
            <w:tcW w:w="907" w:type="dxa"/>
            <w:tcBorders>
              <w:top w:val="single" w:sz="6" w:space="0" w:color="auto"/>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11</w:t>
            </w:r>
          </w:p>
        </w:tc>
        <w:tc>
          <w:tcPr>
            <w:tcW w:w="907" w:type="dxa"/>
            <w:tcBorders>
              <w:top w:val="single" w:sz="6" w:space="0" w:color="auto"/>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134</w:t>
            </w:r>
          </w:p>
        </w:tc>
        <w:tc>
          <w:tcPr>
            <w:tcW w:w="907" w:type="dxa"/>
            <w:tcBorders>
              <w:top w:val="single" w:sz="6" w:space="0" w:color="auto"/>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93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b/>
                <w:bCs/>
                <w:color w:val="000000"/>
                <w:sz w:val="16"/>
                <w:vertAlign w:val="superscript"/>
                <w:lang w:eastAsia="en-AU"/>
              </w:rPr>
            </w:pPr>
            <w:r w:rsidRPr="005A36FE">
              <w:rPr>
                <w:rFonts w:eastAsiaTheme="minorEastAsia" w:cs="Calibri"/>
                <w:b/>
                <w:bCs/>
                <w:color w:val="000000"/>
                <w:sz w:val="16"/>
                <w:lang w:eastAsia="en-AU"/>
              </w:rPr>
              <w:t xml:space="preserve">Cash flows from investments in financial assets for liquidity management purposes </w:t>
            </w:r>
            <w:r w:rsidRPr="005A36FE">
              <w:rPr>
                <w:rFonts w:eastAsiaTheme="minorEastAsia" w:cs="Calibri"/>
                <w:b/>
                <w:bCs/>
                <w:color w:val="000000"/>
                <w:sz w:val="16"/>
                <w:vertAlign w:val="superscript"/>
                <w:lang w:eastAsia="en-AU"/>
              </w:rPr>
              <w:t>(b)</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vertAlign w:val="superscript"/>
                <w:lang w:eastAsia="en-AU"/>
              </w:rPr>
            </w:pPr>
            <w:r w:rsidRPr="005A36FE">
              <w:rPr>
                <w:rFonts w:eastAsiaTheme="minorEastAsia" w:cs="Calibri"/>
                <w:color w:val="000000"/>
                <w:sz w:val="16"/>
                <w:lang w:eastAsia="en-AU"/>
              </w:rPr>
              <w:t xml:space="preserve">Cash inflows </w:t>
            </w:r>
            <w:r w:rsidRPr="005A36FE">
              <w:rPr>
                <w:rFonts w:eastAsiaTheme="minorEastAsia" w:cs="Calibri"/>
                <w:color w:val="000000"/>
                <w:sz w:val="16"/>
                <w:vertAlign w:val="superscript"/>
                <w:lang w:eastAsia="en-AU"/>
              </w:rPr>
              <w:t>(c)</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6 643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11 625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2 360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2 384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 xml:space="preserve">Cash outflows  </w:t>
            </w:r>
          </w:p>
        </w:tc>
        <w:tc>
          <w:tcPr>
            <w:tcW w:w="73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(11 569)</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(12 873)</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(3 111)</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(1 848)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rPr>
                <w:rFonts w:eastAsiaTheme="minorEastAsia" w:cs="Calibri"/>
                <w:b/>
                <w:bCs/>
                <w:color w:val="000000"/>
                <w:sz w:val="16"/>
                <w:vertAlign w:val="superscript"/>
                <w:lang w:eastAsia="en-AU"/>
              </w:rPr>
            </w:pPr>
            <w:r w:rsidRPr="005A36FE">
              <w:rPr>
                <w:rFonts w:eastAsiaTheme="minorEastAsia" w:cs="Calibri"/>
                <w:b/>
                <w:bCs/>
                <w:color w:val="000000"/>
                <w:sz w:val="16"/>
                <w:lang w:eastAsia="en-AU"/>
              </w:rPr>
              <w:t>Net cash flows from investments in financial assets for liquidity management purposes</w:t>
            </w:r>
            <w:r w:rsidRPr="005A36FE">
              <w:rPr>
                <w:rFonts w:eastAsiaTheme="minorEastAsia" w:cs="Calibri"/>
                <w:b/>
                <w:bCs/>
                <w:color w:val="000000"/>
                <w:sz w:val="16"/>
                <w:vertAlign w:val="superscript"/>
                <w:lang w:eastAsia="en-AU"/>
              </w:rPr>
              <w:t xml:space="preserve"> (c)</w:t>
            </w:r>
          </w:p>
        </w:tc>
        <w:tc>
          <w:tcPr>
            <w:tcW w:w="73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(4 926)</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(1 248)</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(751)</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535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b/>
                <w:bCs/>
                <w:color w:val="000000"/>
                <w:sz w:val="16"/>
                <w:lang w:eastAsia="en-AU"/>
              </w:rPr>
            </w:pPr>
            <w:r w:rsidRPr="005A36FE">
              <w:rPr>
                <w:rFonts w:eastAsiaTheme="minorEastAsia" w:cs="Calibri"/>
                <w:b/>
                <w:bCs/>
                <w:color w:val="000000"/>
                <w:sz w:val="16"/>
                <w:lang w:eastAsia="en-AU"/>
              </w:rPr>
              <w:t>Net cash flows from investing activities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(13 597)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(7 619)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(7 608)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(3 602)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b/>
                <w:bCs/>
                <w:color w:val="000000"/>
                <w:sz w:val="16"/>
                <w:lang w:eastAsia="en-AU"/>
              </w:rPr>
            </w:pPr>
            <w:r w:rsidRPr="005A36FE">
              <w:rPr>
                <w:rFonts w:eastAsiaTheme="minorEastAsia" w:cs="Calibri"/>
                <w:b/>
                <w:bCs/>
                <w:color w:val="000000"/>
                <w:sz w:val="16"/>
                <w:lang w:eastAsia="en-AU"/>
              </w:rPr>
              <w:t>Cash flows from financing activities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Advances received</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232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172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9 929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Advances repaid</w:t>
            </w:r>
          </w:p>
        </w:tc>
        <w:tc>
          <w:tcPr>
            <w:tcW w:w="73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(122)</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(123)</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(1 551)</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vertAlign w:val="superscript"/>
                <w:lang w:eastAsia="en-AU"/>
              </w:rPr>
            </w:pPr>
            <w:r w:rsidRPr="005A36FE">
              <w:rPr>
                <w:rFonts w:eastAsiaTheme="minorEastAsia" w:cs="Calibri"/>
                <w:color w:val="000000"/>
                <w:sz w:val="16"/>
                <w:lang w:eastAsia="en-AU"/>
              </w:rPr>
              <w:t xml:space="preserve">Advances received (net) </w:t>
            </w:r>
            <w:r w:rsidRPr="005A36FE">
              <w:rPr>
                <w:rFonts w:eastAsiaTheme="minorEastAsia" w:cs="Calibri"/>
                <w:color w:val="000000"/>
                <w:sz w:val="16"/>
                <w:vertAlign w:val="superscript"/>
                <w:lang w:eastAsia="en-AU"/>
              </w:rPr>
              <w:t>(b)</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110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8 378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Borrowings received</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421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39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296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291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vertAlign w:val="superscript"/>
                <w:lang w:eastAsia="en-AU"/>
              </w:rPr>
            </w:pPr>
            <w:r w:rsidRPr="005A36FE">
              <w:rPr>
                <w:rFonts w:eastAsiaTheme="minorEastAsia" w:cs="Calibri"/>
                <w:color w:val="000000"/>
                <w:sz w:val="16"/>
                <w:lang w:eastAsia="en-AU"/>
              </w:rPr>
              <w:t xml:space="preserve">Borrowings repaid </w:t>
            </w:r>
            <w:r w:rsidRPr="005A36FE">
              <w:rPr>
                <w:rFonts w:eastAsiaTheme="minorEastAsia" w:cs="Calibri"/>
                <w:color w:val="000000"/>
                <w:sz w:val="16"/>
                <w:vertAlign w:val="superscript"/>
                <w:lang w:eastAsia="en-AU"/>
              </w:rPr>
              <w:t>(c)</w:t>
            </w:r>
          </w:p>
        </w:tc>
        <w:tc>
          <w:tcPr>
            <w:tcW w:w="73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(3 985)</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(498)</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(5 836)</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(1 623)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vertAlign w:val="superscript"/>
                <w:lang w:eastAsia="en-AU"/>
              </w:rPr>
            </w:pPr>
            <w:r w:rsidRPr="005A36FE">
              <w:rPr>
                <w:rFonts w:eastAsiaTheme="minorEastAsia" w:cs="Calibri"/>
                <w:color w:val="000000"/>
                <w:sz w:val="16"/>
                <w:lang w:eastAsia="en-AU"/>
              </w:rPr>
              <w:t xml:space="preserve">Net borrowings </w:t>
            </w:r>
            <w:r w:rsidRPr="005A36FE">
              <w:rPr>
                <w:rFonts w:eastAsiaTheme="minorEastAsia" w:cs="Calibri"/>
                <w:color w:val="000000"/>
                <w:sz w:val="16"/>
                <w:vertAlign w:val="superscript"/>
                <w:lang w:eastAsia="en-AU"/>
              </w:rPr>
              <w:t xml:space="preserve">(b)(c) </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(3 563)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(459)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(5 541)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(1 332)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 xml:space="preserve">Deposits received </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695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1 088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564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799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 xml:space="preserve">Deposits repaid </w:t>
            </w:r>
          </w:p>
        </w:tc>
        <w:tc>
          <w:tcPr>
            <w:tcW w:w="73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(1 492)</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(828)</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(560)</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(734)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vertAlign w:val="superscript"/>
                <w:lang w:eastAsia="en-AU"/>
              </w:rPr>
            </w:pPr>
            <w:r w:rsidRPr="005A36FE">
              <w:rPr>
                <w:rFonts w:eastAsiaTheme="minorEastAsia" w:cs="Calibri"/>
                <w:color w:val="000000"/>
                <w:sz w:val="16"/>
                <w:lang w:eastAsia="en-AU"/>
              </w:rPr>
              <w:t xml:space="preserve">Deposits received (net) </w:t>
            </w:r>
            <w:r w:rsidRPr="005A36FE">
              <w:rPr>
                <w:rFonts w:eastAsiaTheme="minorEastAsia" w:cs="Calibri"/>
                <w:color w:val="000000"/>
                <w:sz w:val="16"/>
                <w:vertAlign w:val="superscript"/>
                <w:lang w:eastAsia="en-AU"/>
              </w:rPr>
              <w:t>(b)</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(797)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259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65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left w:val="nil"/>
              <w:bottom w:val="single" w:sz="6" w:space="0" w:color="auto"/>
              <w:right w:val="nil"/>
            </w:tcBorders>
          </w:tcPr>
          <w:p w:rsidR="00BB6F1F" w:rsidRPr="005A36FE" w:rsidRDefault="00BB6F1F" w:rsidP="00AC68FF">
            <w:pPr>
              <w:keepLines w:val="0"/>
              <w:autoSpaceDE w:val="0"/>
              <w:autoSpaceDN w:val="0"/>
              <w:adjustRightInd w:val="0"/>
              <w:spacing w:before="0" w:after="18"/>
              <w:rPr>
                <w:rFonts w:eastAsiaTheme="minorEastAsia" w:cs="Calibri"/>
                <w:b/>
                <w:bCs/>
                <w:color w:val="000000"/>
                <w:sz w:val="16"/>
                <w:lang w:eastAsia="en-AU"/>
              </w:rPr>
            </w:pPr>
            <w:r w:rsidRPr="005A36FE">
              <w:rPr>
                <w:rFonts w:eastAsiaTheme="minorEastAsia" w:cs="Calibri"/>
                <w:b/>
                <w:bCs/>
                <w:color w:val="000000"/>
                <w:sz w:val="16"/>
                <w:lang w:eastAsia="en-AU"/>
              </w:rPr>
              <w:t>Net cash flows from financing activities</w:t>
            </w:r>
          </w:p>
        </w:tc>
        <w:tc>
          <w:tcPr>
            <w:tcW w:w="737" w:type="dxa"/>
            <w:tcBorders>
              <w:top w:val="single" w:sz="6" w:space="0" w:color="auto"/>
              <w:left w:val="nil"/>
              <w:bottom w:val="single" w:sz="6" w:space="0" w:color="auto"/>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single" w:sz="6" w:space="0" w:color="auto"/>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(4 250)</w:t>
            </w:r>
          </w:p>
        </w:tc>
        <w:tc>
          <w:tcPr>
            <w:tcW w:w="907" w:type="dxa"/>
            <w:tcBorders>
              <w:top w:val="single" w:sz="6" w:space="0" w:color="auto"/>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(151)</w:t>
            </w:r>
          </w:p>
        </w:tc>
        <w:tc>
          <w:tcPr>
            <w:tcW w:w="907" w:type="dxa"/>
            <w:tcBorders>
              <w:top w:val="single" w:sz="6" w:space="0" w:color="auto"/>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2 841</w:t>
            </w:r>
          </w:p>
        </w:tc>
        <w:tc>
          <w:tcPr>
            <w:tcW w:w="907" w:type="dxa"/>
            <w:tcBorders>
              <w:top w:val="single" w:sz="6" w:space="0" w:color="auto"/>
              <w:left w:val="nil"/>
              <w:bottom w:val="single" w:sz="6"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(1 267)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b/>
                <w:bCs/>
                <w:color w:val="000000"/>
                <w:sz w:val="16"/>
                <w:lang w:eastAsia="en-AU"/>
              </w:rPr>
            </w:pPr>
            <w:r w:rsidRPr="005A36FE">
              <w:rPr>
                <w:rFonts w:eastAsiaTheme="minorEastAsia" w:cs="Calibri"/>
                <w:b/>
                <w:bCs/>
                <w:color w:val="000000"/>
                <w:sz w:val="16"/>
                <w:lang w:eastAsia="en-AU"/>
              </w:rPr>
              <w:t>Net increase/(decrease) in cash and cash equivalents</w:t>
            </w:r>
          </w:p>
        </w:tc>
        <w:tc>
          <w:tcPr>
            <w:tcW w:w="737" w:type="dxa"/>
            <w:tcBorders>
              <w:top w:val="single" w:sz="6" w:space="0" w:color="auto"/>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(808)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166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758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490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Cash and cash equivalents at beginning of the reporting period</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6 676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6 510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4 772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4 282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left w:val="nil"/>
              <w:bottom w:val="single" w:sz="12" w:space="0" w:color="auto"/>
              <w:right w:val="nil"/>
            </w:tcBorders>
          </w:tcPr>
          <w:p w:rsidR="00BB6F1F" w:rsidRPr="005A36FE" w:rsidRDefault="00BB6F1F" w:rsidP="00AC68FF">
            <w:pPr>
              <w:keepLines w:val="0"/>
              <w:autoSpaceDE w:val="0"/>
              <w:autoSpaceDN w:val="0"/>
              <w:adjustRightInd w:val="0"/>
              <w:spacing w:before="0" w:after="18"/>
              <w:rPr>
                <w:rFonts w:eastAsiaTheme="minorEastAsia" w:cs="Calibri"/>
                <w:b/>
                <w:bCs/>
                <w:color w:val="000000"/>
                <w:sz w:val="16"/>
                <w:vertAlign w:val="superscript"/>
                <w:lang w:eastAsia="en-AU"/>
              </w:rPr>
            </w:pPr>
            <w:r w:rsidRPr="005A36FE">
              <w:rPr>
                <w:rFonts w:eastAsiaTheme="minorEastAsia" w:cs="Calibri"/>
                <w:b/>
                <w:bCs/>
                <w:color w:val="000000"/>
                <w:sz w:val="16"/>
                <w:lang w:eastAsia="en-AU"/>
              </w:rPr>
              <w:t xml:space="preserve">Cash and cash equivalents at end of the reporting period </w:t>
            </w:r>
            <w:r w:rsidRPr="005A36FE">
              <w:rPr>
                <w:rFonts w:eastAsiaTheme="minorEastAsia" w:cs="Calibri"/>
                <w:b/>
                <w:bCs/>
                <w:color w:val="000000"/>
                <w:sz w:val="16"/>
                <w:vertAlign w:val="superscript"/>
                <w:lang w:eastAsia="en-AU"/>
              </w:rPr>
              <w:t>(d)</w:t>
            </w:r>
          </w:p>
        </w:tc>
        <w:tc>
          <w:tcPr>
            <w:tcW w:w="737" w:type="dxa"/>
            <w:tcBorders>
              <w:top w:val="single" w:sz="6" w:space="0" w:color="auto"/>
              <w:left w:val="nil"/>
              <w:bottom w:val="single" w:sz="12" w:space="0" w:color="auto"/>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5.3</w:t>
            </w:r>
          </w:p>
        </w:tc>
        <w:tc>
          <w:tcPr>
            <w:tcW w:w="907" w:type="dxa"/>
            <w:tcBorders>
              <w:top w:val="single" w:sz="6" w:space="0" w:color="auto"/>
              <w:left w:val="nil"/>
              <w:bottom w:val="single" w:sz="12"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5 868</w:t>
            </w:r>
          </w:p>
        </w:tc>
        <w:tc>
          <w:tcPr>
            <w:tcW w:w="907" w:type="dxa"/>
            <w:tcBorders>
              <w:top w:val="single" w:sz="6" w:space="0" w:color="auto"/>
              <w:left w:val="nil"/>
              <w:bottom w:val="single" w:sz="12"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6 676</w:t>
            </w:r>
          </w:p>
        </w:tc>
        <w:tc>
          <w:tcPr>
            <w:tcW w:w="907" w:type="dxa"/>
            <w:tcBorders>
              <w:top w:val="single" w:sz="6" w:space="0" w:color="auto"/>
              <w:left w:val="nil"/>
              <w:bottom w:val="single" w:sz="12"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5 530</w:t>
            </w:r>
          </w:p>
        </w:tc>
        <w:tc>
          <w:tcPr>
            <w:tcW w:w="907" w:type="dxa"/>
            <w:tcBorders>
              <w:top w:val="single" w:sz="6" w:space="0" w:color="auto"/>
              <w:left w:val="nil"/>
              <w:bottom w:val="single" w:sz="12" w:space="0" w:color="auto"/>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4 772</w:t>
            </w:r>
          </w:p>
        </w:tc>
      </w:tr>
      <w:tr w:rsidR="00BB6F1F" w:rsidRPr="005A36FE"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i/>
                <w:iCs/>
                <w:color w:val="000000"/>
                <w:sz w:val="16"/>
                <w:lang w:eastAsia="en-AU"/>
              </w:rPr>
            </w:pPr>
            <w:r w:rsidRPr="005A36FE">
              <w:rPr>
                <w:rFonts w:eastAsiaTheme="minorEastAsia" w:cs="Calibri"/>
                <w:i/>
                <w:iCs/>
                <w:color w:val="000000"/>
                <w:sz w:val="16"/>
                <w:lang w:eastAsia="en-AU"/>
              </w:rPr>
              <w:t xml:space="preserve"> </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b/>
                <w:bCs/>
                <w:color w:val="000000"/>
                <w:sz w:val="16"/>
                <w:lang w:eastAsia="en-AU"/>
              </w:rPr>
            </w:pPr>
            <w:r w:rsidRPr="005A36FE">
              <w:rPr>
                <w:rFonts w:eastAsiaTheme="minorEastAsia" w:cs="Calibri"/>
                <w:b/>
                <w:bCs/>
                <w:color w:val="000000"/>
                <w:sz w:val="16"/>
                <w:lang w:eastAsia="en-AU"/>
              </w:rPr>
              <w:t>FISCAL AGGREGATES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 xml:space="preserve">Net cash flows from operating activities </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17 039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7 936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5 524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5 359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6" w:space="0" w:color="auto"/>
              <w:right w:val="nil"/>
            </w:tcBorders>
          </w:tcPr>
          <w:p w:rsidR="00BB6F1F" w:rsidRPr="005A36FE" w:rsidRDefault="00BB6F1F" w:rsidP="00AC68FF">
            <w:pPr>
              <w:keepLines w:val="0"/>
              <w:autoSpaceDE w:val="0"/>
              <w:autoSpaceDN w:val="0"/>
              <w:adjustRightInd w:val="0"/>
              <w:spacing w:before="0" w:after="18"/>
              <w:rPr>
                <w:rFonts w:eastAsiaTheme="minorEastAsia" w:cs="Calibri"/>
                <w:color w:val="000000"/>
                <w:sz w:val="16"/>
                <w:lang w:eastAsia="en-AU"/>
              </w:rPr>
            </w:pPr>
            <w:r w:rsidRPr="005A36FE">
              <w:rPr>
                <w:rFonts w:eastAsiaTheme="minorEastAsia" w:cs="Calibri"/>
                <w:color w:val="000000"/>
                <w:sz w:val="16"/>
                <w:lang w:eastAsia="en-AU"/>
              </w:rPr>
              <w:t>Net cash flows from investments in non-financial assets</w:t>
            </w:r>
          </w:p>
        </w:tc>
        <w:tc>
          <w:tcPr>
            <w:tcW w:w="737" w:type="dxa"/>
            <w:tcBorders>
              <w:top w:val="nil"/>
              <w:left w:val="nil"/>
              <w:bottom w:val="nil"/>
              <w:right w:val="nil"/>
            </w:tcBorders>
          </w:tcPr>
          <w:p w:rsidR="00BB6F1F" w:rsidRPr="005A36FE" w:rsidRDefault="00BB6F1F" w:rsidP="00AC68FF">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(8 610)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(6 382)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(6 991)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5A36FE">
              <w:rPr>
                <w:rFonts w:eastAsiaTheme="minorEastAsia" w:cs="Calibri"/>
                <w:color w:val="000000"/>
                <w:sz w:val="16"/>
                <w:lang w:eastAsia="en-AU"/>
              </w:rPr>
              <w:t>(4 230)</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2" w:type="dxa"/>
            <w:tcBorders>
              <w:top w:val="nil"/>
              <w:bottom w:val="single" w:sz="12" w:space="0" w:color="auto"/>
            </w:tcBorders>
          </w:tcPr>
          <w:p w:rsidR="00BB6F1F" w:rsidRPr="005A36FE" w:rsidRDefault="00BB6F1F" w:rsidP="00AC68FF">
            <w:pPr>
              <w:keepLines w:val="0"/>
              <w:autoSpaceDE w:val="0"/>
              <w:autoSpaceDN w:val="0"/>
              <w:adjustRightInd w:val="0"/>
              <w:spacing w:before="0" w:after="18"/>
              <w:rPr>
                <w:rFonts w:eastAsiaTheme="minorEastAsia" w:cs="Calibri"/>
                <w:bCs/>
                <w:color w:val="000000"/>
                <w:sz w:val="16"/>
                <w:lang w:eastAsia="en-AU"/>
              </w:rPr>
            </w:pPr>
            <w:r w:rsidRPr="005A36FE">
              <w:rPr>
                <w:rFonts w:eastAsiaTheme="minorEastAsia" w:cs="Calibri"/>
                <w:bCs/>
                <w:color w:val="000000"/>
                <w:sz w:val="16"/>
                <w:lang w:eastAsia="en-AU"/>
              </w:rPr>
              <w:t>Cash surplus/(deficit)</w:t>
            </w:r>
          </w:p>
        </w:tc>
        <w:tc>
          <w:tcPr>
            <w:tcW w:w="737" w:type="dxa"/>
            <w:tcBorders>
              <w:top w:val="single" w:sz="6" w:space="0" w:color="auto"/>
              <w:bottom w:val="single" w:sz="12" w:space="0" w:color="auto"/>
            </w:tcBorders>
          </w:tcPr>
          <w:p w:rsidR="00BB6F1F" w:rsidRPr="005A36FE" w:rsidRDefault="00BB6F1F" w:rsidP="00AC68FF">
            <w:pPr>
              <w:keepLines w:val="0"/>
              <w:autoSpaceDE w:val="0"/>
              <w:autoSpaceDN w:val="0"/>
              <w:adjustRightInd w:val="0"/>
              <w:spacing w:before="0" w:after="18"/>
              <w:jc w:val="center"/>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 w:val="16"/>
                <w:lang w:eastAsia="en-AU"/>
              </w:rPr>
            </w:pPr>
            <w:r w:rsidRPr="005A36FE">
              <w:rPr>
                <w:rFonts w:eastAsiaTheme="minorEastAsia" w:cs="Calibri"/>
                <w:b w:val="0"/>
                <w:color w:val="000000"/>
                <w:sz w:val="16"/>
                <w:lang w:eastAsia="en-AU"/>
              </w:rPr>
              <w:t xml:space="preserve"> </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spacing w:before="0" w:after="18"/>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lang w:eastAsia="en-AU"/>
              </w:rPr>
            </w:pPr>
            <w:r w:rsidRPr="005A36FE">
              <w:rPr>
                <w:rFonts w:eastAsiaTheme="minorEastAsia" w:cs="Calibri"/>
                <w:bCs/>
                <w:color w:val="000000"/>
                <w:sz w:val="16"/>
                <w:lang w:eastAsia="en-AU"/>
              </w:rPr>
              <w:t>8 430</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spacing w:before="0" w:after="18"/>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lang w:eastAsia="en-AU"/>
              </w:rPr>
            </w:pPr>
            <w:r w:rsidRPr="005A36FE">
              <w:rPr>
                <w:rFonts w:eastAsiaTheme="minorEastAsia" w:cs="Calibri"/>
                <w:bCs/>
                <w:color w:val="000000"/>
                <w:sz w:val="16"/>
                <w:lang w:eastAsia="en-AU"/>
              </w:rPr>
              <w:t>1 554</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spacing w:before="0" w:after="18"/>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lang w:eastAsia="en-AU"/>
              </w:rPr>
            </w:pPr>
            <w:r w:rsidRPr="005A36FE">
              <w:rPr>
                <w:rFonts w:eastAsiaTheme="minorEastAsia" w:cs="Calibri"/>
                <w:bCs/>
                <w:color w:val="000000"/>
                <w:sz w:val="16"/>
                <w:lang w:eastAsia="en-AU"/>
              </w:rPr>
              <w:t>(1 467)</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spacing w:before="0" w:after="18"/>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lang w:eastAsia="en-AU"/>
              </w:rPr>
            </w:pPr>
            <w:r w:rsidRPr="005A36FE">
              <w:rPr>
                <w:rFonts w:eastAsiaTheme="minorEastAsia" w:cs="Calibri"/>
                <w:bCs/>
                <w:color w:val="000000"/>
                <w:sz w:val="16"/>
                <w:lang w:eastAsia="en-AU"/>
              </w:rPr>
              <w:t>1 129</w:t>
            </w:r>
          </w:p>
        </w:tc>
      </w:tr>
    </w:tbl>
    <w:p w:rsidR="00BB6F1F" w:rsidRDefault="00BB6F1F" w:rsidP="00AC68FF">
      <w:pPr>
        <w:pStyle w:val="Source"/>
      </w:pPr>
      <w:r w:rsidRPr="00BD36E7">
        <w:t>The accompanying notes form part of these financial statements.</w:t>
      </w:r>
    </w:p>
    <w:p w:rsidR="00BB6F1F" w:rsidRDefault="00BB6F1F" w:rsidP="00AC68FF">
      <w:pPr>
        <w:pStyle w:val="Note"/>
      </w:pPr>
      <w:r>
        <w:t>Notes:</w:t>
      </w:r>
    </w:p>
    <w:p w:rsidR="00BB6F1F" w:rsidRDefault="00BB6F1F" w:rsidP="00AC68FF">
      <w:pPr>
        <w:pStyle w:val="Note"/>
      </w:pPr>
      <w:r w:rsidRPr="004E06C4">
        <w:t>(a)</w:t>
      </w:r>
      <w:r w:rsidRPr="004E06C4">
        <w:tab/>
        <w:t xml:space="preserve">These items </w:t>
      </w:r>
      <w:r>
        <w:t>include goods and services tax.</w:t>
      </w:r>
    </w:p>
    <w:p w:rsidR="00BB6F1F" w:rsidRPr="004E06C4" w:rsidRDefault="00BB6F1F" w:rsidP="00AC68FF">
      <w:pPr>
        <w:pStyle w:val="Note"/>
      </w:pPr>
      <w:r>
        <w:t>(b</w:t>
      </w:r>
      <w:r w:rsidRPr="004E06C4">
        <w:t>)</w:t>
      </w:r>
      <w:r w:rsidRPr="004E06C4">
        <w:tab/>
      </w:r>
      <w:r w:rsidRPr="00ED3FE6">
        <w:t>In accordance with AASB 107, Treasury Corporation of Victoria (TCV) is not required to gross up their cash flow information for whole of government consolidation purposes. The net cash movements for TCV have been added to cash inflows or outflows for both financial years ended 30 June 2017 and 30 June 2016.</w:t>
      </w:r>
    </w:p>
    <w:p w:rsidR="00BB6F1F" w:rsidRPr="00EF45FE" w:rsidRDefault="00BB6F1F" w:rsidP="00AC68FF">
      <w:pPr>
        <w:pStyle w:val="Note"/>
      </w:pPr>
      <w:r>
        <w:t>(c</w:t>
      </w:r>
      <w:r w:rsidRPr="004E06C4">
        <w:t>)</w:t>
      </w:r>
      <w:r w:rsidRPr="004E06C4">
        <w:tab/>
      </w:r>
      <w:r w:rsidRPr="00ED3FE6">
        <w:t>June 2016 comparative figures have been restated to reflect the reclassification of borrowings sold at a premium.</w:t>
      </w:r>
    </w:p>
    <w:p w:rsidR="00BB6F1F" w:rsidRDefault="00BB6F1F" w:rsidP="00AC68FF">
      <w:pPr>
        <w:pStyle w:val="Note"/>
        <w:sectPr w:rsidR="00BB6F1F" w:rsidSect="00AC68FF">
          <w:headerReference w:type="even" r:id="rId44"/>
          <w:headerReference w:type="default" r:id="rId45"/>
          <w:pgSz w:w="11907" w:h="16839" w:code="9"/>
          <w:pgMar w:top="1134" w:right="1134" w:bottom="1134" w:left="1134" w:header="624" w:footer="567" w:gutter="0"/>
          <w:cols w:sep="1" w:space="567"/>
          <w:docGrid w:linePitch="360"/>
        </w:sectPr>
      </w:pPr>
      <w:r w:rsidRPr="00EF45FE">
        <w:t>(d)</w:t>
      </w:r>
      <w:r w:rsidRPr="00EF45FE">
        <w:tab/>
        <w:t>Cash and cash equivalents at the end of the reporting period does not equal cash and deposits on the balance sheet. This is due to overdrafts being included in the cash flow statement balances. See Note 5.3.</w:t>
      </w:r>
    </w:p>
    <w:p w:rsidR="00BB6F1F" w:rsidRDefault="00BB6F1F" w:rsidP="00AC68FF">
      <w:pPr>
        <w:pStyle w:val="Heading10"/>
        <w:spacing w:before="0"/>
      </w:pPr>
      <w:bookmarkStart w:id="10" w:name="Consolidated_SOCIE"/>
      <w:r>
        <w:lastRenderedPageBreak/>
        <w:t xml:space="preserve">CONSOLIDATED </w:t>
      </w:r>
      <w:bookmarkEnd w:id="10"/>
      <w:r>
        <w:t>STATEMENT OF CHANGES IN EQUITY</w:t>
      </w:r>
    </w:p>
    <w:p w:rsidR="00BB6F1F" w:rsidRPr="005A36FE" w:rsidRDefault="00BB6F1F" w:rsidP="00AC68FF">
      <w:pPr>
        <w:pStyle w:val="TableHeading"/>
        <w:rPr>
          <w:bCs/>
          <w:lang w:val="en-US"/>
        </w:rPr>
      </w:pPr>
      <w:r>
        <w:t>For the financial year ended 30 June</w:t>
      </w:r>
      <w:r>
        <w:tab/>
      </w:r>
      <w:r>
        <w:tab/>
        <w:t>($ million)</w:t>
      </w: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5528"/>
        <w:gridCol w:w="1417"/>
        <w:gridCol w:w="1559"/>
        <w:gridCol w:w="1701"/>
        <w:gridCol w:w="3260"/>
        <w:gridCol w:w="1106"/>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000000" w:fill="auto"/>
          </w:tcPr>
          <w:p w:rsidR="00BB6F1F" w:rsidRPr="005A36FE" w:rsidRDefault="00BB6F1F" w:rsidP="00AC68FF">
            <w:pPr>
              <w:autoSpaceDE w:val="0"/>
              <w:autoSpaceDN w:val="0"/>
              <w:adjustRightInd w:val="0"/>
              <w:spacing w:after="0"/>
              <w:rPr>
                <w:rFonts w:eastAsiaTheme="minorEastAsia" w:cs="Calibri"/>
                <w:iCs/>
                <w:color w:val="FFFFFF"/>
                <w:sz w:val="16"/>
                <w:szCs w:val="21"/>
                <w:lang w:eastAsia="en-AU"/>
              </w:rPr>
            </w:pPr>
            <w:r w:rsidRPr="005A36FE">
              <w:rPr>
                <w:rFonts w:eastAsiaTheme="minorEastAsia" w:cs="Calibri"/>
                <w:iCs/>
                <w:color w:val="FFFFFF"/>
                <w:sz w:val="16"/>
                <w:szCs w:val="21"/>
                <w:lang w:eastAsia="en-AU"/>
              </w:rPr>
              <w:t>State of Victoria</w:t>
            </w:r>
          </w:p>
        </w:tc>
        <w:tc>
          <w:tcPr>
            <w:tcW w:w="141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5A36FE">
              <w:rPr>
                <w:rFonts w:eastAsiaTheme="minorEastAsia" w:cs="Calibri"/>
                <w:iCs/>
                <w:color w:val="FFFFFF"/>
                <w:sz w:val="16"/>
                <w:szCs w:val="21"/>
                <w:lang w:eastAsia="en-AU"/>
              </w:rPr>
              <w:t xml:space="preserve">Accumulated surplus/(deficit) </w:t>
            </w:r>
          </w:p>
        </w:tc>
        <w:tc>
          <w:tcPr>
            <w:tcW w:w="155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5A36FE">
              <w:rPr>
                <w:rFonts w:eastAsiaTheme="minorEastAsia" w:cs="Calibri"/>
                <w:iCs/>
                <w:color w:val="FFFFFF"/>
                <w:sz w:val="16"/>
                <w:szCs w:val="21"/>
                <w:lang w:eastAsia="en-AU"/>
              </w:rPr>
              <w:t>Non-controlling interest</w:t>
            </w:r>
          </w:p>
        </w:tc>
        <w:tc>
          <w:tcPr>
            <w:tcW w:w="1701"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5A36FE">
              <w:rPr>
                <w:rFonts w:eastAsiaTheme="minorEastAsia" w:cs="Calibri"/>
                <w:iCs/>
                <w:color w:val="FFFFFF"/>
                <w:sz w:val="16"/>
                <w:szCs w:val="21"/>
                <w:lang w:eastAsia="en-AU"/>
              </w:rPr>
              <w:t>Non-financial assets revaluation surplus</w:t>
            </w:r>
          </w:p>
        </w:tc>
        <w:tc>
          <w:tcPr>
            <w:tcW w:w="3260"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5A36FE">
              <w:rPr>
                <w:rFonts w:eastAsiaTheme="minorEastAsia" w:cs="Calibri"/>
                <w:iCs/>
                <w:color w:val="FFFFFF"/>
                <w:sz w:val="16"/>
                <w:szCs w:val="21"/>
                <w:lang w:eastAsia="en-AU"/>
              </w:rPr>
              <w:t xml:space="preserve">Other </w:t>
            </w:r>
            <w:r>
              <w:rPr>
                <w:rFonts w:eastAsiaTheme="minorEastAsia" w:cs="Calibri"/>
                <w:iCs/>
                <w:color w:val="FFFFFF"/>
                <w:sz w:val="16"/>
                <w:szCs w:val="21"/>
                <w:lang w:eastAsia="en-AU"/>
              </w:rPr>
              <w:br/>
            </w:r>
            <w:r w:rsidRPr="005A36FE">
              <w:rPr>
                <w:rFonts w:eastAsiaTheme="minorEastAsia" w:cs="Calibri"/>
                <w:iCs/>
                <w:color w:val="FFFFFF"/>
                <w:sz w:val="16"/>
                <w:szCs w:val="21"/>
                <w:lang w:eastAsia="en-AU"/>
              </w:rPr>
              <w:t>reserves</w:t>
            </w:r>
          </w:p>
        </w:tc>
        <w:tc>
          <w:tcPr>
            <w:tcW w:w="1106"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5A36FE">
              <w:rPr>
                <w:rFonts w:eastAsiaTheme="minorEastAsia" w:cs="Calibri"/>
                <w:iCs/>
                <w:color w:val="FFFFFF"/>
                <w:sz w:val="16"/>
                <w:szCs w:val="21"/>
                <w:lang w:eastAsia="en-AU"/>
              </w:rPr>
              <w:t>Total</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5A36FE" w:rsidRDefault="00BB6F1F" w:rsidP="00AC68FF">
            <w:pPr>
              <w:keepLines w:val="0"/>
              <w:autoSpaceDE w:val="0"/>
              <w:autoSpaceDN w:val="0"/>
              <w:adjustRightInd w:val="0"/>
              <w:spacing w:after="0"/>
              <w:rPr>
                <w:rFonts w:eastAsiaTheme="minorEastAsia" w:cs="Calibri"/>
                <w:b/>
                <w:bCs/>
                <w:color w:val="000000"/>
                <w:sz w:val="16"/>
                <w:szCs w:val="21"/>
                <w:lang w:eastAsia="en-AU"/>
              </w:rPr>
            </w:pPr>
            <w:r w:rsidRPr="005A36FE">
              <w:rPr>
                <w:rFonts w:eastAsiaTheme="minorEastAsia" w:cs="Calibri"/>
                <w:b/>
                <w:bCs/>
                <w:color w:val="000000"/>
                <w:sz w:val="16"/>
                <w:szCs w:val="21"/>
                <w:lang w:eastAsia="en-AU"/>
              </w:rPr>
              <w:t>2017</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5A36FE">
              <w:rPr>
                <w:rFonts w:eastAsiaTheme="minorEastAsia" w:cs="Calibri"/>
                <w:b/>
                <w:bCs/>
                <w:color w:val="000000"/>
                <w:sz w:val="16"/>
                <w:szCs w:val="21"/>
                <w:lang w:eastAsia="en-AU"/>
              </w:rPr>
              <w:t xml:space="preserve"> </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5A36FE">
              <w:rPr>
                <w:rFonts w:eastAsiaTheme="minorEastAsia" w:cs="Calibri"/>
                <w:b/>
                <w:bCs/>
                <w:color w:val="000000"/>
                <w:sz w:val="16"/>
                <w:szCs w:val="21"/>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 xml:space="preserve"> </w:t>
            </w:r>
          </w:p>
        </w:tc>
        <w:tc>
          <w:tcPr>
            <w:tcW w:w="3260"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5A36FE">
              <w:rPr>
                <w:rFonts w:eastAsiaTheme="minorEastAsia" w:cs="Calibri"/>
                <w:b/>
                <w:bCs/>
                <w:color w:val="000000"/>
                <w:sz w:val="16"/>
                <w:szCs w:val="21"/>
                <w:lang w:eastAsia="en-AU"/>
              </w:rPr>
              <w:t xml:space="preserve"> </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5A36FE">
              <w:rPr>
                <w:rFonts w:eastAsiaTheme="minorEastAsia" w:cs="Calibri"/>
                <w:b/>
                <w:bCs/>
                <w:color w:val="000000"/>
                <w:sz w:val="16"/>
                <w:szCs w:val="21"/>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5A36FE" w:rsidRDefault="00BB6F1F" w:rsidP="00AC68FF">
            <w:pPr>
              <w:keepLines w:val="0"/>
              <w:autoSpaceDE w:val="0"/>
              <w:autoSpaceDN w:val="0"/>
              <w:adjustRightInd w:val="0"/>
              <w:spacing w:after="0"/>
              <w:rPr>
                <w:rFonts w:eastAsiaTheme="minorEastAsia" w:cs="Calibri"/>
                <w:color w:val="000000"/>
                <w:sz w:val="16"/>
                <w:szCs w:val="21"/>
                <w:vertAlign w:val="superscript"/>
                <w:lang w:eastAsia="en-AU"/>
              </w:rPr>
            </w:pPr>
            <w:r w:rsidRPr="005A36FE">
              <w:rPr>
                <w:rFonts w:eastAsiaTheme="minorEastAsia" w:cs="Calibri"/>
                <w:color w:val="000000"/>
                <w:sz w:val="16"/>
                <w:szCs w:val="21"/>
                <w:lang w:eastAsia="en-AU"/>
              </w:rPr>
              <w:t xml:space="preserve">Balance at 1 July 2016 </w:t>
            </w:r>
            <w:r w:rsidRPr="005A36FE">
              <w:rPr>
                <w:rFonts w:eastAsiaTheme="minorEastAsia" w:cs="Calibri"/>
                <w:color w:val="000000"/>
                <w:sz w:val="16"/>
                <w:szCs w:val="21"/>
                <w:vertAlign w:val="superscript"/>
                <w:lang w:eastAsia="en-AU"/>
              </w:rPr>
              <w:t>(a)</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56 337</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5A36FE">
              <w:rPr>
                <w:rFonts w:eastAsiaTheme="minorEastAsia" w:cs="Calibri"/>
                <w:color w:val="000000"/>
                <w:sz w:val="16"/>
                <w:szCs w:val="21"/>
                <w:lang w:eastAsia="en-AU"/>
              </w:rPr>
              <w:t>50</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94 965</w:t>
            </w:r>
          </w:p>
        </w:tc>
        <w:tc>
          <w:tcPr>
            <w:tcW w:w="3260"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1 042</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152 395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5A36FE" w:rsidRDefault="00BB6F1F" w:rsidP="00AC68FF">
            <w:pPr>
              <w:keepLines w:val="0"/>
              <w:autoSpaceDE w:val="0"/>
              <w:autoSpaceDN w:val="0"/>
              <w:adjustRightInd w:val="0"/>
              <w:spacing w:after="0"/>
              <w:rPr>
                <w:rFonts w:eastAsiaTheme="minorEastAsia" w:cs="Calibri"/>
                <w:color w:val="000000"/>
                <w:sz w:val="16"/>
                <w:szCs w:val="20"/>
                <w:lang w:eastAsia="en-AU"/>
              </w:rPr>
            </w:pPr>
            <w:r w:rsidRPr="005A36FE">
              <w:rPr>
                <w:rFonts w:eastAsiaTheme="minorEastAsia" w:cs="Calibri"/>
                <w:color w:val="000000"/>
                <w:sz w:val="16"/>
                <w:szCs w:val="21"/>
                <w:lang w:eastAsia="en-AU"/>
              </w:rPr>
              <w:t xml:space="preserve">Net result for </w:t>
            </w:r>
            <w:r w:rsidRPr="005A36FE">
              <w:rPr>
                <w:rFonts w:eastAsiaTheme="minorEastAsia" w:cs="Calibri"/>
                <w:color w:val="000000"/>
                <w:sz w:val="16"/>
                <w:szCs w:val="20"/>
                <w:lang w:eastAsia="en-AU"/>
              </w:rPr>
              <w:t>the year</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6 570</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3260"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6 570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5A36FE" w:rsidRDefault="00BB6F1F" w:rsidP="00AC68FF">
            <w:pPr>
              <w:keepLines w:val="0"/>
              <w:autoSpaceDE w:val="0"/>
              <w:autoSpaceDN w:val="0"/>
              <w:adjustRightInd w:val="0"/>
              <w:spacing w:after="0"/>
              <w:rPr>
                <w:rFonts w:eastAsiaTheme="minorEastAsia" w:cs="Calibri"/>
                <w:color w:val="000000"/>
                <w:sz w:val="16"/>
                <w:szCs w:val="21"/>
                <w:lang w:eastAsia="en-AU"/>
              </w:rPr>
            </w:pPr>
            <w:r w:rsidRPr="005A36FE">
              <w:rPr>
                <w:rFonts w:eastAsiaTheme="minorEastAsia" w:cs="Calibri"/>
                <w:color w:val="000000"/>
                <w:sz w:val="16"/>
                <w:szCs w:val="21"/>
                <w:lang w:eastAsia="en-AU"/>
              </w:rPr>
              <w:t>Other comprehensive income for the year</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4 370</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8 792</w:t>
            </w:r>
          </w:p>
        </w:tc>
        <w:tc>
          <w:tcPr>
            <w:tcW w:w="3260"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5A36FE">
              <w:rPr>
                <w:rFonts w:eastAsiaTheme="minorEastAsia" w:cs="Calibri"/>
                <w:color w:val="000000"/>
                <w:sz w:val="16"/>
                <w:szCs w:val="21"/>
                <w:lang w:eastAsia="en-AU"/>
              </w:rPr>
              <w:t>157</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13 319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5A36FE" w:rsidRDefault="00BB6F1F" w:rsidP="00AC68FF">
            <w:pPr>
              <w:keepLines w:val="0"/>
              <w:autoSpaceDE w:val="0"/>
              <w:autoSpaceDN w:val="0"/>
              <w:adjustRightInd w:val="0"/>
              <w:spacing w:after="0"/>
              <w:rPr>
                <w:rFonts w:eastAsiaTheme="minorEastAsia" w:cs="Calibri"/>
                <w:color w:val="000000"/>
                <w:sz w:val="16"/>
                <w:szCs w:val="21"/>
                <w:lang w:eastAsia="en-AU"/>
              </w:rPr>
            </w:pPr>
            <w:r w:rsidRPr="005A36FE">
              <w:rPr>
                <w:rFonts w:eastAsiaTheme="minorEastAsia" w:cs="Calibri"/>
                <w:color w:val="000000"/>
                <w:sz w:val="16"/>
                <w:szCs w:val="21"/>
                <w:lang w:eastAsia="en-AU"/>
              </w:rPr>
              <w:t>Transfer to/(from) accumulated surplus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7 861</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(7 861)</w:t>
            </w:r>
          </w:p>
        </w:tc>
        <w:tc>
          <w:tcPr>
            <w:tcW w:w="3260"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5A36FE" w:rsidRDefault="00BB6F1F" w:rsidP="00AC68FF">
            <w:pPr>
              <w:keepLines w:val="0"/>
              <w:autoSpaceDE w:val="0"/>
              <w:autoSpaceDN w:val="0"/>
              <w:adjustRightInd w:val="0"/>
              <w:spacing w:after="0"/>
              <w:rPr>
                <w:rFonts w:eastAsiaTheme="minorEastAsia" w:cs="Calibri"/>
                <w:color w:val="000000"/>
                <w:sz w:val="16"/>
                <w:szCs w:val="21"/>
                <w:lang w:eastAsia="en-AU"/>
              </w:rPr>
            </w:pPr>
            <w:r w:rsidRPr="005A36FE">
              <w:rPr>
                <w:rFonts w:eastAsiaTheme="minorEastAsia" w:cs="Calibri"/>
                <w:color w:val="000000"/>
                <w:sz w:val="16"/>
                <w:szCs w:val="21"/>
                <w:lang w:eastAsia="en-AU"/>
              </w:rPr>
              <w:t>Transactions with owners in their capacity as owners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(50)</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3260"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spacing w:after="0"/>
              <w:rPr>
                <w:rFonts w:eastAsiaTheme="minorEastAsia" w:cs="Calibri"/>
                <w:b/>
                <w:bCs/>
                <w:color w:val="000000"/>
                <w:sz w:val="16"/>
                <w:szCs w:val="21"/>
                <w:lang w:eastAsia="en-AU"/>
              </w:rPr>
            </w:pPr>
            <w:r w:rsidRPr="005A36FE">
              <w:rPr>
                <w:rFonts w:eastAsiaTheme="minorEastAsia" w:cs="Calibri"/>
                <w:b/>
                <w:bCs/>
                <w:color w:val="000000"/>
                <w:sz w:val="16"/>
                <w:szCs w:val="21"/>
                <w:lang w:eastAsia="en-AU"/>
              </w:rPr>
              <w:t>Total equity as at 30 June 2017</w:t>
            </w:r>
          </w:p>
        </w:tc>
        <w:tc>
          <w:tcPr>
            <w:tcW w:w="141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75 137</w:t>
            </w:r>
          </w:p>
        </w:tc>
        <w:tc>
          <w:tcPr>
            <w:tcW w:w="1559"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w:t>
            </w:r>
          </w:p>
        </w:tc>
        <w:tc>
          <w:tcPr>
            <w:tcW w:w="1701"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95 897</w:t>
            </w:r>
          </w:p>
        </w:tc>
        <w:tc>
          <w:tcPr>
            <w:tcW w:w="3260"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1 199</w:t>
            </w:r>
          </w:p>
        </w:tc>
        <w:tc>
          <w:tcPr>
            <w:tcW w:w="1106"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172 234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5A36FE" w:rsidRDefault="00BB6F1F" w:rsidP="00AC68FF">
            <w:pPr>
              <w:keepLines w:val="0"/>
              <w:autoSpaceDE w:val="0"/>
              <w:autoSpaceDN w:val="0"/>
              <w:adjustRightInd w:val="0"/>
              <w:spacing w:after="0"/>
              <w:rPr>
                <w:rFonts w:eastAsiaTheme="minorEastAsia" w:cs="Calibri"/>
                <w:b/>
                <w:bCs/>
                <w:color w:val="000000"/>
                <w:sz w:val="16"/>
                <w:szCs w:val="21"/>
                <w:lang w:eastAsia="en-AU"/>
              </w:rPr>
            </w:pPr>
            <w:r w:rsidRPr="005A36FE">
              <w:rPr>
                <w:rFonts w:eastAsiaTheme="minorEastAsia" w:cs="Calibri"/>
                <w:b/>
                <w:bCs/>
                <w:color w:val="000000"/>
                <w:sz w:val="16"/>
                <w:szCs w:val="21"/>
                <w:lang w:eastAsia="en-AU"/>
              </w:rPr>
              <w:t>2016</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5A36FE">
              <w:rPr>
                <w:rFonts w:eastAsiaTheme="minorEastAsia" w:cs="Calibri"/>
                <w:b/>
                <w:bCs/>
                <w:color w:val="000000"/>
                <w:sz w:val="16"/>
                <w:szCs w:val="21"/>
                <w:lang w:eastAsia="en-AU"/>
              </w:rPr>
              <w:t xml:space="preserve"> </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5A36FE">
              <w:rPr>
                <w:rFonts w:eastAsiaTheme="minorEastAsia" w:cs="Calibri"/>
                <w:b/>
                <w:bCs/>
                <w:color w:val="000000"/>
                <w:sz w:val="16"/>
                <w:szCs w:val="21"/>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 xml:space="preserve"> </w:t>
            </w:r>
          </w:p>
        </w:tc>
        <w:tc>
          <w:tcPr>
            <w:tcW w:w="3260"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5A36FE">
              <w:rPr>
                <w:rFonts w:eastAsiaTheme="minorEastAsia" w:cs="Calibri"/>
                <w:b/>
                <w:bCs/>
                <w:color w:val="000000"/>
                <w:sz w:val="16"/>
                <w:szCs w:val="21"/>
                <w:lang w:eastAsia="en-AU"/>
              </w:rPr>
              <w:t xml:space="preserve"> </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5A36FE">
              <w:rPr>
                <w:rFonts w:eastAsiaTheme="minorEastAsia" w:cs="Calibri"/>
                <w:b/>
                <w:bCs/>
                <w:color w:val="000000"/>
                <w:sz w:val="16"/>
                <w:szCs w:val="21"/>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5A36FE" w:rsidRDefault="00BB6F1F" w:rsidP="00AC68FF">
            <w:pPr>
              <w:keepLines w:val="0"/>
              <w:autoSpaceDE w:val="0"/>
              <w:autoSpaceDN w:val="0"/>
              <w:adjustRightInd w:val="0"/>
              <w:spacing w:after="0"/>
              <w:rPr>
                <w:rFonts w:eastAsiaTheme="minorEastAsia" w:cs="Calibri"/>
                <w:color w:val="000000"/>
                <w:sz w:val="16"/>
                <w:szCs w:val="21"/>
                <w:vertAlign w:val="superscript"/>
                <w:lang w:eastAsia="en-AU"/>
              </w:rPr>
            </w:pPr>
            <w:r w:rsidRPr="005A36FE">
              <w:rPr>
                <w:rFonts w:eastAsiaTheme="minorEastAsia" w:cs="Calibri"/>
                <w:color w:val="000000"/>
                <w:sz w:val="16"/>
                <w:szCs w:val="21"/>
                <w:lang w:eastAsia="en-AU"/>
              </w:rPr>
              <w:t xml:space="preserve">Balance at 1 July 2015 </w:t>
            </w:r>
            <w:r w:rsidRPr="005A36FE">
              <w:rPr>
                <w:rFonts w:eastAsiaTheme="minorEastAsia" w:cs="Calibri"/>
                <w:color w:val="000000"/>
                <w:sz w:val="16"/>
                <w:szCs w:val="21"/>
                <w:vertAlign w:val="superscript"/>
                <w:lang w:eastAsia="en-AU"/>
              </w:rPr>
              <w:t>(a)</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61 389</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5A36FE">
              <w:rPr>
                <w:rFonts w:eastAsiaTheme="minorEastAsia" w:cs="Calibri"/>
                <w:color w:val="000000"/>
                <w:sz w:val="16"/>
                <w:szCs w:val="21"/>
                <w:lang w:eastAsia="en-AU"/>
              </w:rPr>
              <w:t>50</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77 429</w:t>
            </w:r>
          </w:p>
        </w:tc>
        <w:tc>
          <w:tcPr>
            <w:tcW w:w="3260"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1 201</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140 069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5A36FE" w:rsidRDefault="00BB6F1F" w:rsidP="00AC68FF">
            <w:pPr>
              <w:keepLines w:val="0"/>
              <w:autoSpaceDE w:val="0"/>
              <w:autoSpaceDN w:val="0"/>
              <w:adjustRightInd w:val="0"/>
              <w:spacing w:after="0"/>
              <w:rPr>
                <w:rFonts w:eastAsiaTheme="minorEastAsia" w:cs="Calibri"/>
                <w:color w:val="000000"/>
                <w:sz w:val="16"/>
                <w:szCs w:val="20"/>
                <w:lang w:eastAsia="en-AU"/>
              </w:rPr>
            </w:pPr>
            <w:r w:rsidRPr="005A36FE">
              <w:rPr>
                <w:rFonts w:eastAsiaTheme="minorEastAsia" w:cs="Calibri"/>
                <w:color w:val="000000"/>
                <w:sz w:val="16"/>
                <w:szCs w:val="21"/>
                <w:lang w:eastAsia="en-AU"/>
              </w:rPr>
              <w:t xml:space="preserve">Net result for </w:t>
            </w:r>
            <w:r w:rsidRPr="005A36FE">
              <w:rPr>
                <w:rFonts w:eastAsiaTheme="minorEastAsia" w:cs="Calibri"/>
                <w:color w:val="000000"/>
                <w:sz w:val="16"/>
                <w:szCs w:val="20"/>
                <w:lang w:eastAsia="en-AU"/>
              </w:rPr>
              <w:t>the year</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(1 640)</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3260"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(1 640)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5A36FE" w:rsidRDefault="00BB6F1F" w:rsidP="00AC68FF">
            <w:pPr>
              <w:keepLines w:val="0"/>
              <w:autoSpaceDE w:val="0"/>
              <w:autoSpaceDN w:val="0"/>
              <w:adjustRightInd w:val="0"/>
              <w:spacing w:after="0"/>
              <w:rPr>
                <w:rFonts w:eastAsiaTheme="minorEastAsia" w:cs="Calibri"/>
                <w:color w:val="000000"/>
                <w:sz w:val="16"/>
                <w:szCs w:val="21"/>
                <w:lang w:eastAsia="en-AU"/>
              </w:rPr>
            </w:pPr>
            <w:r w:rsidRPr="005A36FE">
              <w:rPr>
                <w:rFonts w:eastAsiaTheme="minorEastAsia" w:cs="Calibri"/>
                <w:color w:val="000000"/>
                <w:sz w:val="16"/>
                <w:szCs w:val="21"/>
                <w:lang w:eastAsia="en-AU"/>
              </w:rPr>
              <w:t>Other comprehensive income for the year</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(3 390)</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17 514</w:t>
            </w:r>
          </w:p>
        </w:tc>
        <w:tc>
          <w:tcPr>
            <w:tcW w:w="3260"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(158)</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13 965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5A36FE" w:rsidRDefault="00BB6F1F" w:rsidP="00AC68FF">
            <w:pPr>
              <w:keepLines w:val="0"/>
              <w:autoSpaceDE w:val="0"/>
              <w:autoSpaceDN w:val="0"/>
              <w:adjustRightInd w:val="0"/>
              <w:spacing w:after="0"/>
              <w:rPr>
                <w:rFonts w:eastAsiaTheme="minorEastAsia" w:cs="Calibri"/>
                <w:color w:val="000000"/>
                <w:sz w:val="16"/>
                <w:szCs w:val="21"/>
                <w:lang w:eastAsia="en-AU"/>
              </w:rPr>
            </w:pPr>
            <w:r w:rsidRPr="005A36FE">
              <w:rPr>
                <w:rFonts w:eastAsiaTheme="minorEastAsia" w:cs="Calibri"/>
                <w:color w:val="000000"/>
                <w:sz w:val="16"/>
                <w:szCs w:val="21"/>
                <w:lang w:eastAsia="en-AU"/>
              </w:rPr>
              <w:t>Transfer to/(from) accumulated surplus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(22)</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5A36FE">
              <w:rPr>
                <w:rFonts w:eastAsiaTheme="minorEastAsia" w:cs="Calibri"/>
                <w:color w:val="000000"/>
                <w:sz w:val="16"/>
                <w:szCs w:val="21"/>
                <w:lang w:eastAsia="en-AU"/>
              </w:rPr>
              <w:t>22</w:t>
            </w:r>
          </w:p>
        </w:tc>
        <w:tc>
          <w:tcPr>
            <w:tcW w:w="3260"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spacing w:after="0"/>
              <w:rPr>
                <w:rFonts w:eastAsiaTheme="minorEastAsia" w:cs="Calibri"/>
                <w:bCs/>
                <w:color w:val="000000"/>
                <w:sz w:val="16"/>
                <w:szCs w:val="21"/>
                <w:vertAlign w:val="superscript"/>
                <w:lang w:eastAsia="en-AU"/>
              </w:rPr>
            </w:pPr>
            <w:r w:rsidRPr="005A36FE">
              <w:rPr>
                <w:rFonts w:eastAsiaTheme="minorEastAsia" w:cs="Calibri"/>
                <w:bCs/>
                <w:color w:val="000000"/>
                <w:sz w:val="16"/>
                <w:szCs w:val="21"/>
                <w:lang w:eastAsia="en-AU"/>
              </w:rPr>
              <w:t xml:space="preserve">Total equity as at 30 June 2016 </w:t>
            </w:r>
            <w:r w:rsidRPr="005A36FE">
              <w:rPr>
                <w:rFonts w:eastAsiaTheme="minorEastAsia" w:cs="Calibri"/>
                <w:bCs/>
                <w:color w:val="000000"/>
                <w:sz w:val="16"/>
                <w:szCs w:val="21"/>
                <w:vertAlign w:val="superscript"/>
                <w:lang w:eastAsia="en-AU"/>
              </w:rPr>
              <w:t>(a)</w:t>
            </w:r>
          </w:p>
        </w:tc>
        <w:tc>
          <w:tcPr>
            <w:tcW w:w="141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56 337</w:t>
            </w:r>
          </w:p>
        </w:tc>
        <w:tc>
          <w:tcPr>
            <w:tcW w:w="1559"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sidRPr="005A36FE">
              <w:rPr>
                <w:rFonts w:eastAsiaTheme="minorEastAsia" w:cs="Calibri"/>
                <w:bCs/>
                <w:color w:val="000000"/>
                <w:sz w:val="16"/>
                <w:szCs w:val="21"/>
                <w:lang w:eastAsia="en-AU"/>
              </w:rPr>
              <w:t>50</w:t>
            </w:r>
          </w:p>
        </w:tc>
        <w:tc>
          <w:tcPr>
            <w:tcW w:w="1701"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94 965</w:t>
            </w:r>
          </w:p>
        </w:tc>
        <w:tc>
          <w:tcPr>
            <w:tcW w:w="3260"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1 042</w:t>
            </w:r>
          </w:p>
        </w:tc>
        <w:tc>
          <w:tcPr>
            <w:tcW w:w="1106"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152 395</w:t>
            </w:r>
          </w:p>
        </w:tc>
      </w:tr>
    </w:tbl>
    <w:p w:rsidR="00BB6F1F" w:rsidRPr="005A36FE" w:rsidRDefault="00BB6F1F" w:rsidP="00AC68FF">
      <w:pPr>
        <w:pStyle w:val="Source"/>
        <w:rPr>
          <w:b/>
          <w:bCs/>
          <w:lang w:val="en-US"/>
        </w:rPr>
      </w:pP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5528"/>
        <w:gridCol w:w="1417"/>
        <w:gridCol w:w="1559"/>
        <w:gridCol w:w="1701"/>
        <w:gridCol w:w="2132"/>
        <w:gridCol w:w="1128"/>
        <w:gridCol w:w="1106"/>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000000" w:fill="auto"/>
          </w:tcPr>
          <w:p w:rsidR="00BB6F1F" w:rsidRPr="005A36FE" w:rsidRDefault="00BB6F1F" w:rsidP="00AC68FF">
            <w:pPr>
              <w:autoSpaceDE w:val="0"/>
              <w:autoSpaceDN w:val="0"/>
              <w:adjustRightInd w:val="0"/>
              <w:spacing w:after="0"/>
              <w:rPr>
                <w:rFonts w:eastAsiaTheme="minorEastAsia" w:cs="Calibri"/>
                <w:iCs/>
                <w:color w:val="FFFFFF"/>
                <w:sz w:val="16"/>
                <w:szCs w:val="21"/>
                <w:lang w:eastAsia="en-AU"/>
              </w:rPr>
            </w:pPr>
            <w:r w:rsidRPr="005A36FE">
              <w:rPr>
                <w:rFonts w:eastAsiaTheme="minorEastAsia" w:cs="Calibri"/>
                <w:iCs/>
                <w:color w:val="FFFFFF"/>
                <w:sz w:val="16"/>
                <w:szCs w:val="21"/>
                <w:lang w:eastAsia="en-AU"/>
              </w:rPr>
              <w:t>General government sector</w:t>
            </w:r>
          </w:p>
        </w:tc>
        <w:tc>
          <w:tcPr>
            <w:tcW w:w="141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5A36FE">
              <w:rPr>
                <w:rFonts w:eastAsiaTheme="minorEastAsia" w:cs="Calibri"/>
                <w:iCs/>
                <w:color w:val="FFFFFF"/>
                <w:sz w:val="16"/>
                <w:szCs w:val="21"/>
                <w:lang w:eastAsia="en-AU"/>
              </w:rPr>
              <w:t>Accumulated surplus/(deficit)</w:t>
            </w:r>
          </w:p>
        </w:tc>
        <w:tc>
          <w:tcPr>
            <w:tcW w:w="155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5A36FE">
              <w:rPr>
                <w:rFonts w:eastAsiaTheme="minorEastAsia" w:cs="Calibri"/>
                <w:iCs/>
                <w:color w:val="FFFFFF"/>
                <w:sz w:val="16"/>
                <w:szCs w:val="21"/>
                <w:lang w:eastAsia="en-AU"/>
              </w:rPr>
              <w:t>Non-controlling Interest</w:t>
            </w:r>
          </w:p>
        </w:tc>
        <w:tc>
          <w:tcPr>
            <w:tcW w:w="1701"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5A36FE">
              <w:rPr>
                <w:rFonts w:eastAsiaTheme="minorEastAsia" w:cs="Calibri"/>
                <w:iCs/>
                <w:color w:val="FFFFFF"/>
                <w:sz w:val="16"/>
                <w:szCs w:val="21"/>
                <w:lang w:eastAsia="en-AU"/>
              </w:rPr>
              <w:t>Non-financial assets revaluation surplus</w:t>
            </w:r>
          </w:p>
        </w:tc>
        <w:tc>
          <w:tcPr>
            <w:tcW w:w="2132"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5A36FE">
              <w:rPr>
                <w:rFonts w:eastAsiaTheme="minorEastAsia" w:cs="Calibri"/>
                <w:iCs/>
                <w:color w:val="FFFFFF"/>
                <w:sz w:val="16"/>
                <w:szCs w:val="21"/>
                <w:lang w:eastAsia="en-AU"/>
              </w:rPr>
              <w:t>Investment in other sector entities revaluation surplus</w:t>
            </w:r>
          </w:p>
        </w:tc>
        <w:tc>
          <w:tcPr>
            <w:tcW w:w="1128"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5A36FE">
              <w:rPr>
                <w:rFonts w:eastAsiaTheme="minorEastAsia" w:cs="Calibri"/>
                <w:iCs/>
                <w:color w:val="FFFFFF"/>
                <w:sz w:val="16"/>
                <w:szCs w:val="21"/>
                <w:lang w:eastAsia="en-AU"/>
              </w:rPr>
              <w:t xml:space="preserve">Other </w:t>
            </w:r>
            <w:r>
              <w:rPr>
                <w:rFonts w:eastAsiaTheme="minorEastAsia" w:cs="Calibri"/>
                <w:iCs/>
                <w:color w:val="FFFFFF"/>
                <w:sz w:val="16"/>
                <w:szCs w:val="21"/>
                <w:lang w:eastAsia="en-AU"/>
              </w:rPr>
              <w:br/>
            </w:r>
            <w:r w:rsidRPr="005A36FE">
              <w:rPr>
                <w:rFonts w:eastAsiaTheme="minorEastAsia" w:cs="Calibri"/>
                <w:iCs/>
                <w:color w:val="FFFFFF"/>
                <w:sz w:val="16"/>
                <w:szCs w:val="21"/>
                <w:lang w:eastAsia="en-AU"/>
              </w:rPr>
              <w:t>reserves</w:t>
            </w:r>
          </w:p>
        </w:tc>
        <w:tc>
          <w:tcPr>
            <w:tcW w:w="1106"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5A36FE">
              <w:rPr>
                <w:rFonts w:eastAsiaTheme="minorEastAsia" w:cs="Calibri"/>
                <w:iCs/>
                <w:color w:val="FFFFFF"/>
                <w:sz w:val="16"/>
                <w:szCs w:val="21"/>
                <w:lang w:eastAsia="en-AU"/>
              </w:rPr>
              <w:t>Total</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5A36FE" w:rsidRDefault="00BB6F1F" w:rsidP="00AC68FF">
            <w:pPr>
              <w:keepLines w:val="0"/>
              <w:autoSpaceDE w:val="0"/>
              <w:autoSpaceDN w:val="0"/>
              <w:adjustRightInd w:val="0"/>
              <w:spacing w:after="0"/>
              <w:rPr>
                <w:rFonts w:eastAsiaTheme="minorEastAsia" w:cs="Calibri"/>
                <w:b/>
                <w:bCs/>
                <w:color w:val="000000"/>
                <w:sz w:val="16"/>
                <w:szCs w:val="21"/>
                <w:lang w:eastAsia="en-AU"/>
              </w:rPr>
            </w:pPr>
            <w:r w:rsidRPr="005A36FE">
              <w:rPr>
                <w:rFonts w:eastAsiaTheme="minorEastAsia" w:cs="Calibri"/>
                <w:b/>
                <w:bCs/>
                <w:color w:val="000000"/>
                <w:sz w:val="16"/>
                <w:szCs w:val="21"/>
                <w:lang w:eastAsia="en-AU"/>
              </w:rPr>
              <w:t>2017</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5A36FE">
              <w:rPr>
                <w:rFonts w:eastAsiaTheme="minorEastAsia" w:cs="Calibri"/>
                <w:b/>
                <w:bCs/>
                <w:color w:val="000000"/>
                <w:sz w:val="16"/>
                <w:szCs w:val="21"/>
                <w:lang w:eastAsia="en-AU"/>
              </w:rPr>
              <w:t xml:space="preserve"> </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 xml:space="preserve"> </w:t>
            </w:r>
          </w:p>
        </w:tc>
        <w:tc>
          <w:tcPr>
            <w:tcW w:w="2132"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 xml:space="preserve"> </w:t>
            </w:r>
          </w:p>
        </w:tc>
        <w:tc>
          <w:tcPr>
            <w:tcW w:w="1128"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5A36FE">
              <w:rPr>
                <w:rFonts w:eastAsiaTheme="minorEastAsia" w:cs="Calibri"/>
                <w:b/>
                <w:bCs/>
                <w:color w:val="000000"/>
                <w:sz w:val="16"/>
                <w:szCs w:val="21"/>
                <w:lang w:eastAsia="en-AU"/>
              </w:rPr>
              <w:t xml:space="preserve"> </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5A36FE">
              <w:rPr>
                <w:rFonts w:eastAsiaTheme="minorEastAsia" w:cs="Calibri"/>
                <w:b/>
                <w:bCs/>
                <w:color w:val="000000"/>
                <w:sz w:val="16"/>
                <w:szCs w:val="21"/>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5A36FE" w:rsidRDefault="00BB6F1F" w:rsidP="00AC68FF">
            <w:pPr>
              <w:keepLines w:val="0"/>
              <w:autoSpaceDE w:val="0"/>
              <w:autoSpaceDN w:val="0"/>
              <w:adjustRightInd w:val="0"/>
              <w:spacing w:after="0"/>
              <w:rPr>
                <w:rFonts w:eastAsiaTheme="minorEastAsia" w:cs="Calibri"/>
                <w:color w:val="000000"/>
                <w:sz w:val="16"/>
                <w:szCs w:val="21"/>
                <w:vertAlign w:val="superscript"/>
                <w:lang w:eastAsia="en-AU"/>
              </w:rPr>
            </w:pPr>
            <w:r w:rsidRPr="005A36FE">
              <w:rPr>
                <w:rFonts w:eastAsiaTheme="minorEastAsia" w:cs="Calibri"/>
                <w:color w:val="000000"/>
                <w:sz w:val="16"/>
                <w:szCs w:val="21"/>
                <w:lang w:eastAsia="en-AU"/>
              </w:rPr>
              <w:t xml:space="preserve">Balance at 1 July 2016 </w:t>
            </w:r>
            <w:r w:rsidRPr="005A36FE">
              <w:rPr>
                <w:rFonts w:eastAsiaTheme="minorEastAsia" w:cs="Calibri"/>
                <w:color w:val="000000"/>
                <w:sz w:val="16"/>
                <w:szCs w:val="21"/>
                <w:vertAlign w:val="superscript"/>
                <w:lang w:eastAsia="en-AU"/>
              </w:rPr>
              <w:t>(a)</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44 557</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5A36FE">
              <w:rPr>
                <w:rFonts w:eastAsiaTheme="minorEastAsia" w:cs="Calibri"/>
                <w:color w:val="000000"/>
                <w:sz w:val="16"/>
                <w:szCs w:val="21"/>
                <w:lang w:eastAsia="en-AU"/>
              </w:rPr>
              <w:t>50</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49 613</w:t>
            </w:r>
          </w:p>
        </w:tc>
        <w:tc>
          <w:tcPr>
            <w:tcW w:w="2132"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57 027</w:t>
            </w:r>
          </w:p>
        </w:tc>
        <w:tc>
          <w:tcPr>
            <w:tcW w:w="1128"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5A36FE">
              <w:rPr>
                <w:rFonts w:eastAsiaTheme="minorEastAsia" w:cs="Calibri"/>
                <w:color w:val="000000"/>
                <w:sz w:val="16"/>
                <w:szCs w:val="21"/>
                <w:lang w:eastAsia="en-AU"/>
              </w:rPr>
              <w:t>551</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151 798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5A36FE" w:rsidRDefault="00BB6F1F" w:rsidP="00AC68FF">
            <w:pPr>
              <w:keepLines w:val="0"/>
              <w:autoSpaceDE w:val="0"/>
              <w:autoSpaceDN w:val="0"/>
              <w:adjustRightInd w:val="0"/>
              <w:spacing w:after="0"/>
              <w:rPr>
                <w:rFonts w:eastAsiaTheme="minorEastAsia" w:cs="Calibri"/>
                <w:color w:val="000000"/>
                <w:sz w:val="16"/>
                <w:szCs w:val="20"/>
                <w:lang w:eastAsia="en-AU"/>
              </w:rPr>
            </w:pPr>
            <w:r w:rsidRPr="005A36FE">
              <w:rPr>
                <w:rFonts w:eastAsiaTheme="minorEastAsia" w:cs="Calibri"/>
                <w:color w:val="000000"/>
                <w:sz w:val="16"/>
                <w:szCs w:val="21"/>
                <w:lang w:eastAsia="en-AU"/>
              </w:rPr>
              <w:t xml:space="preserve">Net result for </w:t>
            </w:r>
            <w:r w:rsidRPr="005A36FE">
              <w:rPr>
                <w:rFonts w:eastAsiaTheme="minorEastAsia" w:cs="Calibri"/>
                <w:color w:val="000000"/>
                <w:sz w:val="16"/>
                <w:szCs w:val="20"/>
                <w:lang w:eastAsia="en-AU"/>
              </w:rPr>
              <w:t>the year</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2 559</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2132"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28"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2 559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5A36FE" w:rsidRDefault="00BB6F1F" w:rsidP="00AC68FF">
            <w:pPr>
              <w:keepLines w:val="0"/>
              <w:autoSpaceDE w:val="0"/>
              <w:autoSpaceDN w:val="0"/>
              <w:adjustRightInd w:val="0"/>
              <w:spacing w:after="0"/>
              <w:rPr>
                <w:rFonts w:eastAsiaTheme="minorEastAsia" w:cs="Calibri"/>
                <w:color w:val="000000"/>
                <w:sz w:val="16"/>
                <w:szCs w:val="21"/>
                <w:lang w:eastAsia="en-AU"/>
              </w:rPr>
            </w:pPr>
            <w:r w:rsidRPr="005A36FE">
              <w:rPr>
                <w:rFonts w:eastAsiaTheme="minorEastAsia" w:cs="Calibri"/>
                <w:color w:val="000000"/>
                <w:sz w:val="16"/>
                <w:szCs w:val="21"/>
                <w:lang w:eastAsia="en-AU"/>
              </w:rPr>
              <w:t>Other comprehensive income for the year</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4 391</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6 090</w:t>
            </w:r>
          </w:p>
        </w:tc>
        <w:tc>
          <w:tcPr>
            <w:tcW w:w="2132"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3 122</w:t>
            </w:r>
          </w:p>
        </w:tc>
        <w:tc>
          <w:tcPr>
            <w:tcW w:w="1128"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5A36FE">
              <w:rPr>
                <w:rFonts w:eastAsiaTheme="minorEastAsia" w:cs="Calibri"/>
                <w:color w:val="000000"/>
                <w:sz w:val="16"/>
                <w:szCs w:val="21"/>
                <w:lang w:eastAsia="en-AU"/>
              </w:rPr>
              <w:t>117</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13 720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5A36FE" w:rsidRDefault="00BB6F1F" w:rsidP="00AC68FF">
            <w:pPr>
              <w:keepLines w:val="0"/>
              <w:autoSpaceDE w:val="0"/>
              <w:autoSpaceDN w:val="0"/>
              <w:adjustRightInd w:val="0"/>
              <w:spacing w:after="0"/>
              <w:rPr>
                <w:rFonts w:eastAsiaTheme="minorEastAsia" w:cs="Calibri"/>
                <w:color w:val="000000"/>
                <w:sz w:val="16"/>
                <w:szCs w:val="14"/>
                <w:lang w:eastAsia="en-AU"/>
              </w:rPr>
            </w:pPr>
            <w:r w:rsidRPr="005A36FE">
              <w:rPr>
                <w:rFonts w:eastAsiaTheme="minorEastAsia" w:cs="Calibri"/>
                <w:color w:val="000000"/>
                <w:sz w:val="16"/>
                <w:szCs w:val="21"/>
                <w:lang w:eastAsia="en-AU"/>
              </w:rPr>
              <w:t>Transfer to/(from) accumulated surplus</w:t>
            </w:r>
            <w:r w:rsidRPr="005A36FE">
              <w:rPr>
                <w:rFonts w:eastAsiaTheme="minorEastAsia" w:cs="Calibri"/>
                <w:color w:val="000000"/>
                <w:sz w:val="16"/>
                <w:szCs w:val="14"/>
                <w:lang w:eastAsia="en-AU"/>
              </w:rPr>
              <w:t xml:space="preserve"> </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(43)</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5A36FE">
              <w:rPr>
                <w:rFonts w:eastAsiaTheme="minorEastAsia" w:cs="Calibri"/>
                <w:color w:val="000000"/>
                <w:sz w:val="16"/>
                <w:szCs w:val="21"/>
                <w:lang w:eastAsia="en-AU"/>
              </w:rPr>
              <w:t>43</w:t>
            </w:r>
          </w:p>
        </w:tc>
        <w:tc>
          <w:tcPr>
            <w:tcW w:w="2132"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28"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5A36FE" w:rsidRDefault="00BB6F1F" w:rsidP="00AC68FF">
            <w:pPr>
              <w:keepLines w:val="0"/>
              <w:autoSpaceDE w:val="0"/>
              <w:autoSpaceDN w:val="0"/>
              <w:adjustRightInd w:val="0"/>
              <w:spacing w:after="0"/>
              <w:rPr>
                <w:rFonts w:eastAsiaTheme="minorEastAsia" w:cs="Calibri"/>
                <w:color w:val="000000"/>
                <w:sz w:val="16"/>
                <w:szCs w:val="21"/>
                <w:lang w:eastAsia="en-AU"/>
              </w:rPr>
            </w:pPr>
            <w:r w:rsidRPr="005A36FE">
              <w:rPr>
                <w:rFonts w:eastAsiaTheme="minorEastAsia" w:cs="Calibri"/>
                <w:color w:val="000000"/>
                <w:sz w:val="16"/>
                <w:szCs w:val="21"/>
                <w:lang w:eastAsia="en-AU"/>
              </w:rPr>
              <w:t>Transactions with owners in their capacity as owners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(50)</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2132"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28"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spacing w:after="0"/>
              <w:rPr>
                <w:rFonts w:eastAsiaTheme="minorEastAsia" w:cs="Calibri"/>
                <w:b/>
                <w:bCs/>
                <w:color w:val="000000"/>
                <w:sz w:val="16"/>
                <w:szCs w:val="21"/>
                <w:lang w:eastAsia="en-AU"/>
              </w:rPr>
            </w:pPr>
            <w:r w:rsidRPr="005A36FE">
              <w:rPr>
                <w:rFonts w:eastAsiaTheme="minorEastAsia" w:cs="Calibri"/>
                <w:b/>
                <w:bCs/>
                <w:color w:val="000000"/>
                <w:sz w:val="16"/>
                <w:szCs w:val="21"/>
                <w:lang w:eastAsia="en-AU"/>
              </w:rPr>
              <w:t>Total equity as at 30 June 2017</w:t>
            </w:r>
          </w:p>
        </w:tc>
        <w:tc>
          <w:tcPr>
            <w:tcW w:w="141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51 464</w:t>
            </w:r>
          </w:p>
        </w:tc>
        <w:tc>
          <w:tcPr>
            <w:tcW w:w="1559"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w:t>
            </w:r>
          </w:p>
        </w:tc>
        <w:tc>
          <w:tcPr>
            <w:tcW w:w="1701"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55 745</w:t>
            </w:r>
          </w:p>
        </w:tc>
        <w:tc>
          <w:tcPr>
            <w:tcW w:w="2132"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60 149</w:t>
            </w:r>
          </w:p>
        </w:tc>
        <w:tc>
          <w:tcPr>
            <w:tcW w:w="1128"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5A36FE">
              <w:rPr>
                <w:rFonts w:eastAsiaTheme="minorEastAsia" w:cs="Calibri"/>
                <w:b/>
                <w:bCs/>
                <w:color w:val="000000"/>
                <w:sz w:val="16"/>
                <w:szCs w:val="21"/>
                <w:lang w:eastAsia="en-AU"/>
              </w:rPr>
              <w:t>669</w:t>
            </w:r>
          </w:p>
        </w:tc>
        <w:tc>
          <w:tcPr>
            <w:tcW w:w="1106"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168 027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5A36FE" w:rsidRDefault="00BB6F1F" w:rsidP="00AC68FF">
            <w:pPr>
              <w:keepLines w:val="0"/>
              <w:autoSpaceDE w:val="0"/>
              <w:autoSpaceDN w:val="0"/>
              <w:adjustRightInd w:val="0"/>
              <w:spacing w:after="0"/>
              <w:rPr>
                <w:rFonts w:eastAsiaTheme="minorEastAsia" w:cs="Calibri"/>
                <w:b/>
                <w:bCs/>
                <w:color w:val="000000"/>
                <w:sz w:val="16"/>
                <w:szCs w:val="21"/>
                <w:lang w:eastAsia="en-AU"/>
              </w:rPr>
            </w:pPr>
            <w:r w:rsidRPr="005A36FE">
              <w:rPr>
                <w:rFonts w:eastAsiaTheme="minorEastAsia" w:cs="Calibri"/>
                <w:b/>
                <w:bCs/>
                <w:color w:val="000000"/>
                <w:sz w:val="16"/>
                <w:szCs w:val="21"/>
                <w:lang w:eastAsia="en-AU"/>
              </w:rPr>
              <w:t>2016</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5A36FE">
              <w:rPr>
                <w:rFonts w:eastAsiaTheme="minorEastAsia" w:cs="Calibri"/>
                <w:b/>
                <w:bCs/>
                <w:color w:val="000000"/>
                <w:sz w:val="16"/>
                <w:szCs w:val="21"/>
                <w:lang w:eastAsia="en-AU"/>
              </w:rPr>
              <w:t xml:space="preserve"> </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 xml:space="preserve"> </w:t>
            </w:r>
          </w:p>
        </w:tc>
        <w:tc>
          <w:tcPr>
            <w:tcW w:w="2132"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5A36FE">
              <w:rPr>
                <w:rFonts w:eastAsiaTheme="minorEastAsia" w:cs="Calibri"/>
                <w:b/>
                <w:bCs/>
                <w:color w:val="000000"/>
                <w:sz w:val="16"/>
                <w:lang w:eastAsia="en-AU"/>
              </w:rPr>
              <w:t xml:space="preserve"> </w:t>
            </w:r>
          </w:p>
        </w:tc>
        <w:tc>
          <w:tcPr>
            <w:tcW w:w="1128"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5A36FE">
              <w:rPr>
                <w:rFonts w:eastAsiaTheme="minorEastAsia" w:cs="Calibri"/>
                <w:b/>
                <w:bCs/>
                <w:color w:val="000000"/>
                <w:sz w:val="16"/>
                <w:szCs w:val="21"/>
                <w:lang w:eastAsia="en-AU"/>
              </w:rPr>
              <w:t xml:space="preserve"> </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5A36FE">
              <w:rPr>
                <w:rFonts w:eastAsiaTheme="minorEastAsia" w:cs="Calibri"/>
                <w:b/>
                <w:bCs/>
                <w:color w:val="000000"/>
                <w:sz w:val="16"/>
                <w:szCs w:val="21"/>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5A36FE" w:rsidRDefault="00BB6F1F" w:rsidP="00AC68FF">
            <w:pPr>
              <w:keepLines w:val="0"/>
              <w:autoSpaceDE w:val="0"/>
              <w:autoSpaceDN w:val="0"/>
              <w:adjustRightInd w:val="0"/>
              <w:spacing w:after="0"/>
              <w:rPr>
                <w:rFonts w:eastAsiaTheme="minorEastAsia" w:cs="Calibri"/>
                <w:color w:val="000000"/>
                <w:sz w:val="16"/>
                <w:szCs w:val="21"/>
                <w:vertAlign w:val="superscript"/>
                <w:lang w:eastAsia="en-AU"/>
              </w:rPr>
            </w:pPr>
            <w:r w:rsidRPr="005A36FE">
              <w:rPr>
                <w:rFonts w:eastAsiaTheme="minorEastAsia" w:cs="Calibri"/>
                <w:color w:val="000000"/>
                <w:sz w:val="16"/>
                <w:szCs w:val="21"/>
                <w:lang w:eastAsia="en-AU"/>
              </w:rPr>
              <w:t xml:space="preserve">Balance at 1 July 2015 </w:t>
            </w:r>
            <w:r w:rsidRPr="005A36FE">
              <w:rPr>
                <w:rFonts w:eastAsiaTheme="minorEastAsia" w:cs="Calibri"/>
                <w:color w:val="000000"/>
                <w:sz w:val="16"/>
                <w:szCs w:val="21"/>
                <w:vertAlign w:val="superscript"/>
                <w:lang w:eastAsia="en-AU"/>
              </w:rPr>
              <w:t>(a)</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45 867</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5A36FE">
              <w:rPr>
                <w:rFonts w:eastAsiaTheme="minorEastAsia" w:cs="Calibri"/>
                <w:color w:val="000000"/>
                <w:sz w:val="16"/>
                <w:szCs w:val="21"/>
                <w:lang w:eastAsia="en-AU"/>
              </w:rPr>
              <w:t>50</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43 355</w:t>
            </w:r>
          </w:p>
        </w:tc>
        <w:tc>
          <w:tcPr>
            <w:tcW w:w="2132"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46 494</w:t>
            </w:r>
          </w:p>
        </w:tc>
        <w:tc>
          <w:tcPr>
            <w:tcW w:w="1128"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5A36FE">
              <w:rPr>
                <w:rFonts w:eastAsiaTheme="minorEastAsia" w:cs="Calibri"/>
                <w:color w:val="000000"/>
                <w:sz w:val="16"/>
                <w:szCs w:val="21"/>
                <w:lang w:eastAsia="en-AU"/>
              </w:rPr>
              <w:t>728</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136 494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5A36FE" w:rsidRDefault="00BB6F1F" w:rsidP="00AC68FF">
            <w:pPr>
              <w:keepLines w:val="0"/>
              <w:autoSpaceDE w:val="0"/>
              <w:autoSpaceDN w:val="0"/>
              <w:adjustRightInd w:val="0"/>
              <w:spacing w:after="0"/>
              <w:rPr>
                <w:rFonts w:eastAsiaTheme="minorEastAsia" w:cs="Calibri"/>
                <w:color w:val="000000"/>
                <w:sz w:val="16"/>
                <w:szCs w:val="20"/>
                <w:lang w:eastAsia="en-AU"/>
              </w:rPr>
            </w:pPr>
            <w:r w:rsidRPr="005A36FE">
              <w:rPr>
                <w:rFonts w:eastAsiaTheme="minorEastAsia" w:cs="Calibri"/>
                <w:color w:val="000000"/>
                <w:sz w:val="16"/>
                <w:szCs w:val="21"/>
                <w:lang w:eastAsia="en-AU"/>
              </w:rPr>
              <w:t xml:space="preserve">Net result for </w:t>
            </w:r>
            <w:r w:rsidRPr="005A36FE">
              <w:rPr>
                <w:rFonts w:eastAsiaTheme="minorEastAsia" w:cs="Calibri"/>
                <w:color w:val="000000"/>
                <w:sz w:val="16"/>
                <w:szCs w:val="20"/>
                <w:lang w:eastAsia="en-AU"/>
              </w:rPr>
              <w:t>the year</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1 817</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2132"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28"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1 817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5A36FE" w:rsidRDefault="00BB6F1F" w:rsidP="00AC68FF">
            <w:pPr>
              <w:keepLines w:val="0"/>
              <w:autoSpaceDE w:val="0"/>
              <w:autoSpaceDN w:val="0"/>
              <w:adjustRightInd w:val="0"/>
              <w:spacing w:after="0"/>
              <w:rPr>
                <w:rFonts w:eastAsiaTheme="minorEastAsia" w:cs="Calibri"/>
                <w:color w:val="000000"/>
                <w:sz w:val="16"/>
                <w:szCs w:val="21"/>
                <w:lang w:eastAsia="en-AU"/>
              </w:rPr>
            </w:pPr>
            <w:r w:rsidRPr="005A36FE">
              <w:rPr>
                <w:rFonts w:eastAsiaTheme="minorEastAsia" w:cs="Calibri"/>
                <w:color w:val="000000"/>
                <w:sz w:val="16"/>
                <w:szCs w:val="21"/>
                <w:lang w:eastAsia="en-AU"/>
              </w:rPr>
              <w:t>Other comprehensive income for the year</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(3 106)</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6 236</w:t>
            </w:r>
          </w:p>
        </w:tc>
        <w:tc>
          <w:tcPr>
            <w:tcW w:w="2132"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10 533</w:t>
            </w:r>
          </w:p>
        </w:tc>
        <w:tc>
          <w:tcPr>
            <w:tcW w:w="1128"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(177)</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13 486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5A36FE" w:rsidRDefault="00BB6F1F" w:rsidP="00AC68FF">
            <w:pPr>
              <w:keepLines w:val="0"/>
              <w:autoSpaceDE w:val="0"/>
              <w:autoSpaceDN w:val="0"/>
              <w:adjustRightInd w:val="0"/>
              <w:spacing w:after="0"/>
              <w:rPr>
                <w:rFonts w:eastAsiaTheme="minorEastAsia" w:cs="Calibri"/>
                <w:color w:val="000000"/>
                <w:sz w:val="16"/>
                <w:szCs w:val="14"/>
                <w:lang w:eastAsia="en-AU"/>
              </w:rPr>
            </w:pPr>
            <w:r w:rsidRPr="005A36FE">
              <w:rPr>
                <w:rFonts w:eastAsiaTheme="minorEastAsia" w:cs="Calibri"/>
                <w:color w:val="000000"/>
                <w:sz w:val="16"/>
                <w:szCs w:val="21"/>
                <w:lang w:eastAsia="en-AU"/>
              </w:rPr>
              <w:t>Transfer to/(from) accumulated surplus</w:t>
            </w:r>
            <w:r w:rsidRPr="005A36FE">
              <w:rPr>
                <w:rFonts w:eastAsiaTheme="minorEastAsia" w:cs="Calibri"/>
                <w:color w:val="000000"/>
                <w:sz w:val="16"/>
                <w:szCs w:val="14"/>
                <w:lang w:eastAsia="en-AU"/>
              </w:rPr>
              <w:t xml:space="preserve"> </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(22)</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5A36FE">
              <w:rPr>
                <w:rFonts w:eastAsiaTheme="minorEastAsia" w:cs="Calibri"/>
                <w:color w:val="000000"/>
                <w:sz w:val="16"/>
                <w:szCs w:val="21"/>
                <w:lang w:eastAsia="en-AU"/>
              </w:rPr>
              <w:t>22</w:t>
            </w:r>
          </w:p>
        </w:tc>
        <w:tc>
          <w:tcPr>
            <w:tcW w:w="2132"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28"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spacing w:after="0"/>
              <w:rPr>
                <w:rFonts w:eastAsiaTheme="minorEastAsia" w:cs="Calibri"/>
                <w:bCs/>
                <w:color w:val="000000"/>
                <w:sz w:val="16"/>
                <w:szCs w:val="21"/>
                <w:vertAlign w:val="superscript"/>
                <w:lang w:eastAsia="en-AU"/>
              </w:rPr>
            </w:pPr>
            <w:r w:rsidRPr="005A36FE">
              <w:rPr>
                <w:rFonts w:eastAsiaTheme="minorEastAsia" w:cs="Calibri"/>
                <w:bCs/>
                <w:color w:val="000000"/>
                <w:sz w:val="16"/>
                <w:szCs w:val="21"/>
                <w:lang w:eastAsia="en-AU"/>
              </w:rPr>
              <w:t xml:space="preserve">Total equity as at 30 June 2016 </w:t>
            </w:r>
            <w:r w:rsidRPr="005A36FE">
              <w:rPr>
                <w:rFonts w:eastAsiaTheme="minorEastAsia" w:cs="Calibri"/>
                <w:bCs/>
                <w:color w:val="000000"/>
                <w:sz w:val="16"/>
                <w:szCs w:val="21"/>
                <w:vertAlign w:val="superscript"/>
                <w:lang w:eastAsia="en-AU"/>
              </w:rPr>
              <w:t>(a)</w:t>
            </w:r>
          </w:p>
        </w:tc>
        <w:tc>
          <w:tcPr>
            <w:tcW w:w="141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44 557</w:t>
            </w:r>
          </w:p>
        </w:tc>
        <w:tc>
          <w:tcPr>
            <w:tcW w:w="1559"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sidRPr="005A36FE">
              <w:rPr>
                <w:rFonts w:eastAsiaTheme="minorEastAsia" w:cs="Calibri"/>
                <w:bCs/>
                <w:color w:val="000000"/>
                <w:sz w:val="16"/>
                <w:szCs w:val="21"/>
                <w:lang w:eastAsia="en-AU"/>
              </w:rPr>
              <w:t>50</w:t>
            </w:r>
          </w:p>
        </w:tc>
        <w:tc>
          <w:tcPr>
            <w:tcW w:w="1701"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49 613</w:t>
            </w:r>
          </w:p>
        </w:tc>
        <w:tc>
          <w:tcPr>
            <w:tcW w:w="2132"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57 027</w:t>
            </w:r>
          </w:p>
        </w:tc>
        <w:tc>
          <w:tcPr>
            <w:tcW w:w="1128"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sidRPr="005A36FE">
              <w:rPr>
                <w:rFonts w:eastAsiaTheme="minorEastAsia" w:cs="Calibri"/>
                <w:bCs/>
                <w:color w:val="000000"/>
                <w:sz w:val="16"/>
                <w:szCs w:val="21"/>
                <w:lang w:eastAsia="en-AU"/>
              </w:rPr>
              <w:t>551</w:t>
            </w:r>
          </w:p>
        </w:tc>
        <w:tc>
          <w:tcPr>
            <w:tcW w:w="1106"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151 798</w:t>
            </w:r>
          </w:p>
        </w:tc>
      </w:tr>
    </w:tbl>
    <w:p w:rsidR="00BB6F1F" w:rsidRDefault="00BB6F1F" w:rsidP="00AC68FF">
      <w:pPr>
        <w:pStyle w:val="Source"/>
      </w:pPr>
      <w:r>
        <w:t>The accompanying notes form part of these financial statements.</w:t>
      </w:r>
    </w:p>
    <w:p w:rsidR="00BB6F1F" w:rsidRDefault="00BB6F1F" w:rsidP="00AC68FF">
      <w:pPr>
        <w:pStyle w:val="Note"/>
      </w:pPr>
      <w:r>
        <w:t>Note:</w:t>
      </w:r>
    </w:p>
    <w:p w:rsidR="00BB6F1F" w:rsidRDefault="00BB6F1F" w:rsidP="00AC68FF">
      <w:pPr>
        <w:pStyle w:val="Note"/>
        <w:sectPr w:rsidR="00BB6F1F" w:rsidSect="00AC68FF">
          <w:headerReference w:type="even" r:id="rId46"/>
          <w:headerReference w:type="default" r:id="rId47"/>
          <w:footerReference w:type="even" r:id="rId48"/>
          <w:footerReference w:type="default" r:id="rId49"/>
          <w:pgSz w:w="16839" w:h="11907" w:orient="landscape" w:code="9"/>
          <w:pgMar w:top="1134" w:right="1134" w:bottom="1134" w:left="1134" w:header="624" w:footer="567" w:gutter="0"/>
          <w:cols w:sep="1" w:space="567"/>
          <w:docGrid w:linePitch="360"/>
        </w:sectPr>
      </w:pPr>
      <w:r>
        <w:t>(a)</w:t>
      </w:r>
      <w:r>
        <w:tab/>
        <w:t xml:space="preserve">The 1 July 2015 and 30 June 2016 </w:t>
      </w:r>
      <w:r w:rsidRPr="00181405">
        <w:t xml:space="preserve">comparative figures have been restated to reflect an adjustment to the Department of Environment, Land, Water and Planning's intangible produced assets and </w:t>
      </w:r>
      <w:r>
        <w:t xml:space="preserve">opening </w:t>
      </w:r>
      <w:r w:rsidRPr="00181405">
        <w:t xml:space="preserve">accumulated </w:t>
      </w:r>
      <w:r>
        <w:t>surplus / (deficit)</w:t>
      </w:r>
      <w:r w:rsidRPr="00181405">
        <w:t xml:space="preserve"> balances due to the </w:t>
      </w:r>
      <w:r>
        <w:t xml:space="preserve">first-time </w:t>
      </w:r>
      <w:r w:rsidRPr="00181405">
        <w:t>recognition of Renewable Energy Certificates.  </w:t>
      </w:r>
    </w:p>
    <w:p w:rsidR="00BB6F1F" w:rsidRDefault="00BB6F1F" w:rsidP="00BB6F1F">
      <w:pPr>
        <w:pStyle w:val="Heading1"/>
        <w:numPr>
          <w:ilvl w:val="0"/>
          <w:numId w:val="24"/>
        </w:numPr>
        <w:pBdr>
          <w:bottom w:val="none" w:sz="0" w:space="0" w:color="auto"/>
        </w:pBdr>
        <w:sectPr w:rsidR="00BB6F1F" w:rsidSect="00AC68FF">
          <w:headerReference w:type="even" r:id="rId50"/>
          <w:headerReference w:type="default" r:id="rId51"/>
          <w:footerReference w:type="even" r:id="rId52"/>
          <w:footerReference w:type="default" r:id="rId53"/>
          <w:pgSz w:w="11907" w:h="16839" w:code="9"/>
          <w:pgMar w:top="1134" w:right="1134" w:bottom="1134" w:left="1134" w:header="624" w:footer="567" w:gutter="0"/>
          <w:cols w:sep="1" w:space="567"/>
          <w:docGrid w:linePitch="360"/>
        </w:sectPr>
      </w:pPr>
      <w:bookmarkStart w:id="11" w:name="Section_01"/>
      <w:bookmarkStart w:id="12" w:name="_Toc492985872"/>
      <w:r w:rsidRPr="00BD36E7">
        <w:lastRenderedPageBreak/>
        <w:t>About this report</w:t>
      </w:r>
      <w:bookmarkEnd w:id="11"/>
      <w:bookmarkEnd w:id="12"/>
    </w:p>
    <w:p w:rsidR="00BB6F1F" w:rsidRPr="000A5E6F" w:rsidRDefault="00BB6F1F" w:rsidP="000A5E6F">
      <w:pPr>
        <w:pStyle w:val="Heading20"/>
      </w:pPr>
      <w:r w:rsidRPr="000A5E6F">
        <w:lastRenderedPageBreak/>
        <w:t>Basis of preparation</w:t>
      </w:r>
    </w:p>
    <w:p w:rsidR="00BB6F1F" w:rsidRDefault="00BB6F1F" w:rsidP="00AC68FF">
      <w:r>
        <w:t xml:space="preserve">This </w:t>
      </w:r>
      <w:r w:rsidRPr="00B56C12">
        <w:rPr>
          <w:i/>
        </w:rPr>
        <w:t>Annual Financial Report</w:t>
      </w:r>
      <w:r>
        <w:t xml:space="preserve"> presents the audited general purpose consolidated financial statements of the State and the Victorian general government sector for the year ended 30 June 2017. This report informs users about the Government’s stewardship of the resources entrusted to it.</w:t>
      </w:r>
    </w:p>
    <w:p w:rsidR="00BB6F1F" w:rsidRDefault="00BB6F1F" w:rsidP="00AC68FF">
      <w:r>
        <w:t>Accounting policies selected and applied ensure that the resulting financial information satisfies the concepts of relevance and reliability, thereby ensuring that the substance of the underlying transactions or other events is reported.</w:t>
      </w:r>
    </w:p>
    <w:p w:rsidR="00BB6F1F" w:rsidRDefault="00BB6F1F" w:rsidP="00AC68FF">
      <w:r>
        <w:t>The accrual basis of accounting has been applied, where assets, liabilities, equity, income and expenses are recognised in the reporting period to which they relate, regardless of when cash is received or paid.</w:t>
      </w:r>
    </w:p>
    <w:p w:rsidR="00BB6F1F" w:rsidRDefault="00BB6F1F" w:rsidP="00AC68FF">
      <w:r>
        <w:t xml:space="preserve">These financial statements are in Australian dollars and the historical cost convention is used except for: </w:t>
      </w:r>
    </w:p>
    <w:p w:rsidR="00BB6F1F" w:rsidRDefault="00BB6F1F" w:rsidP="00AC68FF">
      <w:pPr>
        <w:pStyle w:val="ListBullet"/>
      </w:pPr>
      <w:r>
        <w:t>the general government sector investments in other sector entities which are measured at net asset value;</w:t>
      </w:r>
    </w:p>
    <w:p w:rsidR="00BB6F1F" w:rsidRDefault="00BB6F1F" w:rsidP="00AC68FF">
      <w:pPr>
        <w:pStyle w:val="ListBullet"/>
      </w:pPr>
      <w:r>
        <w:t>non-financial physical assets which, subsequent to acquisition, are measured at a revalued amount being their fair value at the date of revaluation less any subsequent accumulated depreciation and subsequent impairment losses. Revaluations are made with sufficient regularity to ensure that the carrying amounts do not materially differ from their fair value;</w:t>
      </w:r>
    </w:p>
    <w:p w:rsidR="00BB6F1F" w:rsidRDefault="00BB6F1F" w:rsidP="00AC68FF">
      <w:pPr>
        <w:pStyle w:val="ListBullet"/>
      </w:pPr>
      <w:r>
        <w:t>productive trees in commercial native forests, which are measured at their fair value less estimated costs to sell;</w:t>
      </w:r>
    </w:p>
    <w:p w:rsidR="00BB6F1F" w:rsidRDefault="00BB6F1F" w:rsidP="00AC68FF">
      <w:pPr>
        <w:pStyle w:val="ListBullet"/>
      </w:pPr>
      <w:r>
        <w:t xml:space="preserve">derivative financial instruments, managed investment schemes, certain debt securities and investment properties after initial recognition, which are measured at fair value with changes reflected in the consolidated comprehensive operating statement (fair value through profit and loss); </w:t>
      </w:r>
    </w:p>
    <w:p w:rsidR="00BB6F1F" w:rsidRDefault="00BB6F1F" w:rsidP="00AC68FF">
      <w:pPr>
        <w:pStyle w:val="ListBullet"/>
      </w:pPr>
      <w:r>
        <w:t>certain liabilities, most notably unfunded superannuation and insurance claim provisions, which are subject to an actuarial assessment; and</w:t>
      </w:r>
    </w:p>
    <w:p w:rsidR="00BB6F1F" w:rsidRDefault="00BB6F1F" w:rsidP="00AC68FF">
      <w:pPr>
        <w:pStyle w:val="ListBullet"/>
      </w:pPr>
      <w:r>
        <w:t>available for sale investments which are measured at fair value, with movements reflected in ‘Other economic flows – other comprehensive income’.</w:t>
      </w:r>
    </w:p>
    <w:p w:rsidR="00BB6F1F" w:rsidRDefault="00BB6F1F" w:rsidP="00AC68FF">
      <w:pPr>
        <w:spacing w:before="240"/>
      </w:pPr>
      <w:r>
        <w:lastRenderedPageBreak/>
        <w:t>Judgements, estimates and assumptions are required to be made about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 Revisions to accounting estimates are recognised in the period in which the estimate is revised and also in future periods that are affected by the revision. Judgements and assumptions made by management in applying Australian Accounting Standards that have significant effects on the financial statements and estimates relate to:</w:t>
      </w:r>
    </w:p>
    <w:p w:rsidR="00BB6F1F" w:rsidRDefault="00BB6F1F" w:rsidP="00AC68FF">
      <w:pPr>
        <w:pStyle w:val="ListBullet"/>
      </w:pPr>
      <w:r>
        <w:t>the fair value of land, buildings, infrastructure, plant and equipment (Note 7.5);</w:t>
      </w:r>
    </w:p>
    <w:p w:rsidR="00BB6F1F" w:rsidRDefault="00BB6F1F" w:rsidP="00AC68FF">
      <w:pPr>
        <w:pStyle w:val="ListBullet"/>
      </w:pPr>
      <w:r>
        <w:t xml:space="preserve">superannuation expense and liability </w:t>
      </w:r>
      <w:r>
        <w:br/>
        <w:t>(Notes 3.2 and 6.5);</w:t>
      </w:r>
    </w:p>
    <w:p w:rsidR="00BB6F1F" w:rsidRDefault="00BB6F1F" w:rsidP="00AC68FF">
      <w:pPr>
        <w:pStyle w:val="ListBullet"/>
      </w:pPr>
      <w:r>
        <w:t>actuarial assumptions for employee benefit provisions based on likely tenure of existing staff, patterns of leave claims, future salary movements and future discount rates (Note 3.1);</w:t>
      </w:r>
    </w:p>
    <w:p w:rsidR="00BB6F1F" w:rsidRDefault="00BB6F1F" w:rsidP="00AC68FF">
      <w:pPr>
        <w:pStyle w:val="ListBullet"/>
      </w:pPr>
      <w:r>
        <w:t>provisions for outstanding insurance claims (Note 6.6.1); and</w:t>
      </w:r>
    </w:p>
    <w:p w:rsidR="00BB6F1F" w:rsidRDefault="00BB6F1F" w:rsidP="00AC68FF">
      <w:pPr>
        <w:pStyle w:val="ListBullet"/>
      </w:pPr>
      <w:r>
        <w:t>equities and managed investment schemes classified at Level 3 of the fair value hierarchy (Note 7.4).</w:t>
      </w:r>
    </w:p>
    <w:p w:rsidR="00BB6F1F" w:rsidRDefault="00BB6F1F" w:rsidP="00AC68FF">
      <w:r>
        <w:t xml:space="preserve">All amounts in the financial statements have been rounded to the nearest $1 000 000 except in the </w:t>
      </w:r>
      <w:r w:rsidRPr="00B56C12">
        <w:rPr>
          <w:i/>
        </w:rPr>
        <w:t>Public Account disclosure</w:t>
      </w:r>
      <w:r>
        <w:t xml:space="preserve"> in Note 8.2 and the </w:t>
      </w:r>
      <w:r w:rsidRPr="00B56C12">
        <w:rPr>
          <w:i/>
        </w:rPr>
        <w:t>Related party transactions</w:t>
      </w:r>
      <w:r>
        <w:t xml:space="preserve"> </w:t>
      </w:r>
      <w:r w:rsidRPr="00B56C12">
        <w:rPr>
          <w:i/>
        </w:rPr>
        <w:t>disclosure</w:t>
      </w:r>
      <w:r>
        <w:t xml:space="preserve"> in Note 9.5 which are rounded to the nearest $1 000. </w:t>
      </w:r>
    </w:p>
    <w:p w:rsidR="00BB6F1F" w:rsidRDefault="00BB6F1F" w:rsidP="00AC68FF">
      <w:r>
        <w:t xml:space="preserve">Figures in the </w:t>
      </w:r>
      <w:r w:rsidRPr="00BD36E7">
        <w:rPr>
          <w:i/>
        </w:rPr>
        <w:t>2016-17 Financial Report</w:t>
      </w:r>
      <w:r>
        <w:t xml:space="preserve"> may not add due to rounding.</w:t>
      </w:r>
    </w:p>
    <w:p w:rsidR="00BB6F1F" w:rsidRDefault="00BB6F1F">
      <w:pPr>
        <w:keepLines w:val="0"/>
        <w:rPr>
          <w:rFonts w:asciiTheme="majorHAnsi" w:eastAsiaTheme="majorEastAsia" w:hAnsiTheme="majorHAnsi" w:cstheme="majorBidi"/>
          <w:b/>
          <w:spacing w:val="-2"/>
          <w:sz w:val="26"/>
          <w:szCs w:val="26"/>
        </w:rPr>
      </w:pPr>
      <w:r>
        <w:br w:type="page"/>
      </w:r>
    </w:p>
    <w:p w:rsidR="00BB6F1F" w:rsidRDefault="00BB6F1F" w:rsidP="00AC68FF">
      <w:pPr>
        <w:pStyle w:val="Heading20"/>
      </w:pPr>
      <w:r>
        <w:lastRenderedPageBreak/>
        <w:t>Basis for consolidation</w:t>
      </w:r>
    </w:p>
    <w:p w:rsidR="00BB6F1F" w:rsidRDefault="00BB6F1F" w:rsidP="00AC68FF">
      <w:r>
        <w:t xml:space="preserve">The </w:t>
      </w:r>
      <w:r w:rsidRPr="003F6F8E">
        <w:t>consolidated financial statements</w:t>
      </w:r>
      <w:r>
        <w:t xml:space="preserve"> of the State incorporate assets and liabilities of all reporting entities it controlled as at 30 June 2017 and the revenue and expenses of controlled entities for the part of the reporting period in which control existed (Note 9.8).</w:t>
      </w:r>
    </w:p>
    <w:p w:rsidR="00BB6F1F" w:rsidRDefault="00BB6F1F" w:rsidP="00AC68FF">
      <w:r>
        <w:t xml:space="preserve">The consolidated financial statements of the Victorian general government sector incorporate assets and liabilities, revenue and expenses of entities classified as general government. Entities in the </w:t>
      </w:r>
      <w:r w:rsidRPr="003F6F8E">
        <w:t>PNFC and PFC sectors</w:t>
      </w:r>
      <w:r>
        <w:t xml:space="preserve"> are not consolidated into the financial statements of the general government sector, but are accounted for as equity investments measured at the Government’s proportional share of the carrying amount of net assets of the PNFC and PFC sector entities before consolidation eliminations. Where the carrying amount of the entity’s net assets before consolidation eliminations of an entity within the sectors is less than zero, the amount is not included at the general government sector, but the net liabilities will be consolidated at the State level. Any change in the carrying amount of the investment from period to period is accounted for as if the change in carrying amount is a change in fair value and accounted for in a manner consistent with AASB </w:t>
      </w:r>
      <w:r w:rsidRPr="00BD36E7">
        <w:rPr>
          <w:i/>
        </w:rPr>
        <w:t>139 Financial Instruments: Recognition and Measurement</w:t>
      </w:r>
      <w:r>
        <w:t xml:space="preserve">. </w:t>
      </w:r>
    </w:p>
    <w:p w:rsidR="00BB6F1F" w:rsidRDefault="00BB6F1F" w:rsidP="00AC68FF">
      <w:r>
        <w:t xml:space="preserve">Entities which are not controlled by the State, including local government authorities, universities and denominated hospitals, are not consolidated into the financial statements for the State. </w:t>
      </w:r>
    </w:p>
    <w:p w:rsidR="00BB6F1F" w:rsidRDefault="00BB6F1F" w:rsidP="00AC68FF">
      <w:r>
        <w:t>Where entities adopt dissimilar accounting policies and their effect is considered material, adjustments are made to ensure consistent policies are adopted in these financial statements.</w:t>
      </w:r>
    </w:p>
    <w:p w:rsidR="00BB6F1F" w:rsidRDefault="00BB6F1F" w:rsidP="00AC68FF">
      <w:r>
        <w:t>In preparing consolidated financial statements for reporting the State and the Victorian general government sector, all material transactions and balances between consolidated government controlled entities are eliminated.</w:t>
      </w:r>
    </w:p>
    <w:p w:rsidR="00BB6F1F" w:rsidRDefault="00BB6F1F" w:rsidP="00AC68FF">
      <w:r>
        <w:lastRenderedPageBreak/>
        <w:t>Although certain entities prepare their audited financial statements on a calendar year basis, their information on transactions and balances supplied for consolidation purposes reflect adjusted audited figures that relate to the following financial year ending 30 June.</w:t>
      </w:r>
    </w:p>
    <w:p w:rsidR="00BB6F1F" w:rsidRDefault="00BB6F1F" w:rsidP="00AC68FF">
      <w:r>
        <w:t xml:space="preserve">Consistent with the requirements of AASB 1004 </w:t>
      </w:r>
      <w:r w:rsidRPr="00BD36E7">
        <w:rPr>
          <w:i/>
        </w:rPr>
        <w:t>Contributions</w:t>
      </w:r>
      <w:r>
        <w:t>, contributions by owners (that is, contributed capital and its repayment) are treated as equity transactions and, therefore, do not form part of the revenues and expenses of the relevant sectors of government.</w:t>
      </w:r>
    </w:p>
    <w:p w:rsidR="00BB6F1F" w:rsidRDefault="00BB6F1F" w:rsidP="00AC68FF">
      <w:pPr>
        <w:pStyle w:val="Heading20"/>
      </w:pPr>
      <w:r>
        <w:t>Compliance</w:t>
      </w:r>
    </w:p>
    <w:p w:rsidR="00BB6F1F" w:rsidRDefault="00BB6F1F" w:rsidP="00AC68FF">
      <w:r>
        <w:t xml:space="preserve">These general purpose financial statements have been prepared in the manner and form as determined by the Treasurer, in accordance with the </w:t>
      </w:r>
      <w:r w:rsidRPr="00AC1119">
        <w:rPr>
          <w:i/>
        </w:rPr>
        <w:t>Financial Management Act 1994</w:t>
      </w:r>
      <w:r>
        <w:t xml:space="preserve"> and applicable Australian Accounting Standards (AASs) which include Interpretations, issued by the Australian Accounting Standards Board (AASB). In particular, they are presented consistent with the requirements of AASB 1049 </w:t>
      </w:r>
      <w:r w:rsidRPr="00AC1119">
        <w:rPr>
          <w:i/>
        </w:rPr>
        <w:t>Whole of Government and General Government Sector Financial Reporting</w:t>
      </w:r>
      <w:r>
        <w:t xml:space="preserve"> (AASB 1049). </w:t>
      </w:r>
    </w:p>
    <w:p w:rsidR="00BB6F1F" w:rsidRDefault="00BB6F1F" w:rsidP="00AC68FF">
      <w:r>
        <w:t>Where appropriate, those AASs paragraphs applicable to not-for-profit entities have been applied.</w:t>
      </w:r>
    </w:p>
    <w:p w:rsidR="00BB6F1F" w:rsidRDefault="00BB6F1F" w:rsidP="00AC68FF">
      <w:r>
        <w:t xml:space="preserve">The Government Finance Statistics (GFS) information included in this report is based on the GFS manual (the Australian Bureau of Statistics (ABS) publication </w:t>
      </w:r>
      <w:r w:rsidRPr="00AC1119">
        <w:rPr>
          <w:i/>
        </w:rPr>
        <w:t>Australian System of Government Finance Statistics: Concepts, Sources and Methods 2005</w:t>
      </w:r>
      <w:r>
        <w:t xml:space="preserve"> as updated from time to time). Note 9.4 reconciles the differences between AAS and the requirements contained in the GFS Manual.</w:t>
      </w:r>
    </w:p>
    <w:p w:rsidR="00BB6F1F" w:rsidRDefault="00BB6F1F" w:rsidP="00AC68FF">
      <w:pPr>
        <w:rPr>
          <w:highlight w:val="yellow"/>
        </w:rPr>
      </w:pPr>
    </w:p>
    <w:p w:rsidR="00BB6F1F" w:rsidRPr="00F37715" w:rsidRDefault="00BB6F1F" w:rsidP="00AC68FF">
      <w:pPr>
        <w:rPr>
          <w:highlight w:val="yellow"/>
        </w:rPr>
      </w:pPr>
    </w:p>
    <w:p w:rsidR="00BB6F1F" w:rsidRDefault="00BB6F1F" w:rsidP="00AC68FF">
      <w:pPr>
        <w:sectPr w:rsidR="00BB6F1F" w:rsidSect="00AC68FF">
          <w:headerReference w:type="default" r:id="rId54"/>
          <w:type w:val="continuous"/>
          <w:pgSz w:w="11907" w:h="16839" w:code="9"/>
          <w:pgMar w:top="1134" w:right="1134" w:bottom="1134" w:left="1134" w:header="624" w:footer="567" w:gutter="0"/>
          <w:cols w:num="2" w:space="567"/>
          <w:docGrid w:linePitch="360"/>
        </w:sectPr>
      </w:pPr>
    </w:p>
    <w:p w:rsidR="00BB6F1F" w:rsidRDefault="00BB6F1F" w:rsidP="00AC68FF"/>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BB6F1F">
      <w:pPr>
        <w:pStyle w:val="Heading1"/>
        <w:numPr>
          <w:ilvl w:val="0"/>
          <w:numId w:val="24"/>
        </w:numPr>
        <w:pBdr>
          <w:bottom w:val="none" w:sz="0" w:space="0" w:color="auto"/>
        </w:pBdr>
        <w:sectPr w:rsidR="00BB6F1F" w:rsidSect="00AC68FF">
          <w:headerReference w:type="even" r:id="rId55"/>
          <w:pgSz w:w="11907" w:h="16839" w:code="9"/>
          <w:pgMar w:top="1134" w:right="1134" w:bottom="1134" w:left="1134" w:header="624" w:footer="567" w:gutter="0"/>
          <w:cols w:sep="1" w:space="567"/>
          <w:docGrid w:linePitch="360"/>
        </w:sectPr>
      </w:pPr>
      <w:bookmarkStart w:id="13" w:name="_Toc492985873"/>
      <w:bookmarkStart w:id="14" w:name="Section_02"/>
      <w:r>
        <w:lastRenderedPageBreak/>
        <w:t xml:space="preserve">How </w:t>
      </w:r>
      <w:r w:rsidRPr="00995105">
        <w:t>funds</w:t>
      </w:r>
      <w:r>
        <w:t xml:space="preserve"> are raised</w:t>
      </w:r>
      <w:bookmarkEnd w:id="13"/>
    </w:p>
    <w:p w:rsidR="00BB6F1F" w:rsidRDefault="00BB6F1F" w:rsidP="00AC68FF">
      <w:pPr>
        <w:pStyle w:val="Heading30"/>
      </w:pPr>
      <w:r>
        <w:lastRenderedPageBreak/>
        <w:t xml:space="preserve">Introduction </w:t>
      </w:r>
    </w:p>
    <w:p w:rsidR="00BB6F1F" w:rsidRDefault="00BB6F1F" w:rsidP="00AC68FF">
      <w:r>
        <w:t>This section presents the sources and amounts of revenue raised by the State and the general government sector.</w:t>
      </w:r>
    </w:p>
    <w:p w:rsidR="00BB6F1F" w:rsidRDefault="00BB6F1F" w:rsidP="00AC68FF">
      <w:r>
        <w:t xml:space="preserve">Revenue from transactions is recognised to the extent that it is probable that the economic benefits will flow to the entity and the revenue can be reliably measured at fair value. </w:t>
      </w:r>
    </w:p>
    <w:p w:rsidR="00BB6F1F" w:rsidRDefault="00BB6F1F" w:rsidP="00AC68FF">
      <w:pPr>
        <w:pStyle w:val="Heading30"/>
      </w:pPr>
      <w:r>
        <w:br w:type="column"/>
      </w:r>
      <w:r>
        <w:lastRenderedPageBreak/>
        <w:t>Structure</w:t>
      </w:r>
    </w:p>
    <w:p w:rsidR="00BB6F1F" w:rsidRDefault="00BB6F1F">
      <w:pPr>
        <w:pStyle w:val="TOC9"/>
        <w:rPr>
          <w:rFonts w:eastAsiaTheme="minorEastAsia"/>
          <w:noProof/>
          <w:spacing w:val="0"/>
          <w:lang w:eastAsia="en-AU"/>
        </w:rPr>
      </w:pPr>
      <w:r>
        <w:fldChar w:fldCharType="begin"/>
      </w:r>
      <w:r>
        <w:instrText xml:space="preserve"> TOC \h \z \t "Heading 2 (#),9" \b Section_02 \* MERGEFORMAT </w:instrText>
      </w:r>
      <w:r>
        <w:fldChar w:fldCharType="separate"/>
      </w:r>
      <w:hyperlink w:anchor="_Toc492984788" w:history="1">
        <w:r w:rsidRPr="000B5556">
          <w:rPr>
            <w:rStyle w:val="Hyperlink"/>
            <w:noProof/>
          </w:rPr>
          <w:t>2.1</w:t>
        </w:r>
        <w:r>
          <w:rPr>
            <w:rFonts w:eastAsiaTheme="minorEastAsia"/>
            <w:noProof/>
            <w:spacing w:val="0"/>
            <w:lang w:eastAsia="en-AU"/>
          </w:rPr>
          <w:tab/>
        </w:r>
        <w:r w:rsidRPr="000B5556">
          <w:rPr>
            <w:rStyle w:val="Hyperlink"/>
            <w:noProof/>
          </w:rPr>
          <w:t>Taxation revenue</w:t>
        </w:r>
        <w:r>
          <w:rPr>
            <w:noProof/>
            <w:webHidden/>
          </w:rPr>
          <w:tab/>
        </w:r>
        <w:r>
          <w:rPr>
            <w:noProof/>
            <w:webHidden/>
          </w:rPr>
          <w:fldChar w:fldCharType="begin"/>
        </w:r>
        <w:r>
          <w:rPr>
            <w:noProof/>
            <w:webHidden/>
          </w:rPr>
          <w:instrText xml:space="preserve"> PAGEREF _Toc492984788 \h </w:instrText>
        </w:r>
        <w:r>
          <w:rPr>
            <w:noProof/>
            <w:webHidden/>
          </w:rPr>
        </w:r>
        <w:r>
          <w:rPr>
            <w:noProof/>
            <w:webHidden/>
          </w:rPr>
          <w:fldChar w:fldCharType="separate"/>
        </w:r>
        <w:r w:rsidR="002C7F26">
          <w:rPr>
            <w:noProof/>
            <w:webHidden/>
          </w:rPr>
          <w:t>36</w:t>
        </w:r>
        <w:r>
          <w:rPr>
            <w:noProof/>
            <w:webHidden/>
          </w:rPr>
          <w:fldChar w:fldCharType="end"/>
        </w:r>
      </w:hyperlink>
    </w:p>
    <w:p w:rsidR="00BB6F1F" w:rsidRDefault="00E73501">
      <w:pPr>
        <w:pStyle w:val="TOC9"/>
        <w:rPr>
          <w:rFonts w:eastAsiaTheme="minorEastAsia"/>
          <w:noProof/>
          <w:spacing w:val="0"/>
          <w:lang w:eastAsia="en-AU"/>
        </w:rPr>
      </w:pPr>
      <w:hyperlink w:anchor="_Toc492984789" w:history="1">
        <w:r w:rsidR="00BB6F1F" w:rsidRPr="000B5556">
          <w:rPr>
            <w:rStyle w:val="Hyperlink"/>
            <w:noProof/>
          </w:rPr>
          <w:t>2.2</w:t>
        </w:r>
        <w:r w:rsidR="00BB6F1F">
          <w:rPr>
            <w:rFonts w:eastAsiaTheme="minorEastAsia"/>
            <w:noProof/>
            <w:spacing w:val="0"/>
            <w:lang w:eastAsia="en-AU"/>
          </w:rPr>
          <w:tab/>
        </w:r>
        <w:r w:rsidR="00BB6F1F" w:rsidRPr="000B5556">
          <w:rPr>
            <w:rStyle w:val="Hyperlink"/>
            <w:noProof/>
          </w:rPr>
          <w:t>Interest revenue</w:t>
        </w:r>
        <w:r w:rsidR="00BB6F1F">
          <w:rPr>
            <w:noProof/>
            <w:webHidden/>
          </w:rPr>
          <w:tab/>
        </w:r>
        <w:r w:rsidR="00BB6F1F">
          <w:rPr>
            <w:noProof/>
            <w:webHidden/>
          </w:rPr>
          <w:fldChar w:fldCharType="begin"/>
        </w:r>
        <w:r w:rsidR="00BB6F1F">
          <w:rPr>
            <w:noProof/>
            <w:webHidden/>
          </w:rPr>
          <w:instrText xml:space="preserve"> PAGEREF _Toc492984789 \h </w:instrText>
        </w:r>
        <w:r w:rsidR="00BB6F1F">
          <w:rPr>
            <w:noProof/>
            <w:webHidden/>
          </w:rPr>
        </w:r>
        <w:r w:rsidR="00BB6F1F">
          <w:rPr>
            <w:noProof/>
            <w:webHidden/>
          </w:rPr>
          <w:fldChar w:fldCharType="separate"/>
        </w:r>
        <w:r w:rsidR="002C7F26">
          <w:rPr>
            <w:noProof/>
            <w:webHidden/>
          </w:rPr>
          <w:t>37</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790" w:history="1">
        <w:r w:rsidR="00BB6F1F" w:rsidRPr="000B5556">
          <w:rPr>
            <w:rStyle w:val="Hyperlink"/>
            <w:noProof/>
          </w:rPr>
          <w:t>2.3</w:t>
        </w:r>
        <w:r w:rsidR="00BB6F1F">
          <w:rPr>
            <w:rFonts w:eastAsiaTheme="minorEastAsia"/>
            <w:noProof/>
            <w:spacing w:val="0"/>
            <w:lang w:eastAsia="en-AU"/>
          </w:rPr>
          <w:tab/>
        </w:r>
        <w:r w:rsidR="00BB6F1F" w:rsidRPr="000B5556">
          <w:rPr>
            <w:rStyle w:val="Hyperlink"/>
            <w:noProof/>
          </w:rPr>
          <w:t>Dividends, income tax equivalent and rate equivalent revenue</w:t>
        </w:r>
        <w:r w:rsidR="00BB6F1F">
          <w:rPr>
            <w:noProof/>
            <w:webHidden/>
          </w:rPr>
          <w:tab/>
        </w:r>
        <w:r w:rsidR="00BB6F1F">
          <w:rPr>
            <w:noProof/>
            <w:webHidden/>
          </w:rPr>
          <w:fldChar w:fldCharType="begin"/>
        </w:r>
        <w:r w:rsidR="00BB6F1F">
          <w:rPr>
            <w:noProof/>
            <w:webHidden/>
          </w:rPr>
          <w:instrText xml:space="preserve"> PAGEREF _Toc492984790 \h </w:instrText>
        </w:r>
        <w:r w:rsidR="00BB6F1F">
          <w:rPr>
            <w:noProof/>
            <w:webHidden/>
          </w:rPr>
        </w:r>
        <w:r w:rsidR="00BB6F1F">
          <w:rPr>
            <w:noProof/>
            <w:webHidden/>
          </w:rPr>
          <w:fldChar w:fldCharType="separate"/>
        </w:r>
        <w:r w:rsidR="002C7F26">
          <w:rPr>
            <w:noProof/>
            <w:webHidden/>
          </w:rPr>
          <w:t>37</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791" w:history="1">
        <w:r w:rsidR="00BB6F1F" w:rsidRPr="000B5556">
          <w:rPr>
            <w:rStyle w:val="Hyperlink"/>
            <w:noProof/>
          </w:rPr>
          <w:t>2.4</w:t>
        </w:r>
        <w:r w:rsidR="00BB6F1F">
          <w:rPr>
            <w:rFonts w:eastAsiaTheme="minorEastAsia"/>
            <w:noProof/>
            <w:spacing w:val="0"/>
            <w:lang w:eastAsia="en-AU"/>
          </w:rPr>
          <w:tab/>
        </w:r>
        <w:r w:rsidR="00BB6F1F" w:rsidRPr="000B5556">
          <w:rPr>
            <w:rStyle w:val="Hyperlink"/>
            <w:noProof/>
          </w:rPr>
          <w:t>Sales of goods and services</w:t>
        </w:r>
        <w:r w:rsidR="00BB6F1F">
          <w:rPr>
            <w:noProof/>
            <w:webHidden/>
          </w:rPr>
          <w:tab/>
        </w:r>
        <w:r w:rsidR="00BB6F1F">
          <w:rPr>
            <w:noProof/>
            <w:webHidden/>
          </w:rPr>
          <w:fldChar w:fldCharType="begin"/>
        </w:r>
        <w:r w:rsidR="00BB6F1F">
          <w:rPr>
            <w:noProof/>
            <w:webHidden/>
          </w:rPr>
          <w:instrText xml:space="preserve"> PAGEREF _Toc492984791 \h </w:instrText>
        </w:r>
        <w:r w:rsidR="00BB6F1F">
          <w:rPr>
            <w:noProof/>
            <w:webHidden/>
          </w:rPr>
        </w:r>
        <w:r w:rsidR="00BB6F1F">
          <w:rPr>
            <w:noProof/>
            <w:webHidden/>
          </w:rPr>
          <w:fldChar w:fldCharType="separate"/>
        </w:r>
        <w:r w:rsidR="002C7F26">
          <w:rPr>
            <w:noProof/>
            <w:webHidden/>
          </w:rPr>
          <w:t>38</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792" w:history="1">
        <w:r w:rsidR="00BB6F1F" w:rsidRPr="000B5556">
          <w:rPr>
            <w:rStyle w:val="Hyperlink"/>
            <w:noProof/>
          </w:rPr>
          <w:t>2.5</w:t>
        </w:r>
        <w:r w:rsidR="00BB6F1F">
          <w:rPr>
            <w:rFonts w:eastAsiaTheme="minorEastAsia"/>
            <w:noProof/>
            <w:spacing w:val="0"/>
            <w:lang w:eastAsia="en-AU"/>
          </w:rPr>
          <w:tab/>
        </w:r>
        <w:r w:rsidR="00BB6F1F" w:rsidRPr="000B5556">
          <w:rPr>
            <w:rStyle w:val="Hyperlink"/>
            <w:noProof/>
          </w:rPr>
          <w:t>Grant revenue</w:t>
        </w:r>
        <w:r w:rsidR="00BB6F1F">
          <w:rPr>
            <w:noProof/>
            <w:webHidden/>
          </w:rPr>
          <w:tab/>
        </w:r>
        <w:r w:rsidR="00BB6F1F">
          <w:rPr>
            <w:noProof/>
            <w:webHidden/>
          </w:rPr>
          <w:fldChar w:fldCharType="begin"/>
        </w:r>
        <w:r w:rsidR="00BB6F1F">
          <w:rPr>
            <w:noProof/>
            <w:webHidden/>
          </w:rPr>
          <w:instrText xml:space="preserve"> PAGEREF _Toc492984792 \h </w:instrText>
        </w:r>
        <w:r w:rsidR="00BB6F1F">
          <w:rPr>
            <w:noProof/>
            <w:webHidden/>
          </w:rPr>
        </w:r>
        <w:r w:rsidR="00BB6F1F">
          <w:rPr>
            <w:noProof/>
            <w:webHidden/>
          </w:rPr>
          <w:fldChar w:fldCharType="separate"/>
        </w:r>
        <w:r w:rsidR="002C7F26">
          <w:rPr>
            <w:noProof/>
            <w:webHidden/>
          </w:rPr>
          <w:t>39</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793" w:history="1">
        <w:r w:rsidR="00BB6F1F" w:rsidRPr="000B5556">
          <w:rPr>
            <w:rStyle w:val="Hyperlink"/>
            <w:noProof/>
          </w:rPr>
          <w:t>2.6</w:t>
        </w:r>
        <w:r w:rsidR="00BB6F1F">
          <w:rPr>
            <w:rFonts w:eastAsiaTheme="minorEastAsia"/>
            <w:noProof/>
            <w:spacing w:val="0"/>
            <w:lang w:eastAsia="en-AU"/>
          </w:rPr>
          <w:tab/>
        </w:r>
        <w:r w:rsidR="00BB6F1F" w:rsidRPr="000B5556">
          <w:rPr>
            <w:rStyle w:val="Hyperlink"/>
            <w:noProof/>
          </w:rPr>
          <w:t>Other revenue</w:t>
        </w:r>
        <w:r w:rsidR="00BB6F1F">
          <w:rPr>
            <w:noProof/>
            <w:webHidden/>
          </w:rPr>
          <w:tab/>
        </w:r>
        <w:r w:rsidR="00BB6F1F">
          <w:rPr>
            <w:noProof/>
            <w:webHidden/>
          </w:rPr>
          <w:fldChar w:fldCharType="begin"/>
        </w:r>
        <w:r w:rsidR="00BB6F1F">
          <w:rPr>
            <w:noProof/>
            <w:webHidden/>
          </w:rPr>
          <w:instrText xml:space="preserve"> PAGEREF _Toc492984793 \h </w:instrText>
        </w:r>
        <w:r w:rsidR="00BB6F1F">
          <w:rPr>
            <w:noProof/>
            <w:webHidden/>
          </w:rPr>
        </w:r>
        <w:r w:rsidR="00BB6F1F">
          <w:rPr>
            <w:noProof/>
            <w:webHidden/>
          </w:rPr>
          <w:fldChar w:fldCharType="separate"/>
        </w:r>
        <w:r w:rsidR="002C7F26">
          <w:rPr>
            <w:noProof/>
            <w:webHidden/>
          </w:rPr>
          <w:t>40</w:t>
        </w:r>
        <w:r w:rsidR="00BB6F1F">
          <w:rPr>
            <w:noProof/>
            <w:webHidden/>
          </w:rPr>
          <w:fldChar w:fldCharType="end"/>
        </w:r>
      </w:hyperlink>
    </w:p>
    <w:p w:rsidR="00BB6F1F" w:rsidRDefault="00BB6F1F" w:rsidP="00AC68FF">
      <w:pPr>
        <w:pStyle w:val="TOC9"/>
        <w:sectPr w:rsidR="00BB6F1F" w:rsidSect="00AC68FF">
          <w:type w:val="continuous"/>
          <w:pgSz w:w="11907" w:h="16839" w:code="9"/>
          <w:pgMar w:top="1134" w:right="1134" w:bottom="1134" w:left="1134" w:header="624" w:footer="567" w:gutter="0"/>
          <w:cols w:num="2" w:space="567"/>
          <w:docGrid w:linePitch="360"/>
        </w:sectPr>
      </w:pPr>
      <w:r>
        <w:fldChar w:fldCharType="end"/>
      </w:r>
    </w:p>
    <w:p w:rsidR="00BB6F1F" w:rsidRPr="00F37715" w:rsidRDefault="00BB6F1F" w:rsidP="00BB6F1F">
      <w:pPr>
        <w:pStyle w:val="Heading2"/>
        <w:numPr>
          <w:ilvl w:val="1"/>
          <w:numId w:val="22"/>
        </w:numPr>
      </w:pPr>
      <w:bookmarkStart w:id="15" w:name="_Toc492984788"/>
      <w:r w:rsidRPr="00F37715">
        <w:lastRenderedPageBreak/>
        <w:t>Taxation revenue</w:t>
      </w:r>
      <w:bookmarkEnd w:id="15"/>
    </w:p>
    <w:p w:rsidR="00BB6F1F" w:rsidRPr="005A36FE" w:rsidRDefault="00BB6F1F" w:rsidP="00AC68FF">
      <w:pPr>
        <w:pStyle w:val="TableUnits"/>
        <w:rPr>
          <w:bCs/>
          <w:lang w:val="en-US"/>
        </w:rPr>
      </w:pPr>
      <w:r w:rsidRPr="00DE47D7">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5A36FE">
              <w:rPr>
                <w:rFonts w:eastAsiaTheme="minorEastAsia" w:cs="Calibri"/>
                <w:iCs/>
                <w:color w:val="FFFFFF"/>
                <w:szCs w:val="18"/>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Taxes on employers’ payroll and labour force</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5 612</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5 293</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5 689</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5 365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Taxes on immovable property</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Land tax</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2 474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1 734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2 501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1 771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Fire services property levy</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676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674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676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674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Congestion levy</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Metropolitan improvement levy</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Financial and capital transactions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Land transfer duty</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6 134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5 839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6 134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5 839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Metropolitan planning levy</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Financial accommodation levy</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Growth areas infrastructure contribution</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Total taxes on property</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9 785</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8 678</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9 947</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8 862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Gambling taxes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Public lotteries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402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427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402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427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Electronic gaming machines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1 070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1 079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1 070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1 079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Casino</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Racing</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Other</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Levies on statutory corporations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112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112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Taxes on insurance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1 218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1 151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1 218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1 151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Total taxes on the provision of goods and services</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3 016</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2 985</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3 128</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3 097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Motor vehicle taxes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Vehicle registration fees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1 552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1 454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1 553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1 456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Duty on vehicle registrations and transfers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818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779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818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779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Liquor licence fees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vertAlign w:val="superscript"/>
                <w:lang w:eastAsia="en-AU"/>
              </w:rPr>
            </w:pPr>
            <w:r w:rsidRPr="005A36FE">
              <w:rPr>
                <w:rFonts w:eastAsiaTheme="minorEastAsia" w:cs="Calibri"/>
                <w:b/>
                <w:bCs/>
                <w:color w:val="000000"/>
                <w:szCs w:val="18"/>
                <w:lang w:eastAsia="en-AU"/>
              </w:rPr>
              <w:t xml:space="preserve">Other </w:t>
            </w:r>
            <w:r w:rsidRPr="005A36FE">
              <w:rPr>
                <w:rFonts w:eastAsiaTheme="minorEastAsia" w:cs="Calibri"/>
                <w:b/>
                <w:bCs/>
                <w:color w:val="000000"/>
                <w:szCs w:val="18"/>
                <w:vertAlign w:val="superscript"/>
                <w:lang w:eastAsia="en-AU"/>
              </w:rPr>
              <w:t>(a)</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1 088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234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1 115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315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Total taxes on the use of goods and performance of activities</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3 480</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2 490</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3 508</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2 572</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8"/>
                <w:lang w:eastAsia="en-AU"/>
              </w:rPr>
            </w:pPr>
            <w:r w:rsidRPr="005A36FE">
              <w:rPr>
                <w:rFonts w:eastAsiaTheme="minorEastAsia" w:cs="Calibri"/>
                <w:bCs/>
                <w:color w:val="000000"/>
                <w:szCs w:val="18"/>
                <w:lang w:eastAsia="en-AU"/>
              </w:rPr>
              <w:t>Total taxation revenue</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21 892</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19 446</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22 272</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19 896</w:t>
            </w:r>
          </w:p>
        </w:tc>
      </w:tr>
    </w:tbl>
    <w:p w:rsidR="00BB6F1F" w:rsidRDefault="00BB6F1F" w:rsidP="00AC68FF">
      <w:pPr>
        <w:pStyle w:val="Note"/>
      </w:pPr>
      <w:r>
        <w:t>Note:</w:t>
      </w:r>
    </w:p>
    <w:p w:rsidR="00BB6F1F" w:rsidRDefault="00BB6F1F" w:rsidP="00EE7F4C">
      <w:pPr>
        <w:pStyle w:val="Note"/>
      </w:pPr>
      <w:r>
        <w:t>(a)</w:t>
      </w:r>
      <w:r>
        <w:tab/>
        <w:t>Includes prepaid port licence fees.</w:t>
      </w:r>
    </w:p>
    <w:p w:rsidR="00BB6F1F" w:rsidRDefault="00BB6F1F" w:rsidP="00AC68FF"/>
    <w:p w:rsidR="00EE7F4C" w:rsidRDefault="00EE7F4C" w:rsidP="00AC68FF">
      <w:pPr>
        <w:sectPr w:rsidR="00EE7F4C" w:rsidSect="00AC68FF">
          <w:type w:val="continuous"/>
          <w:pgSz w:w="11907" w:h="16839" w:code="9"/>
          <w:pgMar w:top="1134" w:right="1134" w:bottom="1134" w:left="1134" w:header="624" w:footer="567" w:gutter="0"/>
          <w:cols w:sep="1" w:space="567"/>
          <w:docGrid w:linePitch="360"/>
        </w:sectPr>
      </w:pPr>
    </w:p>
    <w:p w:rsidR="00BB6F1F" w:rsidRDefault="00BB6F1F" w:rsidP="00AC68FF">
      <w:pPr>
        <w:spacing w:before="0"/>
      </w:pPr>
      <w:r>
        <w:lastRenderedPageBreak/>
        <w:t>Taxation revenue represents revenue earned from the State’s taxpayers.</w:t>
      </w:r>
    </w:p>
    <w:p w:rsidR="00BB6F1F" w:rsidRDefault="00BB6F1F" w:rsidP="00AC68FF">
      <w:r>
        <w:t>State taxation revenue is recognised upon the earlier of either the receipt by the State of a taxpayer’s self</w:t>
      </w:r>
      <w:r>
        <w:noBreakHyphen/>
        <w:t xml:space="preserve">assessment or the time when the taxpayer’s obligation to pay arises, pursuant to the issue of an assessment. </w:t>
      </w:r>
    </w:p>
    <w:p w:rsidR="00BB6F1F" w:rsidRDefault="00BB6F1F" w:rsidP="00AC68FF">
      <w:r>
        <w:t xml:space="preserve">Upfront concession fees, such as those for toll roads and gambling licence fees, are recognised progressively over the term of the applicable concession. </w:t>
      </w:r>
    </w:p>
    <w:p w:rsidR="00BB6F1F" w:rsidRDefault="00BB6F1F" w:rsidP="00BB6F1F">
      <w:pPr>
        <w:pStyle w:val="Heading2"/>
        <w:numPr>
          <w:ilvl w:val="1"/>
          <w:numId w:val="24"/>
        </w:numPr>
      </w:pPr>
      <w:bookmarkStart w:id="16" w:name="_Toc492984789"/>
      <w:r>
        <w:lastRenderedPageBreak/>
        <w:t>Interest revenue</w:t>
      </w:r>
      <w:bookmarkEnd w:id="16"/>
    </w:p>
    <w:p w:rsidR="00BB6F1F" w:rsidRDefault="00BB6F1F" w:rsidP="00AC68FF">
      <w:r>
        <w:t xml:space="preserve">Interest revenue includes interest earned on bank term deposits and other investments, and the unwinding over time of the discount on financial assets. Interest revenue is recognised using the effective interest method, which allocates the interest over the relevant period. </w:t>
      </w:r>
    </w:p>
    <w:p w:rsidR="00BB6F1F" w:rsidRDefault="00BB6F1F" w:rsidP="00AC68FF">
      <w:r>
        <w:t>Net realised and unrealised gains and losses on the revaluation of investments do not form part of revenue from transactions, but are reported either as part of revenue from other economic flows in the net result or as unrealised gains or losses taken direct to equity, forming part of the total change in net worth in the comprehensive result.</w:t>
      </w:r>
    </w:p>
    <w:p w:rsidR="00BB6F1F" w:rsidRDefault="00BB6F1F" w:rsidP="00BB6F1F">
      <w:pPr>
        <w:pStyle w:val="Heading2"/>
        <w:numPr>
          <w:ilvl w:val="1"/>
          <w:numId w:val="24"/>
        </w:numPr>
        <w:sectPr w:rsidR="00BB6F1F" w:rsidSect="00AC68FF">
          <w:pgSz w:w="11907" w:h="16839" w:code="9"/>
          <w:pgMar w:top="1134" w:right="1134" w:bottom="1134" w:left="1134" w:header="624" w:footer="567" w:gutter="0"/>
          <w:cols w:num="2" w:space="567"/>
          <w:docGrid w:linePitch="360"/>
        </w:sectPr>
      </w:pPr>
    </w:p>
    <w:p w:rsidR="00BB6F1F" w:rsidRDefault="00BB6F1F" w:rsidP="00BB6F1F">
      <w:pPr>
        <w:pStyle w:val="Heading2"/>
        <w:numPr>
          <w:ilvl w:val="1"/>
          <w:numId w:val="24"/>
        </w:numPr>
      </w:pPr>
      <w:bookmarkStart w:id="17" w:name="_Toc492984790"/>
      <w:r>
        <w:lastRenderedPageBreak/>
        <w:t xml:space="preserve">Dividends, </w:t>
      </w:r>
      <w:r w:rsidRPr="00DE47D7">
        <w:t>income tax equival</w:t>
      </w:r>
      <w:r>
        <w:t>ent and rate equivalent revenue</w:t>
      </w:r>
      <w:bookmarkEnd w:id="17"/>
    </w:p>
    <w:p w:rsidR="00BB6F1F" w:rsidRPr="005A36FE" w:rsidRDefault="00BB6F1F" w:rsidP="00AC68FF">
      <w:pPr>
        <w:pStyle w:val="TableUnits"/>
        <w:rPr>
          <w:bCs/>
          <w:lang w:val="en-US"/>
        </w:rPr>
      </w:pPr>
      <w:r w:rsidRPr="00DE47D7">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F078AA">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F078AA">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5A36FE">
              <w:rPr>
                <w:rFonts w:eastAsiaTheme="minorEastAsia" w:cs="Calibri"/>
                <w:iCs/>
                <w:color w:val="FFFFFF"/>
                <w:szCs w:val="18"/>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Dividends from PFC sector</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246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Dividends from PNFC sector</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Dividends from non-public sector</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914</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1 159</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34</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Dividends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914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1 159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403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412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Income tax equivalent revenue from PFC sector</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Income tax equivalent revenue from PNFC sector</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238</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417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Income tax equivalent revenue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250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431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Local government rate equivalent revenue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6"/>
                <w:lang w:eastAsia="en-AU"/>
              </w:rPr>
            </w:pPr>
            <w:r w:rsidRPr="005A36FE">
              <w:rPr>
                <w:rFonts w:eastAsiaTheme="minorEastAsia" w:cs="Calibri"/>
                <w:bCs/>
                <w:color w:val="000000"/>
                <w:szCs w:val="16"/>
                <w:lang w:eastAsia="en-AU"/>
              </w:rPr>
              <w:t>Total dividends, income tax equivalent and rate equivalent revenue</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914</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1 159</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658</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848</w:t>
            </w:r>
          </w:p>
        </w:tc>
      </w:tr>
    </w:tbl>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AC68FF"/>
    <w:p w:rsidR="00BB6F1F" w:rsidRDefault="00BB6F1F" w:rsidP="00AC68FF">
      <w:r>
        <w:t xml:space="preserve">General government sector dividends, income tax equivalent and rate equivalent revenue, represents revenue earned from other sectors of government. Such revenue for the general government sector is recognised when the right to receive the payment is established. </w:t>
      </w:r>
    </w:p>
    <w:p w:rsidR="00BB6F1F" w:rsidRDefault="00BB6F1F" w:rsidP="00AC68FF">
      <w:r>
        <w:t xml:space="preserve">Dividends and income tax equivalent revenue are mainly from the PNFC and PFC sectors. These revenues are based on established dividend policy and the profitability of the PNFCs and </w:t>
      </w:r>
      <w:proofErr w:type="spellStart"/>
      <w:r>
        <w:t>PFCs.</w:t>
      </w:r>
      <w:proofErr w:type="spellEnd"/>
    </w:p>
    <w:p w:rsidR="00BB6F1F" w:rsidRDefault="00BB6F1F" w:rsidP="00AC68FF">
      <w:r>
        <w:t xml:space="preserve">While most government departments and agencies are exempt from federal income tax, certain larger PNFC and PFC entities are subject to income tax equivalents payable to the general government </w:t>
      </w:r>
    </w:p>
    <w:p w:rsidR="00BB6F1F" w:rsidRDefault="00BB6F1F" w:rsidP="00AC68FF">
      <w:r>
        <w:br w:type="column"/>
      </w:r>
    </w:p>
    <w:p w:rsidR="00BB6F1F" w:rsidRDefault="00BB6F1F" w:rsidP="00AC68FF">
      <w:r>
        <w:t>sector in accordance with the National Tax Equivalent Regime (NTER). The primary objective of the NTER is to promote competitive neutrality, through uniformly applying income tax laws, between NTER entities and their privately held counterparts.</w:t>
      </w:r>
    </w:p>
    <w:p w:rsidR="00BB6F1F" w:rsidRDefault="00BB6F1F" w:rsidP="00AC68FF">
      <w:r>
        <w:t>Dividends and income tax equivalents from the PNFC and PFC sectors are eliminated on consolidation into the financial statements of the State.</w:t>
      </w:r>
    </w:p>
    <w:p w:rsidR="00BB6F1F" w:rsidRDefault="00BB6F1F" w:rsidP="00AC68FF">
      <w:r>
        <w:t>Dividends earned from the non-public sector are also reflected in the financial statements, as noted in the above table.</w:t>
      </w:r>
    </w:p>
    <w:p w:rsidR="00BB6F1F" w:rsidRDefault="00BB6F1F" w:rsidP="00AC68FF">
      <w:pPr>
        <w:pStyle w:val="TableHeading"/>
        <w:sectPr w:rsidR="00BB6F1F" w:rsidSect="00AC68FF">
          <w:headerReference w:type="even" r:id="rId56"/>
          <w:type w:val="continuous"/>
          <w:pgSz w:w="11907" w:h="16839" w:code="9"/>
          <w:pgMar w:top="1134" w:right="1134" w:bottom="1134" w:left="1134" w:header="624" w:footer="567" w:gutter="0"/>
          <w:cols w:num="2" w:space="709"/>
          <w:docGrid w:linePitch="360"/>
        </w:sectPr>
      </w:pPr>
    </w:p>
    <w:p w:rsidR="00BB6F1F" w:rsidRDefault="00BB6F1F">
      <w:pPr>
        <w:keepLines w:val="0"/>
        <w:rPr>
          <w:rFonts w:asciiTheme="majorHAnsi" w:hAnsiTheme="majorHAnsi"/>
          <w:b/>
          <w:sz w:val="20"/>
          <w:szCs w:val="20"/>
        </w:rPr>
      </w:pPr>
      <w:r>
        <w:lastRenderedPageBreak/>
        <w:br w:type="page"/>
      </w:r>
    </w:p>
    <w:p w:rsidR="00BB6F1F" w:rsidRPr="005A36FE" w:rsidRDefault="00BB6F1F" w:rsidP="00AC68FF">
      <w:pPr>
        <w:pStyle w:val="TableHeading"/>
        <w:rPr>
          <w:bCs/>
          <w:lang w:val="en-US"/>
        </w:rPr>
      </w:pPr>
      <w:r w:rsidRPr="00DE47D7">
        <w:lastRenderedPageBreak/>
        <w:t>Dividends by entity</w:t>
      </w:r>
      <w:r w:rsidRPr="00DE47D7">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5A36FE">
              <w:rPr>
                <w:rFonts w:eastAsiaTheme="minorEastAsia" w:cs="Calibri"/>
                <w:iCs/>
                <w:color w:val="FFFFFF"/>
                <w:szCs w:val="18"/>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Public financial corporations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Victorian Managed Insurance Authority</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Transport Accident Commission</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Treasury Corporation of Victoria</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State Trustees Ltd</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Victorian Funds Management Corporation</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Dividends from PFC sector</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246</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239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Public non-financial corporations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Melbourne Water Corporation</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City West Water Corporation</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South East Water Corporation</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Yarra Valley Water Corporation</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Victorian Ports Corporation (Melbourne)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 xml:space="preserve">State Electricity Commission of Victoria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Places Victoria</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Others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6"/>
                <w:lang w:eastAsia="en-AU"/>
              </w:rPr>
            </w:pPr>
            <w:r w:rsidRPr="005A36FE">
              <w:rPr>
                <w:rFonts w:eastAsiaTheme="minorEastAsia" w:cs="Calibri"/>
                <w:bCs/>
                <w:color w:val="000000"/>
                <w:szCs w:val="16"/>
                <w:lang w:eastAsia="en-AU"/>
              </w:rPr>
              <w:t>Dividends from PNFC sector</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123</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149</w:t>
            </w:r>
          </w:p>
        </w:tc>
      </w:tr>
    </w:tbl>
    <w:p w:rsidR="00BB6F1F" w:rsidRDefault="00BB6F1F" w:rsidP="00622C6F">
      <w:pPr>
        <w:spacing w:before="0"/>
      </w:pPr>
    </w:p>
    <w:p w:rsidR="00BB6F1F" w:rsidRDefault="00BB6F1F" w:rsidP="00BB6F1F">
      <w:pPr>
        <w:pStyle w:val="Heading2"/>
        <w:numPr>
          <w:ilvl w:val="1"/>
          <w:numId w:val="24"/>
        </w:numPr>
      </w:pPr>
      <w:bookmarkStart w:id="18" w:name="_Toc492984791"/>
      <w:r w:rsidRPr="00DE47D7">
        <w:t>Sales of goods and services</w:t>
      </w:r>
      <w:bookmarkEnd w:id="18"/>
    </w:p>
    <w:p w:rsidR="00BB6F1F" w:rsidRPr="005A36FE" w:rsidRDefault="00BB6F1F" w:rsidP="00AC68FF">
      <w:pPr>
        <w:pStyle w:val="TableUnits"/>
        <w:rPr>
          <w:bCs/>
          <w:lang w:val="en-US"/>
        </w:rPr>
      </w:pPr>
      <w:r w:rsidRPr="00DE47D7">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5A36FE">
              <w:rPr>
                <w:rFonts w:eastAsiaTheme="minorEastAsia" w:cs="Calibri"/>
                <w:iCs/>
                <w:color w:val="FFFFFF"/>
                <w:szCs w:val="18"/>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Motor vehicle regulatory fees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251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251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Other regulatory fees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602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528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588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515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Sale of goods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640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568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vertAlign w:val="superscript"/>
                <w:lang w:eastAsia="en-AU"/>
              </w:rPr>
            </w:pPr>
            <w:r w:rsidRPr="005A36FE">
              <w:rPr>
                <w:rFonts w:eastAsiaTheme="minorEastAsia" w:cs="Calibri"/>
                <w:color w:val="000000"/>
                <w:szCs w:val="18"/>
                <w:lang w:eastAsia="en-AU"/>
              </w:rPr>
              <w:t xml:space="preserve">Provision of services </w:t>
            </w:r>
            <w:r w:rsidRPr="005A36FE">
              <w:rPr>
                <w:rFonts w:eastAsiaTheme="minorEastAsia" w:cs="Calibri"/>
                <w:color w:val="000000"/>
                <w:szCs w:val="18"/>
                <w:vertAlign w:val="superscript"/>
                <w:lang w:eastAsia="en-AU"/>
              </w:rPr>
              <w:t>(a)</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12 613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12 734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3 986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3 993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Rental</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217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Refunds and reimbursements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Inter-sector capital asset charge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1 905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1 734</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8"/>
                <w:lang w:eastAsia="en-AU"/>
              </w:rPr>
            </w:pPr>
            <w:r w:rsidRPr="005A36FE">
              <w:rPr>
                <w:rFonts w:eastAsiaTheme="minorEastAsia" w:cs="Calibri"/>
                <w:bCs/>
                <w:color w:val="000000"/>
                <w:szCs w:val="18"/>
                <w:lang w:eastAsia="en-AU"/>
              </w:rPr>
              <w:t>Total sales of goods and services</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14 539</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14 324</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6 939</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6 671</w:t>
            </w:r>
          </w:p>
        </w:tc>
      </w:tr>
    </w:tbl>
    <w:p w:rsidR="00BB6F1F" w:rsidRDefault="00BB6F1F" w:rsidP="00AC68FF">
      <w:pPr>
        <w:sectPr w:rsidR="00BB6F1F" w:rsidSect="00AC68FF">
          <w:headerReference w:type="even" r:id="rId57"/>
          <w:type w:val="continuous"/>
          <w:pgSz w:w="11907" w:h="16839" w:code="9"/>
          <w:pgMar w:top="1134" w:right="1134" w:bottom="1134" w:left="1134" w:header="624" w:footer="567" w:gutter="0"/>
          <w:cols w:sep="1" w:space="567"/>
          <w:docGrid w:linePitch="360"/>
        </w:sectPr>
      </w:pPr>
    </w:p>
    <w:p w:rsidR="00BB6F1F" w:rsidRPr="00980148" w:rsidRDefault="00BB6F1F" w:rsidP="00AC68FF">
      <w:pPr>
        <w:pStyle w:val="Note"/>
      </w:pPr>
      <w:r>
        <w:lastRenderedPageBreak/>
        <w:t>Note</w:t>
      </w:r>
      <w:r w:rsidRPr="00980148">
        <w:t>:</w:t>
      </w:r>
    </w:p>
    <w:p w:rsidR="00BB6F1F" w:rsidRDefault="00BB6F1F" w:rsidP="00AC68FF">
      <w:pPr>
        <w:pStyle w:val="Note"/>
      </w:pPr>
      <w:r w:rsidRPr="00980148">
        <w:t>(a)</w:t>
      </w:r>
      <w:r w:rsidRPr="00980148">
        <w:tab/>
        <w:t xml:space="preserve">Further disclosure on </w:t>
      </w:r>
      <w:r>
        <w:t xml:space="preserve">provision of services </w:t>
      </w:r>
      <w:r w:rsidRPr="00980148">
        <w:t xml:space="preserve"> is available on the Department of Treasury and Finance’s website (dtf.vic.gov.au). This further disclosure is not subject to audit by the Victorian Auditor-General’s Of</w:t>
      </w:r>
      <w:r>
        <w:t>fice.</w:t>
      </w:r>
    </w:p>
    <w:p w:rsidR="00BB6F1F" w:rsidRDefault="00BB6F1F" w:rsidP="00AC68FF">
      <w:pPr>
        <w:pStyle w:val="Note"/>
        <w:sectPr w:rsidR="00BB6F1F" w:rsidSect="00AC68FF">
          <w:type w:val="continuous"/>
          <w:pgSz w:w="11907" w:h="16839" w:code="9"/>
          <w:pgMar w:top="1134" w:right="1134" w:bottom="1134" w:left="1134" w:header="624" w:footer="567" w:gutter="0"/>
          <w:cols w:space="567"/>
          <w:docGrid w:linePitch="360"/>
        </w:sectPr>
      </w:pPr>
    </w:p>
    <w:p w:rsidR="00BB6F1F" w:rsidRDefault="00BB6F1F" w:rsidP="00622C6F">
      <w:pPr>
        <w:spacing w:before="240"/>
      </w:pPr>
      <w:r>
        <w:lastRenderedPageBreak/>
        <w:t xml:space="preserve">Revenue from the </w:t>
      </w:r>
      <w:r w:rsidRPr="00DE47D7">
        <w:rPr>
          <w:b/>
        </w:rPr>
        <w:t>provision of services</w:t>
      </w:r>
      <w:r>
        <w:t xml:space="preserve"> is recognised by reference to the stage of completion of the services being performed. The revenue is recognised when:</w:t>
      </w:r>
    </w:p>
    <w:p w:rsidR="00BB6F1F" w:rsidRDefault="00BB6F1F" w:rsidP="00AC68FF">
      <w:pPr>
        <w:pStyle w:val="ListBullet"/>
      </w:pPr>
      <w:r>
        <w:t>the amount of the revenue, stage of completion and transaction costs incurred can be reliably measured; and</w:t>
      </w:r>
    </w:p>
    <w:p w:rsidR="00BB6F1F" w:rsidRDefault="00BB6F1F" w:rsidP="00AC68FF">
      <w:pPr>
        <w:pStyle w:val="ListBullet"/>
      </w:pPr>
      <w:r>
        <w:t>it is probable that the economic benefits associated with the transaction will flow to the entity.</w:t>
      </w:r>
    </w:p>
    <w:p w:rsidR="00BB6F1F" w:rsidRDefault="00BB6F1F" w:rsidP="00AC68FF">
      <w:r>
        <w:t>Under this method, revenue is recognised with reference to labour hours supplied or to labour hours supplied as a percentage of total services to be performed in each annual reporting period.</w:t>
      </w:r>
    </w:p>
    <w:p w:rsidR="00BB6F1F" w:rsidRDefault="00BB6F1F" w:rsidP="00622C6F">
      <w:pPr>
        <w:spacing w:before="240"/>
      </w:pPr>
      <w:r>
        <w:br w:type="column"/>
      </w:r>
      <w:r>
        <w:lastRenderedPageBreak/>
        <w:t xml:space="preserve">Revenue from the </w:t>
      </w:r>
      <w:r w:rsidRPr="00DE47D7">
        <w:rPr>
          <w:b/>
        </w:rPr>
        <w:t>sale of goods</w:t>
      </w:r>
      <w:r>
        <w:t xml:space="preserve"> is recognised when:</w:t>
      </w:r>
    </w:p>
    <w:p w:rsidR="00BB6F1F" w:rsidRDefault="00BB6F1F" w:rsidP="00AC68FF">
      <w:pPr>
        <w:pStyle w:val="ListBullet"/>
      </w:pPr>
      <w:r>
        <w:t>the State no longer has any of the significant risks and rewards of ownership of the goods transferred to the buyer;</w:t>
      </w:r>
    </w:p>
    <w:p w:rsidR="00BB6F1F" w:rsidRDefault="00BB6F1F" w:rsidP="00AC68FF">
      <w:pPr>
        <w:pStyle w:val="ListBullet"/>
      </w:pPr>
      <w:r>
        <w:t>the State no longer has continuing managerial involvement to the degree usually associated with ownership, nor effective control over the goods sold;</w:t>
      </w:r>
    </w:p>
    <w:p w:rsidR="00BB6F1F" w:rsidRDefault="00BB6F1F" w:rsidP="00AC68FF">
      <w:pPr>
        <w:pStyle w:val="ListBullet"/>
      </w:pPr>
      <w:r>
        <w:t>the amount of revenue, and the costs incurred or to be incurred in respect of the transactions, can be reliably measured; and</w:t>
      </w:r>
    </w:p>
    <w:p w:rsidR="00BB6F1F" w:rsidRDefault="00BB6F1F" w:rsidP="00AC68FF">
      <w:pPr>
        <w:pStyle w:val="ListBullet"/>
      </w:pPr>
      <w:r>
        <w:t>it is probable that the economic benefits associated with the transaction will flow to the State.</w:t>
      </w:r>
    </w:p>
    <w:p w:rsidR="00BB6F1F" w:rsidRDefault="00BB6F1F" w:rsidP="00AC68FF">
      <w:r w:rsidRPr="00DE47D7">
        <w:rPr>
          <w:b/>
        </w:rPr>
        <w:t>Regulatory fees</w:t>
      </w:r>
      <w:r>
        <w:t xml:space="preserve"> are recognised at the time of billing. </w:t>
      </w:r>
    </w:p>
    <w:p w:rsidR="00BB6F1F" w:rsidRDefault="00BB6F1F" w:rsidP="00AC68FF">
      <w:r w:rsidRPr="00DE47D7">
        <w:rPr>
          <w:b/>
        </w:rPr>
        <w:lastRenderedPageBreak/>
        <w:t>Capital asset charge</w:t>
      </w:r>
      <w:r>
        <w:t xml:space="preserve"> is a levy on controlled non</w:t>
      </w:r>
      <w:r>
        <w:noBreakHyphen/>
        <w:t xml:space="preserve">current physical assets of State government departments and some public non-financial corporations. This represents the opportunity cost of capital used in service delivery. The charge is </w:t>
      </w:r>
      <w:r>
        <w:lastRenderedPageBreak/>
        <w:t xml:space="preserve">calculated on the budgeted carrying amount of applicable non-financial physical assets. At a general government level, capital asset charge is levied on the PNFC entities. </w:t>
      </w:r>
    </w:p>
    <w:p w:rsidR="00BB6F1F" w:rsidRDefault="00BB6F1F" w:rsidP="00BB6F1F">
      <w:pPr>
        <w:pStyle w:val="Heading2"/>
        <w:numPr>
          <w:ilvl w:val="1"/>
          <w:numId w:val="24"/>
        </w:numPr>
        <w:sectPr w:rsidR="00BB6F1F" w:rsidSect="00AC68FF">
          <w:type w:val="continuous"/>
          <w:pgSz w:w="11907" w:h="16839" w:code="9"/>
          <w:pgMar w:top="1134" w:right="1134" w:bottom="1134" w:left="1134" w:header="624" w:footer="567" w:gutter="0"/>
          <w:cols w:num="2" w:space="567"/>
          <w:docGrid w:linePitch="360"/>
        </w:sectPr>
      </w:pPr>
    </w:p>
    <w:p w:rsidR="00BB6F1F" w:rsidRDefault="00BB6F1F" w:rsidP="00BB6F1F">
      <w:pPr>
        <w:pStyle w:val="Heading2"/>
        <w:numPr>
          <w:ilvl w:val="1"/>
          <w:numId w:val="24"/>
        </w:numPr>
      </w:pPr>
      <w:bookmarkStart w:id="19" w:name="_Toc492984792"/>
      <w:r w:rsidRPr="00DE47D7">
        <w:lastRenderedPageBreak/>
        <w:t>Grant revenue</w:t>
      </w:r>
      <w:bookmarkEnd w:id="19"/>
    </w:p>
    <w:p w:rsidR="00BB6F1F" w:rsidRPr="005A36FE" w:rsidRDefault="00BB6F1F" w:rsidP="00AC68FF">
      <w:pPr>
        <w:pStyle w:val="TableUnits"/>
        <w:rPr>
          <w:bCs/>
          <w:lang w:val="en-US"/>
        </w:rPr>
      </w:pPr>
      <w:r w:rsidRPr="00DE47D7">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5A36FE">
              <w:rPr>
                <w:rFonts w:eastAsiaTheme="minorEastAsia" w:cs="Calibri"/>
                <w:iCs/>
                <w:color w:val="FFFFFF"/>
                <w:szCs w:val="18"/>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General purpose grants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13 619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12 960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13 619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12 960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Specific purpose grants for on-passing</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3 853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3 097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3 853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3 097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Specific purpose grants</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9 873</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9 176</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9 871</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9 169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Total</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27 345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25 234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27 343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25 226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Other contributions and grants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180</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6"/>
                <w:lang w:eastAsia="en-AU"/>
              </w:rPr>
            </w:pPr>
            <w:r w:rsidRPr="005A36FE">
              <w:rPr>
                <w:rFonts w:eastAsiaTheme="minorEastAsia" w:cs="Calibri"/>
                <w:bCs/>
                <w:color w:val="000000"/>
                <w:szCs w:val="16"/>
                <w:lang w:eastAsia="en-AU"/>
              </w:rPr>
              <w:t>Total grant revenue</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27 350</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25 241</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27 542</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25 406</w:t>
            </w:r>
          </w:p>
        </w:tc>
      </w:tr>
    </w:tbl>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AC68FF"/>
    <w:p w:rsidR="00BB6F1F" w:rsidRDefault="00BB6F1F" w:rsidP="00AC68FF">
      <w:r>
        <w:t>Grants mainly comprise contributions from the Commonwealth to assist the State in meeting general or specific service delivery obligations, primarily for the purpose of aiding in the financing of the operations of the recipient, capital purposes and/or for on-passing to other recipients. Grants also include grants from other jurisdictions. Revenue from grants is recognised when the State obtains control over the contribution. This is generally when the cash is received.</w:t>
      </w:r>
    </w:p>
    <w:p w:rsidR="00BB6F1F" w:rsidRDefault="00BB6F1F" w:rsidP="00AC68FF">
      <w:r w:rsidRPr="00DE47D7">
        <w:rPr>
          <w:b/>
        </w:rPr>
        <w:t>Grant revenue</w:t>
      </w:r>
      <w:r>
        <w:t xml:space="preserve"> arises from transactions in which a party provides goods, services or labour, assets (or extinguishes a liability) to the State or general government sector without receiving approximately equal value in return. While grants to governments may provide some goods or services to the transferor, generally they do not give the transferor </w:t>
      </w:r>
    </w:p>
    <w:p w:rsidR="00BB6F1F" w:rsidRDefault="00BB6F1F" w:rsidP="00AC68FF">
      <w:r>
        <w:br w:type="column"/>
      </w:r>
    </w:p>
    <w:p w:rsidR="00BB6F1F" w:rsidRDefault="00BB6F1F" w:rsidP="00AC68FF">
      <w:r>
        <w:t>a claim to receive benefits directly of approximately equal value.</w:t>
      </w:r>
    </w:p>
    <w:p w:rsidR="00BB6F1F" w:rsidRDefault="00BB6F1F" w:rsidP="00AC68FF">
      <w:r>
        <w:t xml:space="preserve">For this reason, grants are referred to by the AAS as ‘involuntary transfers’ and are termed ‘non reciprocal’ transfers. </w:t>
      </w:r>
    </w:p>
    <w:p w:rsidR="00BB6F1F" w:rsidRDefault="00BB6F1F" w:rsidP="00AC68FF">
      <w:r>
        <w:t xml:space="preserve">Grants can be paid as </w:t>
      </w:r>
      <w:r w:rsidRPr="00DE47D7">
        <w:rPr>
          <w:b/>
        </w:rPr>
        <w:t>general purpose grants</w:t>
      </w:r>
      <w:r>
        <w:t xml:space="preserve">, which refers to grants that are not subject to conditions regarding their specific use. Alternatively, they may be paid as </w:t>
      </w:r>
      <w:r w:rsidRPr="00DE47D7">
        <w:rPr>
          <w:b/>
        </w:rPr>
        <w:t>specific purpose grants</w:t>
      </w:r>
      <w:r>
        <w:t xml:space="preserve">, which are paid for a particular purpose and/or have conditions attached regarding their use. </w:t>
      </w:r>
    </w:p>
    <w:p w:rsidR="00BB6F1F" w:rsidRDefault="00BB6F1F" w:rsidP="00AC68FF">
      <w:r>
        <w:rPr>
          <w:b/>
        </w:rPr>
        <w:t>Grants for on-</w:t>
      </w:r>
      <w:r w:rsidRPr="00DE47D7">
        <w:rPr>
          <w:b/>
        </w:rPr>
        <w:t>passing</w:t>
      </w:r>
      <w:r>
        <w:t xml:space="preserve"> are grants paid to one institutional sector (e.g. a state based general government entity) to be passed on to another institutional sector (e.g. local government or a private non-profit institution).</w:t>
      </w:r>
    </w:p>
    <w:p w:rsidR="00BB6F1F" w:rsidRDefault="00BB6F1F" w:rsidP="00BB6F1F">
      <w:pPr>
        <w:pStyle w:val="Heading2"/>
        <w:numPr>
          <w:ilvl w:val="1"/>
          <w:numId w:val="24"/>
        </w:numPr>
        <w:sectPr w:rsidR="00BB6F1F" w:rsidSect="00AC68FF">
          <w:type w:val="continuous"/>
          <w:pgSz w:w="11907" w:h="16839" w:code="9"/>
          <w:pgMar w:top="1134" w:right="1134" w:bottom="1134" w:left="1134" w:header="624" w:footer="567" w:gutter="0"/>
          <w:cols w:num="2" w:space="567"/>
          <w:docGrid w:linePitch="360"/>
        </w:sectPr>
      </w:pPr>
    </w:p>
    <w:p w:rsidR="00BB6F1F" w:rsidRDefault="00BB6F1F">
      <w:pPr>
        <w:keepLines w:val="0"/>
        <w:rPr>
          <w:rFonts w:asciiTheme="majorHAnsi" w:eastAsiaTheme="majorEastAsia" w:hAnsiTheme="majorHAnsi" w:cstheme="majorBidi"/>
          <w:b/>
          <w:spacing w:val="-2"/>
          <w:sz w:val="26"/>
          <w:szCs w:val="26"/>
        </w:rPr>
      </w:pPr>
      <w:r>
        <w:lastRenderedPageBreak/>
        <w:br w:type="page"/>
      </w:r>
    </w:p>
    <w:p w:rsidR="00BB6F1F" w:rsidRDefault="00BB6F1F" w:rsidP="00BB6F1F">
      <w:pPr>
        <w:pStyle w:val="Heading2"/>
        <w:numPr>
          <w:ilvl w:val="1"/>
          <w:numId w:val="24"/>
        </w:numPr>
      </w:pPr>
      <w:bookmarkStart w:id="20" w:name="_Toc492984793"/>
      <w:r>
        <w:lastRenderedPageBreak/>
        <w:t>Other revenue</w:t>
      </w:r>
      <w:bookmarkEnd w:id="20"/>
    </w:p>
    <w:p w:rsidR="00BB6F1F" w:rsidRPr="005A36FE" w:rsidRDefault="00BB6F1F" w:rsidP="00AC68FF">
      <w:pPr>
        <w:pStyle w:val="TableUnits"/>
        <w:rPr>
          <w:bCs/>
          <w:lang w:val="en-US"/>
        </w:rPr>
      </w:pPr>
      <w:r>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5A36FE">
              <w:rPr>
                <w:rFonts w:eastAsiaTheme="minorEastAsia" w:cs="Calibri"/>
                <w:iCs/>
                <w:color w:val="FFFFFF"/>
                <w:szCs w:val="18"/>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Fair value of assets received free of charge or for nominal consideration</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470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362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246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Fines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733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781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730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776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Royalties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Donations and gifts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392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343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Other non-property rental</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Other revenue – Education</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603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553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603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553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Other revenue – Health</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Other miscellaneous revenue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972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1 607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591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1 241</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8"/>
                <w:lang w:eastAsia="en-AU"/>
              </w:rPr>
            </w:pPr>
            <w:r w:rsidRPr="005A36FE">
              <w:rPr>
                <w:rFonts w:eastAsiaTheme="minorEastAsia" w:cs="Calibri"/>
                <w:bCs/>
                <w:color w:val="000000"/>
                <w:szCs w:val="18"/>
                <w:lang w:eastAsia="en-AU"/>
              </w:rPr>
              <w:t>Total other revenue</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3 406</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3 835</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2 645</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3 108</w:t>
            </w:r>
          </w:p>
        </w:tc>
      </w:tr>
    </w:tbl>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AC68FF"/>
    <w:p w:rsidR="00BB6F1F" w:rsidRDefault="00BB6F1F" w:rsidP="00AC68FF">
      <w:r>
        <w:t>Other revenues come from a variety of miscellaneous sources, as the above table summarises.</w:t>
      </w:r>
    </w:p>
    <w:p w:rsidR="00BB6F1F" w:rsidRDefault="00BB6F1F" w:rsidP="00AC68FF">
      <w:r w:rsidRPr="00DE47D7">
        <w:rPr>
          <w:b/>
        </w:rPr>
        <w:t xml:space="preserve">Resources received free of charge or for nominal consideration </w:t>
      </w:r>
      <w:r>
        <w:t xml:space="preserve">are recognised at fair value when the State obtains control over them, irrespective of whether these contributions are subject to restrictions or conditions over their use. </w:t>
      </w:r>
    </w:p>
    <w:p w:rsidR="00BB6F1F" w:rsidRDefault="00BB6F1F" w:rsidP="00AC68FF">
      <w:r>
        <w:t>Contributions in the form of services are only recognised when a fair value can be reliably determined and the services would have been purchased if not received as a donation.</w:t>
      </w:r>
    </w:p>
    <w:p w:rsidR="00BB6F1F" w:rsidRDefault="00BB6F1F" w:rsidP="00AC68FF">
      <w:r w:rsidRPr="00DE47D7">
        <w:rPr>
          <w:b/>
        </w:rPr>
        <w:t>Fines</w:t>
      </w:r>
      <w:r>
        <w:t xml:space="preserve"> are collected from road safety cameras, toll road evasions, police on the spot, court and other (non-traffic) statutory infringements. Revenue is recognised at the time the notice of the fine is issued.</w:t>
      </w:r>
    </w:p>
    <w:p w:rsidR="00BB6F1F" w:rsidRDefault="00BB6F1F" w:rsidP="00AC68FF">
      <w:r>
        <w:br w:type="column"/>
      </w:r>
    </w:p>
    <w:p w:rsidR="00BB6F1F" w:rsidRPr="00D54CB5" w:rsidRDefault="00BB6F1F" w:rsidP="00AC68FF">
      <w:r w:rsidRPr="0074627F">
        <w:rPr>
          <w:b/>
        </w:rPr>
        <w:t>Other education revenue</w:t>
      </w:r>
      <w:r>
        <w:t xml:space="preserve"> mainly comprises </w:t>
      </w:r>
      <w:r w:rsidRPr="00D54CB5">
        <w:t>locally raised funds from school fetes, fundraising events, and voluntary contributions made by pare</w:t>
      </w:r>
      <w:r>
        <w:t>nts, recognised on a cash basis.</w:t>
      </w:r>
    </w:p>
    <w:p w:rsidR="00BB6F1F" w:rsidRPr="00D54CB5" w:rsidRDefault="00BB6F1F" w:rsidP="00AC68FF">
      <w:r w:rsidRPr="0074627F">
        <w:rPr>
          <w:b/>
        </w:rPr>
        <w:t>Other health revenue</w:t>
      </w:r>
      <w:r>
        <w:t xml:space="preserve"> mainly comprises </w:t>
      </w:r>
      <w:r w:rsidRPr="00D54CB5">
        <w:t>research funding from non-government organisations and non-salary cost recovery from external organisations in the health sector.</w:t>
      </w:r>
    </w:p>
    <w:p w:rsidR="00BB6F1F" w:rsidRPr="00D54CB5" w:rsidRDefault="00BB6F1F" w:rsidP="00AC68FF">
      <w:r w:rsidRPr="00335042">
        <w:rPr>
          <w:b/>
        </w:rPr>
        <w:t>Other miscellaneous revenue</w:t>
      </w:r>
      <w:r>
        <w:t xml:space="preserve"> i</w:t>
      </w:r>
      <w:r w:rsidRPr="00335042">
        <w:t xml:space="preserve">ncludes all other </w:t>
      </w:r>
      <w:r>
        <w:t>revenue from various sources</w:t>
      </w:r>
      <w:r w:rsidRPr="00335042">
        <w:t xml:space="preserve"> </w:t>
      </w:r>
      <w:r>
        <w:t>which are not able to be classified elsewhere. This includes the one-off revenue from Tatts in 2015-16, following the decision by the High Court of Australia to overturn the Court of Appeal’s decision relating to Tatts’ ‘Gambling Licences’ proceedings.</w:t>
      </w:r>
    </w:p>
    <w:p w:rsidR="00BB6F1F" w:rsidRDefault="00BB6F1F" w:rsidP="00AC68FF"/>
    <w:p w:rsidR="00BB6F1F" w:rsidRDefault="00BB6F1F" w:rsidP="00AC68FF"/>
    <w:p w:rsidR="00BB6F1F" w:rsidRDefault="00BB6F1F" w:rsidP="00AC68FF">
      <w:pPr>
        <w:sectPr w:rsidR="00BB6F1F" w:rsidSect="00AC68FF">
          <w:type w:val="continuous"/>
          <w:pgSz w:w="11907" w:h="16839" w:code="9"/>
          <w:pgMar w:top="1134" w:right="1134" w:bottom="1134" w:left="1134" w:header="624" w:footer="567" w:gutter="0"/>
          <w:cols w:num="2" w:space="567"/>
          <w:docGrid w:linePitch="360"/>
        </w:sectPr>
      </w:pPr>
    </w:p>
    <w:p w:rsidR="00BB6F1F" w:rsidRDefault="00BB6F1F" w:rsidP="00AC68FF"/>
    <w:p w:rsidR="00BB6F1F" w:rsidRDefault="00BB6F1F" w:rsidP="00AC68FF"/>
    <w:p w:rsidR="00BB6F1F" w:rsidRDefault="00BB6F1F" w:rsidP="00AC68FF"/>
    <w:bookmarkEnd w:id="14"/>
    <w:p w:rsidR="00BB6F1F" w:rsidRDefault="00BB6F1F" w:rsidP="00AC68FF"/>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BB6F1F">
      <w:pPr>
        <w:pStyle w:val="Heading1"/>
        <w:numPr>
          <w:ilvl w:val="0"/>
          <w:numId w:val="24"/>
        </w:numPr>
        <w:pBdr>
          <w:bottom w:val="none" w:sz="0" w:space="0" w:color="auto"/>
        </w:pBdr>
      </w:pPr>
      <w:bookmarkStart w:id="21" w:name="_Toc492985874"/>
      <w:bookmarkStart w:id="22" w:name="Section_03"/>
      <w:r w:rsidRPr="006F652F">
        <w:lastRenderedPageBreak/>
        <w:t>How</w:t>
      </w:r>
      <w:r>
        <w:t xml:space="preserve"> funds are spent</w:t>
      </w:r>
      <w:bookmarkEnd w:id="21"/>
    </w:p>
    <w:p w:rsidR="00BB6F1F" w:rsidRDefault="00BB6F1F" w:rsidP="00AC68FF">
      <w:pPr>
        <w:sectPr w:rsidR="00BB6F1F" w:rsidSect="00AC68FF">
          <w:headerReference w:type="default" r:id="rId58"/>
          <w:pgSz w:w="11907" w:h="16839" w:code="9"/>
          <w:pgMar w:top="1134" w:right="1134" w:bottom="1134" w:left="1134" w:header="624" w:footer="567" w:gutter="0"/>
          <w:cols w:sep="1" w:space="567"/>
          <w:docGrid w:linePitch="360"/>
        </w:sectPr>
      </w:pPr>
    </w:p>
    <w:p w:rsidR="00BB6F1F" w:rsidRDefault="00BB6F1F" w:rsidP="00AC68FF">
      <w:pPr>
        <w:pStyle w:val="Heading30"/>
      </w:pPr>
      <w:r>
        <w:lastRenderedPageBreak/>
        <w:t xml:space="preserve">Introduction </w:t>
      </w:r>
    </w:p>
    <w:p w:rsidR="00BB6F1F" w:rsidRDefault="00BB6F1F" w:rsidP="00AC68FF">
      <w:r>
        <w:t xml:space="preserve">This section accounts for the major components of expenditure incurred by the State towards the operating activities (expenses from transactions) and on capital or infrastructure projects during the year, as well as any related obligations outstanding as at </w:t>
      </w:r>
      <w:r>
        <w:br/>
        <w:t>30 June 2017.</w:t>
      </w:r>
    </w:p>
    <w:p w:rsidR="00BB6F1F" w:rsidRDefault="00BB6F1F" w:rsidP="00AC68FF">
      <w:pPr>
        <w:pStyle w:val="Heading30"/>
      </w:pPr>
      <w:r>
        <w:br w:type="column"/>
      </w:r>
      <w:r>
        <w:lastRenderedPageBreak/>
        <w:t>Structure</w:t>
      </w:r>
    </w:p>
    <w:p w:rsidR="00BB6F1F" w:rsidRDefault="00BB6F1F">
      <w:pPr>
        <w:pStyle w:val="TOC9"/>
        <w:rPr>
          <w:rFonts w:eastAsiaTheme="minorEastAsia"/>
          <w:noProof/>
          <w:spacing w:val="0"/>
          <w:lang w:eastAsia="en-AU"/>
        </w:rPr>
      </w:pPr>
      <w:r>
        <w:fldChar w:fldCharType="begin"/>
      </w:r>
      <w:r>
        <w:instrText xml:space="preserve"> TOC \h \z \t "Heading 2 (#),9" \b Section_03 \* MERGEFORMAT </w:instrText>
      </w:r>
      <w:r>
        <w:fldChar w:fldCharType="separate"/>
      </w:r>
      <w:hyperlink w:anchor="_Toc492984821" w:history="1">
        <w:r w:rsidRPr="00C62F0F">
          <w:rPr>
            <w:rStyle w:val="Hyperlink"/>
            <w:noProof/>
          </w:rPr>
          <w:t>3.1</w:t>
        </w:r>
        <w:r>
          <w:rPr>
            <w:rFonts w:eastAsiaTheme="minorEastAsia"/>
            <w:noProof/>
            <w:spacing w:val="0"/>
            <w:lang w:eastAsia="en-AU"/>
          </w:rPr>
          <w:tab/>
        </w:r>
        <w:r w:rsidRPr="00C62F0F">
          <w:rPr>
            <w:rStyle w:val="Hyperlink"/>
            <w:noProof/>
          </w:rPr>
          <w:t>Employee expenses and provision for outstanding employee benefits</w:t>
        </w:r>
        <w:r>
          <w:rPr>
            <w:noProof/>
            <w:webHidden/>
          </w:rPr>
          <w:tab/>
        </w:r>
        <w:r>
          <w:rPr>
            <w:noProof/>
            <w:webHidden/>
          </w:rPr>
          <w:fldChar w:fldCharType="begin"/>
        </w:r>
        <w:r>
          <w:rPr>
            <w:noProof/>
            <w:webHidden/>
          </w:rPr>
          <w:instrText xml:space="preserve"> PAGEREF _Toc492984821 \h </w:instrText>
        </w:r>
        <w:r>
          <w:rPr>
            <w:noProof/>
            <w:webHidden/>
          </w:rPr>
        </w:r>
        <w:r>
          <w:rPr>
            <w:noProof/>
            <w:webHidden/>
          </w:rPr>
          <w:fldChar w:fldCharType="separate"/>
        </w:r>
        <w:r w:rsidR="002C7F26">
          <w:rPr>
            <w:noProof/>
            <w:webHidden/>
          </w:rPr>
          <w:t>41</w:t>
        </w:r>
        <w:r>
          <w:rPr>
            <w:noProof/>
            <w:webHidden/>
          </w:rPr>
          <w:fldChar w:fldCharType="end"/>
        </w:r>
      </w:hyperlink>
    </w:p>
    <w:p w:rsidR="00BB6F1F" w:rsidRDefault="00E73501">
      <w:pPr>
        <w:pStyle w:val="TOC9"/>
        <w:rPr>
          <w:rFonts w:eastAsiaTheme="minorEastAsia"/>
          <w:noProof/>
          <w:spacing w:val="0"/>
          <w:lang w:eastAsia="en-AU"/>
        </w:rPr>
      </w:pPr>
      <w:hyperlink w:anchor="_Toc492984822" w:history="1">
        <w:r w:rsidR="00BB6F1F" w:rsidRPr="00C62F0F">
          <w:rPr>
            <w:rStyle w:val="Hyperlink"/>
            <w:noProof/>
          </w:rPr>
          <w:t>3.2</w:t>
        </w:r>
        <w:r w:rsidR="00BB6F1F">
          <w:rPr>
            <w:rFonts w:eastAsiaTheme="minorEastAsia"/>
            <w:noProof/>
            <w:spacing w:val="0"/>
            <w:lang w:eastAsia="en-AU"/>
          </w:rPr>
          <w:tab/>
        </w:r>
        <w:r w:rsidR="00BB6F1F" w:rsidRPr="00C62F0F">
          <w:rPr>
            <w:rStyle w:val="Hyperlink"/>
            <w:noProof/>
          </w:rPr>
          <w:t>Superannuation interest expense and other superannuation expenses</w:t>
        </w:r>
        <w:r w:rsidR="00BB6F1F">
          <w:rPr>
            <w:noProof/>
            <w:webHidden/>
          </w:rPr>
          <w:tab/>
        </w:r>
        <w:r w:rsidR="00BB6F1F">
          <w:rPr>
            <w:noProof/>
            <w:webHidden/>
          </w:rPr>
          <w:fldChar w:fldCharType="begin"/>
        </w:r>
        <w:r w:rsidR="00BB6F1F">
          <w:rPr>
            <w:noProof/>
            <w:webHidden/>
          </w:rPr>
          <w:instrText xml:space="preserve"> PAGEREF _Toc492984822 \h </w:instrText>
        </w:r>
        <w:r w:rsidR="00BB6F1F">
          <w:rPr>
            <w:noProof/>
            <w:webHidden/>
          </w:rPr>
        </w:r>
        <w:r w:rsidR="00BB6F1F">
          <w:rPr>
            <w:noProof/>
            <w:webHidden/>
          </w:rPr>
          <w:fldChar w:fldCharType="separate"/>
        </w:r>
        <w:r w:rsidR="002C7F26">
          <w:rPr>
            <w:noProof/>
            <w:webHidden/>
          </w:rPr>
          <w:t>43</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823" w:history="1">
        <w:r w:rsidR="00BB6F1F" w:rsidRPr="00C62F0F">
          <w:rPr>
            <w:rStyle w:val="Hyperlink"/>
            <w:noProof/>
          </w:rPr>
          <w:t>3.3</w:t>
        </w:r>
        <w:r w:rsidR="00BB6F1F">
          <w:rPr>
            <w:rFonts w:eastAsiaTheme="minorEastAsia"/>
            <w:noProof/>
            <w:spacing w:val="0"/>
            <w:lang w:eastAsia="en-AU"/>
          </w:rPr>
          <w:tab/>
        </w:r>
        <w:r w:rsidR="00BB6F1F" w:rsidRPr="00C62F0F">
          <w:rPr>
            <w:rStyle w:val="Hyperlink"/>
            <w:noProof/>
          </w:rPr>
          <w:t>Grant expense</w:t>
        </w:r>
        <w:r w:rsidR="00BB6F1F">
          <w:rPr>
            <w:noProof/>
            <w:webHidden/>
          </w:rPr>
          <w:tab/>
        </w:r>
        <w:r w:rsidR="00BB6F1F">
          <w:rPr>
            <w:noProof/>
            <w:webHidden/>
          </w:rPr>
          <w:fldChar w:fldCharType="begin"/>
        </w:r>
        <w:r w:rsidR="00BB6F1F">
          <w:rPr>
            <w:noProof/>
            <w:webHidden/>
          </w:rPr>
          <w:instrText xml:space="preserve"> PAGEREF _Toc492984823 \h </w:instrText>
        </w:r>
        <w:r w:rsidR="00BB6F1F">
          <w:rPr>
            <w:noProof/>
            <w:webHidden/>
          </w:rPr>
        </w:r>
        <w:r w:rsidR="00BB6F1F">
          <w:rPr>
            <w:noProof/>
            <w:webHidden/>
          </w:rPr>
          <w:fldChar w:fldCharType="separate"/>
        </w:r>
        <w:r w:rsidR="002C7F26">
          <w:rPr>
            <w:noProof/>
            <w:webHidden/>
          </w:rPr>
          <w:t>44</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824" w:history="1">
        <w:r w:rsidR="00BB6F1F" w:rsidRPr="00C62F0F">
          <w:rPr>
            <w:rStyle w:val="Hyperlink"/>
            <w:bCs/>
            <w:noProof/>
            <w:lang w:val="en-US"/>
          </w:rPr>
          <w:t>3.4</w:t>
        </w:r>
        <w:r w:rsidR="00BB6F1F">
          <w:rPr>
            <w:rFonts w:eastAsiaTheme="minorEastAsia"/>
            <w:noProof/>
            <w:spacing w:val="0"/>
            <w:lang w:eastAsia="en-AU"/>
          </w:rPr>
          <w:tab/>
        </w:r>
        <w:r w:rsidR="00BB6F1F" w:rsidRPr="00C62F0F">
          <w:rPr>
            <w:rStyle w:val="Hyperlink"/>
            <w:noProof/>
          </w:rPr>
          <w:t>Other operating expenses</w:t>
        </w:r>
        <w:r w:rsidR="00BB6F1F">
          <w:rPr>
            <w:noProof/>
            <w:webHidden/>
          </w:rPr>
          <w:tab/>
        </w:r>
        <w:r w:rsidR="00BB6F1F">
          <w:rPr>
            <w:noProof/>
            <w:webHidden/>
          </w:rPr>
          <w:fldChar w:fldCharType="begin"/>
        </w:r>
        <w:r w:rsidR="00BB6F1F">
          <w:rPr>
            <w:noProof/>
            <w:webHidden/>
          </w:rPr>
          <w:instrText xml:space="preserve"> PAGEREF _Toc492984824 \h </w:instrText>
        </w:r>
        <w:r w:rsidR="00BB6F1F">
          <w:rPr>
            <w:noProof/>
            <w:webHidden/>
          </w:rPr>
        </w:r>
        <w:r w:rsidR="00BB6F1F">
          <w:rPr>
            <w:noProof/>
            <w:webHidden/>
          </w:rPr>
          <w:fldChar w:fldCharType="separate"/>
        </w:r>
        <w:r w:rsidR="002C7F26">
          <w:rPr>
            <w:noProof/>
            <w:webHidden/>
          </w:rPr>
          <w:t>44</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825" w:history="1">
        <w:r w:rsidR="00BB6F1F" w:rsidRPr="00C62F0F">
          <w:rPr>
            <w:rStyle w:val="Hyperlink"/>
            <w:noProof/>
          </w:rPr>
          <w:t>3.5</w:t>
        </w:r>
        <w:r w:rsidR="00BB6F1F">
          <w:rPr>
            <w:rFonts w:eastAsiaTheme="minorEastAsia"/>
            <w:noProof/>
            <w:spacing w:val="0"/>
            <w:lang w:eastAsia="en-AU"/>
          </w:rPr>
          <w:tab/>
        </w:r>
        <w:r w:rsidR="00BB6F1F" w:rsidRPr="00C62F0F">
          <w:rPr>
            <w:rStyle w:val="Hyperlink"/>
            <w:noProof/>
          </w:rPr>
          <w:t>Total operating expenses and purchases of non-financial assets by department</w:t>
        </w:r>
        <w:r w:rsidR="00BB6F1F">
          <w:rPr>
            <w:noProof/>
            <w:webHidden/>
          </w:rPr>
          <w:tab/>
        </w:r>
        <w:r w:rsidR="00BB6F1F">
          <w:rPr>
            <w:noProof/>
            <w:webHidden/>
          </w:rPr>
          <w:fldChar w:fldCharType="begin"/>
        </w:r>
        <w:r w:rsidR="00BB6F1F">
          <w:rPr>
            <w:noProof/>
            <w:webHidden/>
          </w:rPr>
          <w:instrText xml:space="preserve"> PAGEREF _Toc492984825 \h </w:instrText>
        </w:r>
        <w:r w:rsidR="00BB6F1F">
          <w:rPr>
            <w:noProof/>
            <w:webHidden/>
          </w:rPr>
        </w:r>
        <w:r w:rsidR="00BB6F1F">
          <w:rPr>
            <w:noProof/>
            <w:webHidden/>
          </w:rPr>
          <w:fldChar w:fldCharType="separate"/>
        </w:r>
        <w:r w:rsidR="002C7F26">
          <w:rPr>
            <w:noProof/>
            <w:webHidden/>
          </w:rPr>
          <w:t>46</w:t>
        </w:r>
        <w:r w:rsidR="00BB6F1F">
          <w:rPr>
            <w:noProof/>
            <w:webHidden/>
          </w:rPr>
          <w:fldChar w:fldCharType="end"/>
        </w:r>
      </w:hyperlink>
    </w:p>
    <w:p w:rsidR="00BB6F1F" w:rsidRPr="006F4C92" w:rsidRDefault="00E73501" w:rsidP="00AC68FF">
      <w:pPr>
        <w:pStyle w:val="TOC9"/>
      </w:pPr>
      <w:hyperlink w:anchor="_Toc492984826" w:history="1">
        <w:r w:rsidR="00BB6F1F" w:rsidRPr="00C62F0F">
          <w:rPr>
            <w:rStyle w:val="Hyperlink"/>
            <w:noProof/>
          </w:rPr>
          <w:t>3.6</w:t>
        </w:r>
        <w:r w:rsidR="00BB6F1F">
          <w:rPr>
            <w:rFonts w:eastAsiaTheme="minorEastAsia"/>
            <w:noProof/>
            <w:spacing w:val="0"/>
            <w:lang w:eastAsia="en-AU"/>
          </w:rPr>
          <w:tab/>
        </w:r>
        <w:r w:rsidR="00BB6F1F" w:rsidRPr="00C62F0F">
          <w:rPr>
            <w:rStyle w:val="Hyperlink"/>
            <w:noProof/>
          </w:rPr>
          <w:t>Government purpose classification disclosure</w:t>
        </w:r>
        <w:r w:rsidR="00BB6F1F">
          <w:rPr>
            <w:noProof/>
            <w:webHidden/>
          </w:rPr>
          <w:tab/>
        </w:r>
        <w:r w:rsidR="00BB6F1F">
          <w:rPr>
            <w:noProof/>
            <w:webHidden/>
          </w:rPr>
          <w:fldChar w:fldCharType="begin"/>
        </w:r>
        <w:r w:rsidR="00BB6F1F">
          <w:rPr>
            <w:noProof/>
            <w:webHidden/>
          </w:rPr>
          <w:instrText xml:space="preserve"> PAGEREF _Toc492984826 \h </w:instrText>
        </w:r>
        <w:r w:rsidR="00BB6F1F">
          <w:rPr>
            <w:noProof/>
            <w:webHidden/>
          </w:rPr>
        </w:r>
        <w:r w:rsidR="00BB6F1F">
          <w:rPr>
            <w:noProof/>
            <w:webHidden/>
          </w:rPr>
          <w:fldChar w:fldCharType="separate"/>
        </w:r>
        <w:r w:rsidR="002C7F26">
          <w:rPr>
            <w:noProof/>
            <w:webHidden/>
          </w:rPr>
          <w:t>46</w:t>
        </w:r>
        <w:r w:rsidR="00BB6F1F">
          <w:rPr>
            <w:noProof/>
            <w:webHidden/>
          </w:rPr>
          <w:fldChar w:fldCharType="end"/>
        </w:r>
      </w:hyperlink>
      <w:r w:rsidR="00BB6F1F">
        <w:fldChar w:fldCharType="end"/>
      </w:r>
    </w:p>
    <w:p w:rsidR="00BB6F1F" w:rsidRDefault="00BB6F1F" w:rsidP="00AC68FF">
      <w:pPr>
        <w:sectPr w:rsidR="00BB6F1F" w:rsidSect="00AC68FF">
          <w:type w:val="continuous"/>
          <w:pgSz w:w="11907" w:h="16839" w:code="9"/>
          <w:pgMar w:top="1134" w:right="1134" w:bottom="1134" w:left="1134" w:header="624" w:footer="567" w:gutter="0"/>
          <w:cols w:num="2" w:space="567"/>
          <w:docGrid w:linePitch="360"/>
        </w:sectPr>
      </w:pPr>
    </w:p>
    <w:p w:rsidR="00BB6F1F" w:rsidRPr="00A22419" w:rsidRDefault="00BB6F1F" w:rsidP="00A22419">
      <w:pPr>
        <w:pStyle w:val="Heading2"/>
      </w:pPr>
      <w:bookmarkStart w:id="23" w:name="_Toc492984821"/>
      <w:r w:rsidRPr="00A22419">
        <w:lastRenderedPageBreak/>
        <w:t>Employee expenses and provision for outstanding employee benefits</w:t>
      </w:r>
      <w:bookmarkEnd w:id="23"/>
    </w:p>
    <w:p w:rsidR="00BB6F1F" w:rsidRPr="00A22419" w:rsidRDefault="00BB6F1F" w:rsidP="00A22419">
      <w:pPr>
        <w:pStyle w:val="Heading2"/>
        <w:sectPr w:rsidR="00BB6F1F" w:rsidRPr="00A22419" w:rsidSect="00AC68FF">
          <w:type w:val="continuous"/>
          <w:pgSz w:w="11907" w:h="16839" w:code="9"/>
          <w:pgMar w:top="1134" w:right="1134" w:bottom="1134" w:left="1134" w:header="624" w:footer="567" w:gutter="0"/>
          <w:cols w:sep="1" w:space="567"/>
          <w:docGrid w:linePitch="360"/>
        </w:sectPr>
      </w:pPr>
    </w:p>
    <w:p w:rsidR="00BB6F1F" w:rsidRDefault="00BB6F1F" w:rsidP="00AC68FF">
      <w:pPr>
        <w:pStyle w:val="Heading30"/>
      </w:pPr>
      <w:r>
        <w:lastRenderedPageBreak/>
        <w:t>Employee expenses (operating statement)</w:t>
      </w:r>
    </w:p>
    <w:p w:rsidR="00BB6F1F" w:rsidRPr="0004589E" w:rsidRDefault="00BB6F1F" w:rsidP="00AC68FF">
      <w:pPr>
        <w:rPr>
          <w:spacing w:val="-2"/>
        </w:rPr>
      </w:pPr>
      <w:r w:rsidRPr="0004589E">
        <w:rPr>
          <w:spacing w:val="-2"/>
        </w:rPr>
        <w:t xml:space="preserve">Employee expenses in the operating statement are a major component of operating costs and include all costs related to employment, including wages and salaries, fringe benefits tax, leave entitlements and redundancy payments. The majority of employee expenses in the operating statement are wages and salaries. </w:t>
      </w:r>
    </w:p>
    <w:p w:rsidR="00BB6F1F" w:rsidRDefault="00BB6F1F" w:rsidP="00AC68FF">
      <w:pPr>
        <w:pStyle w:val="Heading30"/>
      </w:pPr>
      <w:r>
        <w:lastRenderedPageBreak/>
        <w:t>Employee benefits (balance sheet)</w:t>
      </w:r>
    </w:p>
    <w:p w:rsidR="00BB6F1F" w:rsidRPr="00B50458" w:rsidRDefault="00BB6F1F" w:rsidP="00AC68FF">
      <w:pPr>
        <w:rPr>
          <w:spacing w:val="-4"/>
        </w:rPr>
        <w:sectPr w:rsidR="00BB6F1F" w:rsidRPr="00B50458" w:rsidSect="00AC68FF">
          <w:type w:val="continuous"/>
          <w:pgSz w:w="11907" w:h="16839" w:code="9"/>
          <w:pgMar w:top="1134" w:right="1134" w:bottom="1134" w:left="1134" w:header="624" w:footer="567" w:gutter="0"/>
          <w:cols w:num="2" w:space="567"/>
          <w:docGrid w:linePitch="360"/>
        </w:sectPr>
      </w:pPr>
      <w:r w:rsidRPr="00B50458">
        <w:rPr>
          <w:spacing w:val="-4"/>
        </w:rPr>
        <w:t>As part of annual operations, the State provides for benefits accruing to employees but payable in future periods in respect of wages and salaries, annual leave and long service leave, and related on-costs for services rendered to the reporting date. In measuring employee benefits, consideration is given to expected future wage and salary levels, experience of employee departures and periods of service. Expected future payments are discounted to reflect the estimated timing and amount of benefit payment. The table below shows the key components of this provision at 30 June.</w:t>
      </w:r>
    </w:p>
    <w:p w:rsidR="00BB6F1F" w:rsidRPr="005A36FE" w:rsidRDefault="00BB6F1F" w:rsidP="00AC68FF">
      <w:pPr>
        <w:pStyle w:val="TableHeading"/>
        <w:rPr>
          <w:bCs/>
          <w:lang w:val="en-US"/>
        </w:rPr>
      </w:pPr>
      <w:r>
        <w:lastRenderedPageBreak/>
        <w:t>Total provision for employee benefits and on-costs at 30 June</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5A36FE">
              <w:rPr>
                <w:rFonts w:eastAsiaTheme="minorEastAsia" w:cs="Calibri"/>
                <w:iCs/>
                <w:color w:val="FFFFFF"/>
                <w:szCs w:val="18"/>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Current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Accrued salaries and wages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552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411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503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376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Other employee benefits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50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66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Annual leave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Unconditional and expected to settle within 12 months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1 181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1 112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1 078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1 011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Unconditional and expected to settle after 12 months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Long service leave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Unconditional and expected to settle within 12 months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667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781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604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693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Unconditional and expected to settle after 12 months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2 786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2 535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2 638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2 414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On-costs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Unconditional and expected to settle within 12 months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263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241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266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Unconditional and expected to settle after 12 months</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422</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403</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390</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374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Total current employee benefits and on-costs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6 180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5 786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5 715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5 347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Non-current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Long service leave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761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753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703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694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On-costs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Total non-current employee benefits and on-costs</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854</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861</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791</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791</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6"/>
                <w:lang w:eastAsia="en-AU"/>
              </w:rPr>
            </w:pPr>
            <w:r w:rsidRPr="005A36FE">
              <w:rPr>
                <w:rFonts w:eastAsiaTheme="minorEastAsia" w:cs="Calibri"/>
                <w:bCs/>
                <w:color w:val="000000"/>
                <w:szCs w:val="16"/>
                <w:lang w:eastAsia="en-AU"/>
              </w:rPr>
              <w:t>Total employee benefits and on-costs</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7 034</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6 647</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6 506</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6 137</w:t>
            </w:r>
          </w:p>
        </w:tc>
      </w:tr>
    </w:tbl>
    <w:p w:rsidR="00BB6F1F" w:rsidRDefault="00BB6F1F" w:rsidP="00AC68FF">
      <w:pPr>
        <w:spacing w:before="0"/>
      </w:pPr>
    </w:p>
    <w:p w:rsidR="00BB6F1F" w:rsidRDefault="00BB6F1F" w:rsidP="00AC68FF">
      <w:pPr>
        <w:pStyle w:val="Heading30"/>
        <w:spacing w:before="0"/>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AC68FF">
      <w:pPr>
        <w:pStyle w:val="Heading30"/>
        <w:spacing w:before="0"/>
        <w:ind w:left="397" w:hanging="397"/>
      </w:pPr>
      <w:r>
        <w:lastRenderedPageBreak/>
        <w:t>Wages and salaries, annual leave and sick leave</w:t>
      </w:r>
    </w:p>
    <w:p w:rsidR="00BB6F1F" w:rsidRDefault="00BB6F1F" w:rsidP="00AC68FF">
      <w:r>
        <w:t>Liabilities for employee benefits are recognised in the provision for employee benefits and classified as current liabilities where the State does not have an unconditional right to defer settlement of these liabilities.</w:t>
      </w:r>
    </w:p>
    <w:p w:rsidR="00BB6F1F" w:rsidRDefault="00BB6F1F" w:rsidP="00AC68FF">
      <w:pPr>
        <w:pStyle w:val="Heading30"/>
      </w:pPr>
      <w:r>
        <w:t>Long service leave</w:t>
      </w:r>
    </w:p>
    <w:p w:rsidR="00BB6F1F" w:rsidRDefault="00BB6F1F" w:rsidP="00AC68FF">
      <w:r>
        <w:t xml:space="preserve">Consistent with the above policy, unconditional long service leave (LSL) is disclosed as a current liability; even where the State does not expect to settle the liability within 12 months because it will not have the unconditional right to defer the settlement of the entitlement should an employee take leave within 12 months. </w:t>
      </w:r>
    </w:p>
    <w:p w:rsidR="00BB6F1F" w:rsidRDefault="00BB6F1F" w:rsidP="00AC68FF">
      <w:r>
        <w:t>The components of this current LSL liability are measured at:</w:t>
      </w:r>
    </w:p>
    <w:p w:rsidR="00BB6F1F" w:rsidRDefault="00BB6F1F" w:rsidP="00AC68FF">
      <w:pPr>
        <w:pStyle w:val="ListBullet"/>
      </w:pPr>
      <w:r>
        <w:t>undiscounted value – if the State expects to wholly settle within 12 months; or</w:t>
      </w:r>
    </w:p>
    <w:p w:rsidR="00BB6F1F" w:rsidRDefault="00BB6F1F" w:rsidP="00AC68FF">
      <w:pPr>
        <w:pStyle w:val="ListBullet"/>
      </w:pPr>
      <w:r>
        <w:t>present value – if the State does not expect to wholly settle within 12 months.</w:t>
      </w:r>
    </w:p>
    <w:p w:rsidR="00BB6F1F" w:rsidRDefault="00BB6F1F" w:rsidP="00C532A5">
      <w:pPr>
        <w:spacing w:before="40"/>
      </w:pPr>
      <w:r>
        <w:br w:type="column"/>
      </w:r>
      <w:r>
        <w:lastRenderedPageBreak/>
        <w:t>Conditional LSL is disclosed as a non-current liability as there is a right to defer the settlement of the entitlement until the employee has completed the requisite years of service. This non-current LSL liability is measured at present value.</w:t>
      </w:r>
    </w:p>
    <w:p w:rsidR="00BB6F1F" w:rsidRDefault="00BB6F1F" w:rsidP="00AC68FF">
      <w:r>
        <w:t>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w:t>
      </w:r>
    </w:p>
    <w:p w:rsidR="00BB6F1F" w:rsidRDefault="00BB6F1F" w:rsidP="00AC68FF">
      <w:pPr>
        <w:pStyle w:val="Heading30"/>
      </w:pPr>
      <w:r>
        <w:t>On-costs</w:t>
      </w:r>
    </w:p>
    <w:p w:rsidR="00BB6F1F" w:rsidRDefault="00BB6F1F" w:rsidP="00AC68FF">
      <w:r>
        <w:t>Employee benefits on-costs such as payroll tax, workers compensation and superannuation are recognised separately as a component of the provision for employee benefits.</w:t>
      </w:r>
    </w:p>
    <w:p w:rsidR="00BB6F1F" w:rsidRDefault="00BB6F1F" w:rsidP="00AC68FF">
      <w:pPr>
        <w:pStyle w:val="TableHeading"/>
        <w:sectPr w:rsidR="00BB6F1F" w:rsidSect="00AC68FF">
          <w:type w:val="continuous"/>
          <w:pgSz w:w="11907" w:h="16839" w:code="9"/>
          <w:pgMar w:top="1134" w:right="1134" w:bottom="1134" w:left="1134" w:header="624" w:footer="567" w:gutter="0"/>
          <w:cols w:num="2" w:space="567"/>
          <w:docGrid w:linePitch="360"/>
        </w:sectPr>
      </w:pPr>
    </w:p>
    <w:p w:rsidR="00A22419" w:rsidRDefault="00A22419" w:rsidP="00A22419"/>
    <w:p w:rsidR="00BB6F1F" w:rsidRPr="005A36FE" w:rsidRDefault="00BB6F1F" w:rsidP="00AC68FF">
      <w:pPr>
        <w:pStyle w:val="TableHeading"/>
        <w:rPr>
          <w:bCs/>
          <w:lang w:val="en-US"/>
        </w:rPr>
      </w:pPr>
      <w:r w:rsidRPr="00353F29">
        <w:t>Movements in provisions of on-costs</w:t>
      </w:r>
      <w:r w:rsidRPr="00353F29">
        <w:tab/>
        <w:t>($ million)</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szCs w:val="20"/>
                <w:lang w:eastAsia="en-AU"/>
              </w:rPr>
            </w:pPr>
            <w:r w:rsidRPr="005A36FE">
              <w:rPr>
                <w:rFonts w:eastAsiaTheme="minorEastAsia" w:cs="Calibri"/>
                <w:iCs/>
                <w:color w:val="FFFFFF"/>
                <w:szCs w:val="20"/>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 xml:space="preserve">General </w:t>
            </w:r>
            <w:r>
              <w:rPr>
                <w:rFonts w:eastAsiaTheme="minorEastAsia" w:cs="Calibri"/>
                <w:iCs/>
                <w:color w:val="FFFFFF"/>
                <w:szCs w:val="20"/>
                <w:lang w:eastAsia="en-AU"/>
              </w:rPr>
              <w:br/>
            </w:r>
            <w:r w:rsidRPr="005A36FE">
              <w:rPr>
                <w:rFonts w:eastAsiaTheme="minorEastAsia" w:cs="Calibri"/>
                <w:iCs/>
                <w:color w:val="FFFFFF"/>
                <w:szCs w:val="20"/>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szCs w:val="20"/>
                <w:lang w:eastAsia="en-AU"/>
              </w:rPr>
            </w:pPr>
            <w:r w:rsidRPr="005A36FE">
              <w:rPr>
                <w:rFonts w:eastAsiaTheme="minorEastAsia" w:cs="Calibri"/>
                <w:iCs/>
                <w:color w:val="FFFFFF"/>
                <w:szCs w:val="20"/>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Opening balance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798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717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736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670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Additional provisions recognised</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Reductions arising from payments/other sacrifices of future economic benefits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 xml:space="preserve">Reductions resulting from </w:t>
            </w:r>
            <w:proofErr w:type="spellStart"/>
            <w:r w:rsidRPr="005A36FE">
              <w:rPr>
                <w:rFonts w:eastAsiaTheme="minorEastAsia" w:cs="Calibri"/>
                <w:color w:val="000000"/>
                <w:szCs w:val="20"/>
                <w:lang w:eastAsia="en-AU"/>
              </w:rPr>
              <w:t>remeasurement</w:t>
            </w:r>
            <w:proofErr w:type="spellEnd"/>
            <w:r w:rsidRPr="005A36FE">
              <w:rPr>
                <w:rFonts w:eastAsiaTheme="minorEastAsia" w:cs="Calibri"/>
                <w:color w:val="000000"/>
                <w:szCs w:val="20"/>
                <w:lang w:eastAsia="en-AU"/>
              </w:rPr>
              <w:t xml:space="preserve"> or settlement without cost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Unwind of discount and effect of changes in the discount rate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left w:val="nil"/>
              <w:bottom w:val="single" w:sz="6" w:space="0" w:color="auto"/>
              <w:right w:val="nil"/>
            </w:tcBorders>
          </w:tcPr>
          <w:p w:rsidR="00BB6F1F" w:rsidRPr="005A36FE" w:rsidRDefault="00BB6F1F" w:rsidP="00AC68FF">
            <w:pPr>
              <w:keepLines w:val="0"/>
              <w:autoSpaceDE w:val="0"/>
              <w:autoSpaceDN w:val="0"/>
              <w:adjustRightInd w:val="0"/>
              <w:rPr>
                <w:rFonts w:eastAsiaTheme="minorEastAsia" w:cs="Calibri"/>
                <w:b/>
                <w:bCs/>
                <w:color w:val="000000"/>
                <w:szCs w:val="20"/>
                <w:lang w:eastAsia="en-AU"/>
              </w:rPr>
            </w:pPr>
            <w:r w:rsidRPr="005A36FE">
              <w:rPr>
                <w:rFonts w:eastAsiaTheme="minorEastAsia" w:cs="Calibri"/>
                <w:b/>
                <w:bCs/>
                <w:color w:val="000000"/>
                <w:szCs w:val="20"/>
                <w:lang w:eastAsia="en-AU"/>
              </w:rPr>
              <w:t>Closing balance</w:t>
            </w:r>
          </w:p>
        </w:tc>
        <w:tc>
          <w:tcPr>
            <w:tcW w:w="907" w:type="dxa"/>
            <w:tcBorders>
              <w:top w:val="single" w:sz="6" w:space="0" w:color="auto"/>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778</w:t>
            </w:r>
          </w:p>
        </w:tc>
        <w:tc>
          <w:tcPr>
            <w:tcW w:w="907" w:type="dxa"/>
            <w:tcBorders>
              <w:top w:val="single" w:sz="6" w:space="0" w:color="auto"/>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798</w:t>
            </w:r>
          </w:p>
        </w:tc>
        <w:tc>
          <w:tcPr>
            <w:tcW w:w="907" w:type="dxa"/>
            <w:tcBorders>
              <w:top w:val="single" w:sz="6" w:space="0" w:color="auto"/>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720</w:t>
            </w:r>
          </w:p>
        </w:tc>
        <w:tc>
          <w:tcPr>
            <w:tcW w:w="907" w:type="dxa"/>
            <w:tcBorders>
              <w:top w:val="single" w:sz="6" w:space="0" w:color="auto"/>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736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20"/>
                <w:lang w:eastAsia="en-AU"/>
              </w:rPr>
            </w:pPr>
            <w:r w:rsidRPr="005A36FE">
              <w:rPr>
                <w:rFonts w:eastAsiaTheme="minorEastAsia" w:cs="Calibri"/>
                <w:b/>
                <w:bCs/>
                <w:color w:val="000000"/>
                <w:szCs w:val="20"/>
                <w:lang w:eastAsia="en-AU"/>
              </w:rPr>
              <w:t>Represented by:</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Current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685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689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640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12" w:space="0" w:color="auto"/>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Non-current</w:t>
            </w:r>
          </w:p>
        </w:tc>
        <w:tc>
          <w:tcPr>
            <w:tcW w:w="907" w:type="dxa"/>
            <w:tcBorders>
              <w:top w:val="nil"/>
              <w:left w:val="nil"/>
              <w:bottom w:val="single" w:sz="12"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93</w:t>
            </w:r>
          </w:p>
        </w:tc>
        <w:tc>
          <w:tcPr>
            <w:tcW w:w="907" w:type="dxa"/>
            <w:tcBorders>
              <w:top w:val="nil"/>
              <w:left w:val="nil"/>
              <w:bottom w:val="single" w:sz="12"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108</w:t>
            </w:r>
          </w:p>
        </w:tc>
        <w:tc>
          <w:tcPr>
            <w:tcW w:w="907" w:type="dxa"/>
            <w:tcBorders>
              <w:top w:val="nil"/>
              <w:left w:val="nil"/>
              <w:bottom w:val="single" w:sz="12"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88</w:t>
            </w:r>
          </w:p>
        </w:tc>
        <w:tc>
          <w:tcPr>
            <w:tcW w:w="907" w:type="dxa"/>
            <w:tcBorders>
              <w:top w:val="nil"/>
              <w:left w:val="nil"/>
              <w:bottom w:val="single" w:sz="12"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97</w:t>
            </w:r>
          </w:p>
        </w:tc>
      </w:tr>
    </w:tbl>
    <w:p w:rsidR="00BB6F1F" w:rsidRDefault="00BB6F1F" w:rsidP="00AC68FF"/>
    <w:p w:rsidR="00BB6F1F" w:rsidRDefault="00BB6F1F" w:rsidP="00AC68FF">
      <w:pPr>
        <w:pStyle w:val="Heading30"/>
        <w:sectPr w:rsidR="00BB6F1F" w:rsidSect="00AC68FF">
          <w:headerReference w:type="default" r:id="rId59"/>
          <w:type w:val="continuous"/>
          <w:pgSz w:w="11907" w:h="16839" w:code="9"/>
          <w:pgMar w:top="1134" w:right="1134" w:bottom="1134" w:left="1134" w:header="624" w:footer="567" w:gutter="0"/>
          <w:cols w:sep="1" w:space="567"/>
          <w:docGrid w:linePitch="360"/>
        </w:sectPr>
      </w:pPr>
    </w:p>
    <w:p w:rsidR="00BB6F1F" w:rsidRDefault="00BB6F1F">
      <w:pPr>
        <w:keepLines w:val="0"/>
        <w:rPr>
          <w:rFonts w:asciiTheme="majorHAnsi" w:eastAsiaTheme="majorEastAsia" w:hAnsiTheme="majorHAnsi" w:cstheme="majorBidi"/>
          <w:b/>
          <w:spacing w:val="-2"/>
          <w:sz w:val="26"/>
          <w:szCs w:val="26"/>
        </w:rPr>
      </w:pPr>
      <w:bookmarkStart w:id="24" w:name="_Toc492984822"/>
      <w:r>
        <w:lastRenderedPageBreak/>
        <w:br w:type="page"/>
      </w:r>
    </w:p>
    <w:p w:rsidR="00BB6F1F" w:rsidRDefault="00BB6F1F" w:rsidP="00BB6F1F">
      <w:pPr>
        <w:pStyle w:val="Heading2"/>
        <w:numPr>
          <w:ilvl w:val="1"/>
          <w:numId w:val="24"/>
        </w:numPr>
        <w:spacing w:before="0"/>
      </w:pPr>
      <w:r>
        <w:lastRenderedPageBreak/>
        <w:t>Superannuation interest expense and other superannuation expenses</w:t>
      </w:r>
      <w:bookmarkEnd w:id="24"/>
    </w:p>
    <w:p w:rsidR="00BB6F1F" w:rsidRDefault="00BB6F1F" w:rsidP="00AC68FF">
      <w:pPr>
        <w:pStyle w:val="Heading30"/>
        <w:sectPr w:rsidR="00BB6F1F" w:rsidSect="00AC68FF">
          <w:headerReference w:type="default" r:id="rId60"/>
          <w:type w:val="continuous"/>
          <w:pgSz w:w="11907" w:h="16839" w:code="9"/>
          <w:pgMar w:top="1134" w:right="1134" w:bottom="1134" w:left="1134" w:header="624" w:footer="567" w:gutter="0"/>
          <w:cols w:space="567"/>
          <w:docGrid w:linePitch="360"/>
        </w:sectPr>
      </w:pPr>
    </w:p>
    <w:p w:rsidR="00BB6F1F" w:rsidRPr="006F652F" w:rsidRDefault="00BB6F1F" w:rsidP="00AC68FF">
      <w:pPr>
        <w:pStyle w:val="Heading30"/>
      </w:pPr>
      <w:r w:rsidRPr="006F652F">
        <w:lastRenderedPageBreak/>
        <w:t>Superannuation expense recognised in the operating statement</w:t>
      </w:r>
    </w:p>
    <w:p w:rsidR="00BB6F1F" w:rsidRDefault="00BB6F1F" w:rsidP="00AC68FF">
      <w:r>
        <w:t>The State recognises the net superannuation expense from transactions on the following basis:</w:t>
      </w:r>
    </w:p>
    <w:p w:rsidR="00BB6F1F" w:rsidRDefault="00BB6F1F" w:rsidP="00AC68FF">
      <w:pPr>
        <w:pStyle w:val="ListBullet"/>
      </w:pPr>
      <w:r>
        <w:t xml:space="preserve">in relation to defined contribution </w:t>
      </w:r>
      <w:r>
        <w:br/>
        <w:t>(i.e. accumulation) superannuation plans, the associated expense is simply the employer contributions that are paid or payable in respect of employees who are members of these plans during the reporting period; and</w:t>
      </w:r>
    </w:p>
    <w:p w:rsidR="00BB6F1F" w:rsidRDefault="00BB6F1F" w:rsidP="00AC68FF">
      <w:pPr>
        <w:pStyle w:val="ListBullet"/>
      </w:pPr>
      <w:r>
        <w:t>for defined benefit plans, the superannuation expense reflects the employer financed component of defined benefits that are expected to accrue over the reporting period (i.e. service cost), along with the net superannuation interest expense.</w:t>
      </w:r>
    </w:p>
    <w:p w:rsidR="00BB6F1F" w:rsidRDefault="00BB6F1F" w:rsidP="00A22419">
      <w:pPr>
        <w:spacing w:before="240"/>
      </w:pPr>
      <w:r>
        <w:lastRenderedPageBreak/>
        <w:t>The remeasurements of the net superannuation liability are recognised under ‘Other economic flows – other comprehensive income’ and consist of:</w:t>
      </w:r>
    </w:p>
    <w:p w:rsidR="00BB6F1F" w:rsidRDefault="00BB6F1F" w:rsidP="00AC68FF">
      <w:pPr>
        <w:pStyle w:val="ListBullet"/>
      </w:pPr>
      <w:r>
        <w:t xml:space="preserve">actuarial gains and losses which reflect the change in the defined benefit obligation that have arisen due to differences between actual outcomes and the assumptions used to calculate the superannuation expense from transactions; </w:t>
      </w:r>
    </w:p>
    <w:p w:rsidR="00BB6F1F" w:rsidRDefault="00BB6F1F" w:rsidP="00AC68FF">
      <w:pPr>
        <w:pStyle w:val="ListBullet"/>
      </w:pPr>
      <w:r>
        <w:t>the return on plan assets, excluding amounts included in the net superannuation interest expense; and</w:t>
      </w:r>
    </w:p>
    <w:p w:rsidR="00BB6F1F" w:rsidRDefault="00BB6F1F" w:rsidP="00AC68FF">
      <w:pPr>
        <w:pStyle w:val="ListBullet"/>
      </w:pPr>
      <w:r>
        <w:t>the effect of any change in actuarial assumptions during the period.</w:t>
      </w:r>
    </w:p>
    <w:p w:rsidR="00BB6F1F" w:rsidRDefault="00BB6F1F" w:rsidP="00AC68FF">
      <w:r>
        <w:t xml:space="preserve">These remeasurements are fully recognised as other comprehensive income in the period in which they occur. For more details on the superannuation liabilities, please refer to Note 6.5 </w:t>
      </w:r>
      <w:r w:rsidRPr="00B56C12">
        <w:rPr>
          <w:i/>
        </w:rPr>
        <w:t>Superannuation</w:t>
      </w:r>
      <w:r>
        <w:t xml:space="preserve">. </w:t>
      </w:r>
    </w:p>
    <w:p w:rsidR="00BB6F1F" w:rsidRDefault="00BB6F1F" w:rsidP="00AC68FF">
      <w:pPr>
        <w:pStyle w:val="TableHeading"/>
        <w:sectPr w:rsidR="00BB6F1F" w:rsidSect="00AC68FF">
          <w:type w:val="continuous"/>
          <w:pgSz w:w="11907" w:h="16839" w:code="9"/>
          <w:pgMar w:top="1134" w:right="1134" w:bottom="1134" w:left="1134" w:header="624" w:footer="567" w:gutter="0"/>
          <w:cols w:num="2" w:space="567"/>
          <w:docGrid w:linePitch="360"/>
        </w:sectPr>
      </w:pPr>
    </w:p>
    <w:p w:rsidR="00A22419" w:rsidRDefault="00A22419" w:rsidP="00A22419"/>
    <w:p w:rsidR="00BB6F1F" w:rsidRPr="005A36FE" w:rsidRDefault="00BB6F1F" w:rsidP="00AC68FF">
      <w:pPr>
        <w:pStyle w:val="TableHeading"/>
        <w:rPr>
          <w:bCs/>
          <w:lang w:val="en-US"/>
        </w:rPr>
      </w:pPr>
      <w:r>
        <w:t>Superannuation expense recognised in the operating statement</w:t>
      </w:r>
      <w:r>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State of Victoria</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 xml:space="preserve">Defined benefit plans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Net superannuation interest expense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693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880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 xml:space="preserve">Current service cost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848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778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Remeasurements: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 xml:space="preserve">   Expected return on superannuation assets excluding interest income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(1 006)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(787)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 xml:space="preserve">   Other actuarial (gain)/loss on superannuation assets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(527)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1 166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 xml:space="preserve">   Actuarial and other adjustments to unfunded superannuation liability</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(2 855)</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2 867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Total expense recognised in respect of defined benefit plans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(2 848)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4 904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Defined contribution plans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 xml:space="preserve">Employer contributions to defined contribution plans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1 545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1 386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Other (including pensions)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Total expense recognised in respect of defined contribution plans</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1 627</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1 476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Total superannuation (gain)/expense recognised in operating statement</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(1 221)</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6 380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Represented by:</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Net superannuation interest expense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693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880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Other superannuation</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2 475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2 254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Superannuation expense from transactions</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3 168</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3 134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proofErr w:type="spellStart"/>
            <w:r w:rsidRPr="005A36FE">
              <w:rPr>
                <w:rFonts w:eastAsiaTheme="minorEastAsia" w:cs="Calibri"/>
                <w:b/>
                <w:bCs/>
                <w:color w:val="000000"/>
                <w:szCs w:val="18"/>
                <w:lang w:eastAsia="en-AU"/>
              </w:rPr>
              <w:t>Remeasurement</w:t>
            </w:r>
            <w:proofErr w:type="spellEnd"/>
            <w:r w:rsidRPr="005A36FE">
              <w:rPr>
                <w:rFonts w:eastAsiaTheme="minorEastAsia" w:cs="Calibri"/>
                <w:b/>
                <w:bCs/>
                <w:color w:val="000000"/>
                <w:szCs w:val="18"/>
                <w:lang w:eastAsia="en-AU"/>
              </w:rPr>
              <w:t xml:space="preserve"> recognised in other comprehensive income</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(4 389)</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3 246</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8"/>
                <w:lang w:eastAsia="en-AU"/>
              </w:rPr>
            </w:pPr>
            <w:r w:rsidRPr="005A36FE">
              <w:rPr>
                <w:rFonts w:eastAsiaTheme="minorEastAsia" w:cs="Calibri"/>
                <w:bCs/>
                <w:color w:val="000000"/>
                <w:szCs w:val="18"/>
                <w:lang w:eastAsia="en-AU"/>
              </w:rPr>
              <w:t>Total superannuation costs recognised in operating statement</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(1 221)</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6 380</w:t>
            </w:r>
          </w:p>
        </w:tc>
      </w:tr>
    </w:tbl>
    <w:p w:rsidR="00BB6F1F" w:rsidRDefault="00BB6F1F" w:rsidP="00AC68FF"/>
    <w:p w:rsidR="00BB6F1F" w:rsidRDefault="00BB6F1F" w:rsidP="00AC68FF">
      <w:pPr>
        <w:pStyle w:val="HighlightBoxText"/>
        <w:rPr>
          <w:b/>
        </w:rPr>
        <w:sectPr w:rsidR="00BB6F1F" w:rsidSect="00AC68FF">
          <w:type w:val="continuous"/>
          <w:pgSz w:w="11907" w:h="16839" w:code="9"/>
          <w:pgMar w:top="1134" w:right="1134" w:bottom="1134" w:left="1134" w:header="624" w:footer="567" w:gutter="0"/>
          <w:cols w:sep="1" w:space="567"/>
          <w:docGrid w:linePitch="360"/>
        </w:sectPr>
      </w:pPr>
    </w:p>
    <w:p w:rsidR="00BB6F1F" w:rsidRPr="006F652F" w:rsidRDefault="00BB6F1F" w:rsidP="00AC68FF">
      <w:pPr>
        <w:pStyle w:val="HighlightBoxText"/>
      </w:pPr>
      <w:r w:rsidRPr="006F652F">
        <w:rPr>
          <w:b/>
        </w:rPr>
        <w:lastRenderedPageBreak/>
        <w:t>Net superannuation interest expense</w:t>
      </w:r>
      <w:r w:rsidRPr="006F652F">
        <w:t xml:space="preserve"> is the change during the period in the net defined benefit liability that arises from the passage of time. This is effectively calculated by applying the discount rate (a</w:t>
      </w:r>
      <w:r>
        <w:t> </w:t>
      </w:r>
      <w:r w:rsidRPr="006F652F">
        <w:t>long-term Government bond yield) to the net superannuation liability without reference to the expected rate of investment return on plan assets.</w:t>
      </w:r>
    </w:p>
    <w:p w:rsidR="00BB6F1F" w:rsidRDefault="00BB6F1F" w:rsidP="00AC68FF">
      <w:pPr>
        <w:pStyle w:val="HighlightBoxText"/>
      </w:pPr>
      <w:r w:rsidRPr="00D77ABB">
        <w:rPr>
          <w:b/>
        </w:rPr>
        <w:lastRenderedPageBreak/>
        <w:t>Other superannuation</w:t>
      </w:r>
      <w:r>
        <w:t xml:space="preserve"> includes all superannuation expenses from transactions except the net superannuation interest expense. It includes current service cost, which is the increase in entitlements associated with the employment services provided in the current period, and employer contributions to defined contribution plans.</w:t>
      </w:r>
    </w:p>
    <w:p w:rsidR="00BB6F1F" w:rsidRDefault="00BB6F1F" w:rsidP="00AC68FF"/>
    <w:p w:rsidR="00BB6F1F" w:rsidRDefault="00BB6F1F" w:rsidP="00AC68FF">
      <w:pPr>
        <w:sectPr w:rsidR="00BB6F1F" w:rsidSect="00AC68FF">
          <w:type w:val="continuous"/>
          <w:pgSz w:w="11907" w:h="16839" w:code="9"/>
          <w:pgMar w:top="1134" w:right="1134" w:bottom="1134" w:left="1134" w:header="624" w:footer="567" w:gutter="0"/>
          <w:cols w:num="2" w:space="567"/>
          <w:docGrid w:linePitch="360"/>
        </w:sectPr>
      </w:pPr>
    </w:p>
    <w:p w:rsidR="00BB6F1F" w:rsidRDefault="00BB6F1F" w:rsidP="002311FD">
      <w:pPr>
        <w:pStyle w:val="Heading2"/>
        <w:numPr>
          <w:ilvl w:val="1"/>
          <w:numId w:val="24"/>
        </w:numPr>
        <w:spacing w:before="0"/>
      </w:pPr>
      <w:bookmarkStart w:id="25" w:name="_Toc492984823"/>
      <w:r>
        <w:lastRenderedPageBreak/>
        <w:t>Grant expense</w:t>
      </w:r>
      <w:bookmarkEnd w:id="25"/>
    </w:p>
    <w:p w:rsidR="00BB6F1F" w:rsidRPr="005A36FE" w:rsidRDefault="00BB6F1F" w:rsidP="00AC68FF">
      <w:pPr>
        <w:pStyle w:val="TableUnits"/>
        <w:rPr>
          <w:bCs/>
          <w:lang w:val="en-US"/>
        </w:rPr>
      </w:pPr>
      <w:r>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5A36FE">
              <w:rPr>
                <w:rFonts w:eastAsiaTheme="minorEastAsia" w:cs="Calibri"/>
                <w:iCs/>
                <w:color w:val="FFFFFF"/>
                <w:szCs w:val="18"/>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Current grant expense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Commonwealth Government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541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279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540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278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Local government (including grants for on-passing)</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1 193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597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1 193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597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Private sector and not-for-profit on-passing</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2 990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2 790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2 990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2 790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Other private sector and not-for-profit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2 148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1 596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2 103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1 551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Grants within the Victorian Government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3 249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3 006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Grants to other state governments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Total current grant expense</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6 912</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5 303</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10 114</w:t>
            </w:r>
          </w:p>
        </w:tc>
        <w:tc>
          <w:tcPr>
            <w:tcW w:w="907" w:type="dxa"/>
            <w:tcBorders>
              <w:top w:val="single" w:sz="6" w:space="0" w:color="000000"/>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8 263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Capital grant expense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Local government (including grants for on-passing)</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Private sector and not-for-profit on-passing</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Grants within the Victorian Government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Other grants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514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255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8"/>
                <w:lang w:eastAsia="en-AU"/>
              </w:rPr>
            </w:pPr>
            <w:r w:rsidRPr="005A36FE">
              <w:rPr>
                <w:rFonts w:eastAsiaTheme="minorEastAsia" w:cs="Calibri"/>
                <w:b/>
                <w:bCs/>
                <w:color w:val="000000"/>
                <w:szCs w:val="18"/>
                <w:lang w:eastAsia="en-AU"/>
              </w:rPr>
              <w:t>Total capital grant expense</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711</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353</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357</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301</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8"/>
                <w:lang w:eastAsia="en-AU"/>
              </w:rPr>
            </w:pPr>
            <w:r w:rsidRPr="005A36FE">
              <w:rPr>
                <w:rFonts w:eastAsiaTheme="minorEastAsia" w:cs="Calibri"/>
                <w:bCs/>
                <w:color w:val="000000"/>
                <w:szCs w:val="18"/>
                <w:lang w:eastAsia="en-AU"/>
              </w:rPr>
              <w:t>Total grant expense</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7 624</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5 657</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10 471</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8 564</w:t>
            </w:r>
          </w:p>
        </w:tc>
      </w:tr>
    </w:tbl>
    <w:p w:rsidR="00BB6F1F" w:rsidRDefault="00BB6F1F" w:rsidP="00AC68FF"/>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AC68FF">
      <w:r>
        <w:lastRenderedPageBreak/>
        <w:t>Grants and other transfers to third parties are recognised as an expense in the reporting period in which they are paid or payable.</w:t>
      </w:r>
    </w:p>
    <w:p w:rsidR="00BB6F1F" w:rsidRDefault="00BB6F1F" w:rsidP="00AC68FF">
      <w:r>
        <w:t xml:space="preserve">They include transactions such as grants, subsidies, personal benefit payments made in cash to individuals, other transfer payments made to local </w:t>
      </w:r>
    </w:p>
    <w:p w:rsidR="00BB6F1F" w:rsidRDefault="00BB6F1F" w:rsidP="00AC68FF">
      <w:r>
        <w:br w:type="column"/>
      </w:r>
      <w:r>
        <w:lastRenderedPageBreak/>
        <w:t xml:space="preserve">government, non-government schools and community groups. </w:t>
      </w:r>
    </w:p>
    <w:p w:rsidR="00BB6F1F" w:rsidRDefault="00BB6F1F" w:rsidP="00AC68FF">
      <w:r>
        <w:t xml:space="preserve">For the general government sector, these include grants and transfer payments to PNFCs and </w:t>
      </w:r>
      <w:proofErr w:type="spellStart"/>
      <w:r>
        <w:t>PFCs.</w:t>
      </w:r>
      <w:proofErr w:type="spellEnd"/>
    </w:p>
    <w:p w:rsidR="00BB6F1F" w:rsidRDefault="00BB6F1F" w:rsidP="00BB6F1F">
      <w:pPr>
        <w:pStyle w:val="Heading2"/>
        <w:numPr>
          <w:ilvl w:val="1"/>
          <w:numId w:val="24"/>
        </w:numPr>
        <w:sectPr w:rsidR="00BB6F1F" w:rsidSect="00AC68FF">
          <w:type w:val="continuous"/>
          <w:pgSz w:w="11907" w:h="16839" w:code="9"/>
          <w:pgMar w:top="1134" w:right="1134" w:bottom="1134" w:left="1134" w:header="624" w:footer="567" w:gutter="0"/>
          <w:cols w:num="2" w:space="567"/>
          <w:docGrid w:linePitch="360"/>
        </w:sectPr>
      </w:pPr>
    </w:p>
    <w:p w:rsidR="00BB6F1F" w:rsidRPr="00E41C52" w:rsidRDefault="00BB6F1F" w:rsidP="00BB6F1F">
      <w:pPr>
        <w:pStyle w:val="Heading2"/>
        <w:numPr>
          <w:ilvl w:val="1"/>
          <w:numId w:val="24"/>
        </w:numPr>
        <w:rPr>
          <w:bCs/>
          <w:lang w:val="en-US"/>
        </w:rPr>
      </w:pPr>
      <w:bookmarkStart w:id="26" w:name="_Toc492984824"/>
      <w:r w:rsidRPr="00D77ABB">
        <w:lastRenderedPageBreak/>
        <w:t>Other operating expenses</w:t>
      </w:r>
      <w:bookmarkEnd w:id="26"/>
    </w:p>
    <w:p w:rsidR="00BB6F1F" w:rsidRPr="005A36FE" w:rsidRDefault="00BB6F1F" w:rsidP="00AC68FF">
      <w:pPr>
        <w:pStyle w:val="TableUnits"/>
        <w:rPr>
          <w:bCs/>
          <w:lang w:val="en-US"/>
        </w:rPr>
      </w:pPr>
      <w:r w:rsidRPr="00D77AB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5A36FE">
              <w:rPr>
                <w:rFonts w:eastAsiaTheme="minorEastAsia" w:cs="Calibri"/>
                <w:iCs/>
                <w:color w:val="FFFFFF"/>
                <w:szCs w:val="18"/>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vertAlign w:val="superscript"/>
                <w:lang w:eastAsia="en-AU"/>
              </w:rPr>
            </w:pPr>
            <w:r w:rsidRPr="005A36FE">
              <w:rPr>
                <w:rFonts w:eastAsiaTheme="minorEastAsia" w:cs="Calibri"/>
                <w:color w:val="000000"/>
                <w:szCs w:val="18"/>
                <w:lang w:eastAsia="en-AU"/>
              </w:rPr>
              <w:t xml:space="preserve">Purchase of supplies and consumables </w:t>
            </w:r>
            <w:r w:rsidRPr="005A36FE">
              <w:rPr>
                <w:rFonts w:eastAsiaTheme="minorEastAsia" w:cs="Calibri"/>
                <w:color w:val="000000"/>
                <w:szCs w:val="18"/>
                <w:vertAlign w:val="superscript"/>
                <w:lang w:eastAsia="en-AU"/>
              </w:rPr>
              <w:t>(a)(b)</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5 184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5 097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4 163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3 975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Cost of goods sold</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Finance expenses and fees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464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448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vertAlign w:val="superscript"/>
                <w:lang w:eastAsia="en-AU"/>
              </w:rPr>
            </w:pPr>
            <w:r w:rsidRPr="005A36FE">
              <w:rPr>
                <w:rFonts w:eastAsiaTheme="minorEastAsia" w:cs="Calibri"/>
                <w:color w:val="000000"/>
                <w:szCs w:val="18"/>
                <w:lang w:eastAsia="en-AU"/>
              </w:rPr>
              <w:t xml:space="preserve">Purchase of services </w:t>
            </w:r>
            <w:r w:rsidRPr="005A36FE">
              <w:rPr>
                <w:rFonts w:eastAsiaTheme="minorEastAsia" w:cs="Calibri"/>
                <w:color w:val="000000"/>
                <w:szCs w:val="18"/>
                <w:vertAlign w:val="superscript"/>
                <w:lang w:eastAsia="en-AU"/>
              </w:rPr>
              <w:t>(a)(b)</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13 455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12 605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12 089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11 540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Insurance claims expense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5 188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4 899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Maintenance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1 308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1 301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754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737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Operating lease payments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414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406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348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338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Other</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832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779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795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1 068</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8"/>
                <w:lang w:eastAsia="en-AU"/>
              </w:rPr>
            </w:pPr>
            <w:r w:rsidRPr="005A36FE">
              <w:rPr>
                <w:rFonts w:eastAsiaTheme="minorEastAsia" w:cs="Calibri"/>
                <w:bCs/>
                <w:color w:val="000000"/>
                <w:szCs w:val="18"/>
                <w:lang w:eastAsia="en-AU"/>
              </w:rPr>
              <w:t>Total other operating expenses</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27 053</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25 720</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18 575</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17 905</w:t>
            </w:r>
          </w:p>
        </w:tc>
      </w:tr>
    </w:tbl>
    <w:p w:rsidR="00BB6F1F" w:rsidRDefault="00BB6F1F" w:rsidP="00AC68FF">
      <w:pPr>
        <w:pStyle w:val="Note"/>
      </w:pPr>
      <w:r>
        <w:t>Notes:</w:t>
      </w:r>
    </w:p>
    <w:p w:rsidR="00BB6F1F" w:rsidRDefault="00BB6F1F" w:rsidP="00AC68FF">
      <w:pPr>
        <w:pStyle w:val="Note"/>
      </w:pPr>
      <w:r>
        <w:t>(a)</w:t>
      </w:r>
      <w:r>
        <w:tab/>
        <w:t>A breakdown of purchase of supplies and consumables and purchase of services is provided in the following two tables.</w:t>
      </w:r>
    </w:p>
    <w:p w:rsidR="00BB6F1F" w:rsidRDefault="00BB6F1F" w:rsidP="00AC68FF">
      <w:pPr>
        <w:pStyle w:val="Note"/>
      </w:pPr>
      <w:r>
        <w:t>(b)</w:t>
      </w:r>
      <w:r>
        <w:tab/>
        <w:t>June 2016 comparatives have been reclassified between the purchase of supplies and consumables and purchase of services line items to better reflect the nature of the expenditure items.</w:t>
      </w:r>
    </w:p>
    <w:p w:rsidR="00BB6F1F" w:rsidRDefault="00BB6F1F">
      <w:pPr>
        <w:keepLines w:val="0"/>
      </w:pPr>
      <w:r>
        <w:br w:type="page"/>
      </w:r>
    </w:p>
    <w:p w:rsidR="00BB6F1F" w:rsidRDefault="00BB6F1F" w:rsidP="00AC68FF">
      <w:pPr>
        <w:rPr>
          <w:b/>
        </w:rPr>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AC68FF">
      <w:pPr>
        <w:spacing w:before="0"/>
      </w:pPr>
      <w:r w:rsidRPr="00D77ABB">
        <w:rPr>
          <w:b/>
        </w:rPr>
        <w:lastRenderedPageBreak/>
        <w:t>Other operating expenses</w:t>
      </w:r>
      <w:r>
        <w:t xml:space="preserve"> generally represent the day-to-day running costs incurred in normal operations and includes:</w:t>
      </w:r>
    </w:p>
    <w:p w:rsidR="00BB6F1F" w:rsidRDefault="00BB6F1F" w:rsidP="00AC68FF">
      <w:pPr>
        <w:pStyle w:val="ListBullet"/>
      </w:pPr>
      <w:r>
        <w:t>supplies and services costs, which are recognised as an expense in the reporting period in which they are incurred. The carrying amounts of any inventories held for distribution are expensed when distributed; and</w:t>
      </w:r>
    </w:p>
    <w:p w:rsidR="00BB6F1F" w:rsidRDefault="00BB6F1F" w:rsidP="00AC68FF">
      <w:pPr>
        <w:pStyle w:val="ListBullet"/>
      </w:pPr>
      <w:r>
        <w:t>bad and doubtful debts.</w:t>
      </w:r>
    </w:p>
    <w:p w:rsidR="00BB6F1F" w:rsidRDefault="00BB6F1F" w:rsidP="00AC68FF">
      <w:r w:rsidRPr="00D77ABB">
        <w:rPr>
          <w:b/>
        </w:rPr>
        <w:t>Audit fees</w:t>
      </w:r>
      <w:r>
        <w:t xml:space="preserve"> </w:t>
      </w:r>
      <w:r w:rsidRPr="00263FF1">
        <w:t>of $393 100</w:t>
      </w:r>
      <w:r>
        <w:t xml:space="preserve"> ($383 500 in 2016) were paid or payable to the Victorian Auditor-General’s Office for the audit of the Annual Financial Report of the State of Victoria. The Victorian Auditor-General’s Office provided no other services to the State other than the review of the Estimated Financial Statements and the financial audits of departments and agencies.</w:t>
      </w:r>
    </w:p>
    <w:p w:rsidR="00BB6F1F" w:rsidRDefault="00BB6F1F" w:rsidP="00AC68FF">
      <w:r w:rsidRPr="00D77ABB">
        <w:rPr>
          <w:b/>
        </w:rPr>
        <w:lastRenderedPageBreak/>
        <w:t>Operating lease payments</w:t>
      </w:r>
      <w:r>
        <w:t xml:space="preserve"> (including contingent rentals) are recognised on a straight line basis over the lease term, except where another systematic basis is more representative of the time pattern of the benefits derived from the use of the leased asset. The leased asset is not recognised in the balance sheet.</w:t>
      </w:r>
    </w:p>
    <w:p w:rsidR="00BB6F1F" w:rsidRDefault="00BB6F1F" w:rsidP="00AC68FF">
      <w:pPr>
        <w:sectPr w:rsidR="00BB6F1F" w:rsidSect="00AC68FF">
          <w:type w:val="continuous"/>
          <w:pgSz w:w="11907" w:h="16839" w:code="9"/>
          <w:pgMar w:top="1134" w:right="1134" w:bottom="1134" w:left="1134" w:header="624" w:footer="567" w:gutter="0"/>
          <w:cols w:num="2" w:space="567"/>
          <w:docGrid w:linePitch="360"/>
        </w:sectPr>
      </w:pPr>
      <w:r w:rsidRPr="00D77ABB">
        <w:rPr>
          <w:b/>
        </w:rPr>
        <w:t>Insurance claims expense</w:t>
      </w:r>
      <w:r>
        <w:t xml:space="preserve"> includes claims incurred during the financial year and any costs associated with processing and resolving claims, net of reinsurance recoveries.</w:t>
      </w:r>
    </w:p>
    <w:p w:rsidR="00BB6F1F" w:rsidRDefault="00BB6F1F">
      <w:pPr>
        <w:keepLines w:val="0"/>
        <w:rPr>
          <w:rFonts w:asciiTheme="majorHAnsi" w:hAnsiTheme="majorHAnsi"/>
          <w:b/>
          <w:sz w:val="20"/>
          <w:szCs w:val="20"/>
        </w:rPr>
      </w:pPr>
    </w:p>
    <w:p w:rsidR="00BB6F1F" w:rsidRPr="005A36FE" w:rsidRDefault="00BB6F1F" w:rsidP="00AC68FF">
      <w:pPr>
        <w:pStyle w:val="TableHeading"/>
        <w:rPr>
          <w:bCs/>
          <w:lang w:val="en-US"/>
        </w:rPr>
      </w:pPr>
      <w:r>
        <w:t>Purchase of supplies and consumables</w:t>
      </w:r>
      <w:r>
        <w:tab/>
      </w:r>
      <w:r w:rsidRPr="00D77AB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5A36FE">
              <w:rPr>
                <w:rFonts w:eastAsiaTheme="minorEastAsia" w:cs="Calibri"/>
                <w:iCs/>
                <w:color w:val="FFFFFF"/>
                <w:szCs w:val="18"/>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Medicinal pharmacy and medical supplies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1 159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1 048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1 159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1 048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Office supplies and consumables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271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242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Specialised operational supplies and consumables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211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Other purchase of supplies and consumables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3 543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3 681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2 609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2 579</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8"/>
                <w:lang w:eastAsia="en-AU"/>
              </w:rPr>
            </w:pPr>
            <w:r w:rsidRPr="005A36FE">
              <w:rPr>
                <w:rFonts w:eastAsiaTheme="minorEastAsia" w:cs="Calibri"/>
                <w:bCs/>
                <w:color w:val="000000"/>
                <w:szCs w:val="18"/>
                <w:lang w:eastAsia="en-AU"/>
              </w:rPr>
              <w:t>Total purchase of supplies and consumables</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5 184</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5 097</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4 163</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3 975</w:t>
            </w:r>
          </w:p>
        </w:tc>
      </w:tr>
    </w:tbl>
    <w:p w:rsidR="00BB6F1F" w:rsidRDefault="00BB6F1F" w:rsidP="00AC68FF"/>
    <w:p w:rsidR="00BB6F1F" w:rsidRPr="005A36FE" w:rsidRDefault="00BB6F1F" w:rsidP="00AC68FF">
      <w:pPr>
        <w:pStyle w:val="TableHeading"/>
        <w:rPr>
          <w:bCs/>
          <w:lang w:val="en-US"/>
        </w:rPr>
      </w:pPr>
      <w:r>
        <w:t>Purchase of services</w:t>
      </w:r>
      <w:r>
        <w:tab/>
      </w:r>
      <w:r w:rsidRPr="00D77AB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5A36FE">
              <w:rPr>
                <w:rFonts w:eastAsiaTheme="minorEastAsia" w:cs="Calibri"/>
                <w:iCs/>
                <w:color w:val="FFFFFF"/>
                <w:szCs w:val="18"/>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Service contracts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7 184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6 955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6 830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6 916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Accommodation/occupancy</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897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808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743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783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Medical and client care services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300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300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Staff related expenses (non-labour related)</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272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214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247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Other purchase of services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4 784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4 328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3 953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3 344</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8"/>
                <w:lang w:eastAsia="en-AU"/>
              </w:rPr>
            </w:pPr>
            <w:r w:rsidRPr="005A36FE">
              <w:rPr>
                <w:rFonts w:eastAsiaTheme="minorEastAsia" w:cs="Calibri"/>
                <w:bCs/>
                <w:color w:val="000000"/>
                <w:szCs w:val="18"/>
                <w:lang w:eastAsia="en-AU"/>
              </w:rPr>
              <w:t>Total purchases of services</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13 455</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12 605</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12 089</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11 540</w:t>
            </w:r>
          </w:p>
        </w:tc>
      </w:tr>
    </w:tbl>
    <w:p w:rsidR="00BB6F1F" w:rsidRDefault="00BB6F1F" w:rsidP="00AC68FF">
      <w:pPr>
        <w:pStyle w:val="TableHeading"/>
      </w:pPr>
      <w:r>
        <w:t xml:space="preserve"> </w:t>
      </w:r>
    </w:p>
    <w:p w:rsidR="00BB6F1F" w:rsidRDefault="00BB6F1F" w:rsidP="00AC68FF">
      <w:pPr>
        <w:rPr>
          <w:b/>
        </w:rPr>
        <w:sectPr w:rsidR="00BB6F1F" w:rsidSect="00AC68FF">
          <w:type w:val="continuous"/>
          <w:pgSz w:w="11907" w:h="16839" w:code="9"/>
          <w:pgMar w:top="1134" w:right="1134" w:bottom="1134" w:left="1134" w:header="624" w:footer="567" w:gutter="0"/>
          <w:cols w:sep="1" w:space="567"/>
          <w:docGrid w:linePitch="360"/>
        </w:sectPr>
      </w:pPr>
    </w:p>
    <w:p w:rsidR="00BB6F1F" w:rsidRDefault="00BB6F1F">
      <w:pPr>
        <w:keepLines w:val="0"/>
        <w:rPr>
          <w:rFonts w:asciiTheme="majorHAnsi" w:eastAsiaTheme="majorEastAsia" w:hAnsiTheme="majorHAnsi" w:cstheme="majorBidi"/>
          <w:b/>
          <w:spacing w:val="-2"/>
          <w:sz w:val="26"/>
          <w:szCs w:val="26"/>
        </w:rPr>
      </w:pPr>
      <w:r>
        <w:lastRenderedPageBreak/>
        <w:br w:type="page"/>
      </w:r>
    </w:p>
    <w:p w:rsidR="00BB6F1F" w:rsidRDefault="00BB6F1F" w:rsidP="00BB6F1F">
      <w:pPr>
        <w:pStyle w:val="Heading2"/>
        <w:numPr>
          <w:ilvl w:val="1"/>
          <w:numId w:val="24"/>
        </w:numPr>
      </w:pPr>
      <w:bookmarkStart w:id="27" w:name="_Toc492984825"/>
      <w:r>
        <w:lastRenderedPageBreak/>
        <w:t>Total operating expenses and purchases of non-financial assets by department</w:t>
      </w:r>
      <w:bookmarkEnd w:id="27"/>
    </w:p>
    <w:p w:rsidR="00BB6F1F" w:rsidRDefault="00BB6F1F" w:rsidP="00AC68FF">
      <w:r>
        <w:t>The following table discloses the funds spent by each portfolio department, including operating expenditure and capital expenditure, as part of the department’s normal activities.</w:t>
      </w:r>
    </w:p>
    <w:p w:rsidR="00BB6F1F" w:rsidRPr="005A36FE" w:rsidRDefault="00BB6F1F" w:rsidP="00AC68FF">
      <w:pPr>
        <w:pStyle w:val="TableUnits"/>
        <w:rPr>
          <w:bCs/>
          <w:lang w:val="en-US"/>
        </w:rPr>
      </w:pPr>
      <w:r w:rsidRPr="00AF543C">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color w:val="FFFFFF"/>
                <w:lang w:eastAsia="en-AU"/>
              </w:rPr>
            </w:pPr>
            <w:r w:rsidRPr="005A36FE">
              <w:rPr>
                <w:rFonts w:eastAsiaTheme="minorEastAsia" w:cs="Calibri"/>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Expenses from transactions</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 xml:space="preserve">Purchases of </w:t>
            </w:r>
            <w:r>
              <w:rPr>
                <w:rFonts w:eastAsiaTheme="minorEastAsia" w:cs="Calibri"/>
                <w:iCs/>
                <w:color w:val="FFFFFF"/>
                <w:szCs w:val="16"/>
                <w:lang w:eastAsia="en-AU"/>
              </w:rPr>
              <w:br/>
            </w:r>
            <w:r w:rsidRPr="005A36FE">
              <w:rPr>
                <w:rFonts w:eastAsiaTheme="minorEastAsia" w:cs="Calibri"/>
                <w:iCs/>
                <w:color w:val="FFFFFF"/>
                <w:szCs w:val="16"/>
                <w:lang w:eastAsia="en-AU"/>
              </w:rPr>
              <w:t>non-financial assets</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color w:val="FFFFFF"/>
                <w:szCs w:val="16"/>
                <w:lang w:eastAsia="en-AU"/>
              </w:rPr>
            </w:pPr>
            <w:r w:rsidRPr="005A36FE">
              <w:rPr>
                <w:rFonts w:eastAsiaTheme="minorEastAsia" w:cs="Calibri"/>
                <w:color w:val="FFFFFF"/>
                <w:szCs w:val="16"/>
                <w:lang w:eastAsia="en-AU"/>
              </w:rPr>
              <w:t>State of Victoria</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Economic Development, Jobs, Transport and Resources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13 839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12 485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4 735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2 895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Education and Training</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16 071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15 066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686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399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Environment, Land, Water and Planning</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8 887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8 565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1 155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1 501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Health and Human Services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24 668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22 819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1 856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1 307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Justice and Regulation</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6 433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5 881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305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462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Premier and Cabinet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524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393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Treasury and Finance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16 260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15 070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Parliament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174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Courts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538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495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auto"/>
              <w:right w:val="nil"/>
            </w:tcBorders>
          </w:tcPr>
          <w:p w:rsidR="00BB6F1F" w:rsidRPr="005A36FE" w:rsidRDefault="00BB6F1F" w:rsidP="00AC68FF">
            <w:pPr>
              <w:keepLines w:val="0"/>
              <w:autoSpaceDE w:val="0"/>
              <w:autoSpaceDN w:val="0"/>
              <w:adjustRightInd w:val="0"/>
              <w:rPr>
                <w:rFonts w:eastAsiaTheme="minorEastAsia" w:cs="Calibri"/>
                <w:color w:val="000000"/>
                <w:szCs w:val="16"/>
                <w:vertAlign w:val="superscript"/>
                <w:lang w:eastAsia="en-AU"/>
              </w:rPr>
            </w:pPr>
            <w:r w:rsidRPr="005A36FE">
              <w:rPr>
                <w:rFonts w:eastAsiaTheme="minorEastAsia" w:cs="Calibri"/>
                <w:color w:val="000000"/>
                <w:szCs w:val="16"/>
                <w:lang w:eastAsia="en-AU"/>
              </w:rPr>
              <w:t xml:space="preserve">Regulatory bodies and other part budget funded agencies </w:t>
            </w:r>
            <w:r w:rsidRPr="005A36FE">
              <w:rPr>
                <w:rFonts w:eastAsiaTheme="minorEastAsia" w:cs="Calibri"/>
                <w:color w:val="000000"/>
                <w:szCs w:val="16"/>
                <w:vertAlign w:val="superscript"/>
                <w:lang w:eastAsia="en-AU"/>
              </w:rPr>
              <w:t>(a)</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2 278</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2 107</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123</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108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Total</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5A36FE">
              <w:rPr>
                <w:rFonts w:eastAsiaTheme="minorEastAsia" w:cs="Calibri"/>
                <w:b/>
                <w:bCs/>
                <w:color w:val="000000"/>
                <w:szCs w:val="16"/>
                <w:lang w:eastAsia="en-AU"/>
              </w:rPr>
              <w:t>89 689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5A36FE">
              <w:rPr>
                <w:rFonts w:eastAsiaTheme="minorEastAsia" w:cs="Calibri"/>
                <w:b/>
                <w:bCs/>
                <w:color w:val="000000"/>
                <w:szCs w:val="16"/>
                <w:lang w:eastAsia="en-AU"/>
              </w:rPr>
              <w:t>83 055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5A36FE">
              <w:rPr>
                <w:rFonts w:eastAsiaTheme="minorEastAsia" w:cs="Calibri"/>
                <w:b/>
                <w:bCs/>
                <w:color w:val="000000"/>
                <w:szCs w:val="16"/>
                <w:lang w:eastAsia="en-AU"/>
              </w:rPr>
              <w:t>9 043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5A36FE">
              <w:rPr>
                <w:rFonts w:eastAsiaTheme="minorEastAsia" w:cs="Calibri"/>
                <w:b/>
                <w:bCs/>
                <w:color w:val="000000"/>
                <w:szCs w:val="16"/>
                <w:lang w:eastAsia="en-AU"/>
              </w:rPr>
              <w:t>6 788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auto"/>
              <w:right w:val="nil"/>
            </w:tcBorders>
          </w:tcPr>
          <w:p w:rsidR="00BB6F1F" w:rsidRPr="005A36FE" w:rsidRDefault="00BB6F1F" w:rsidP="00AC68FF">
            <w:pPr>
              <w:keepLines w:val="0"/>
              <w:autoSpaceDE w:val="0"/>
              <w:autoSpaceDN w:val="0"/>
              <w:adjustRightInd w:val="0"/>
              <w:rPr>
                <w:rFonts w:eastAsiaTheme="minorEastAsia" w:cs="Calibri"/>
                <w:i/>
                <w:iCs/>
                <w:color w:val="000000"/>
                <w:szCs w:val="16"/>
                <w:vertAlign w:val="superscript"/>
                <w:lang w:eastAsia="en-AU"/>
              </w:rPr>
            </w:pPr>
            <w:r w:rsidRPr="005A36FE">
              <w:rPr>
                <w:rFonts w:eastAsiaTheme="minorEastAsia" w:cs="Calibri"/>
                <w:i/>
                <w:iCs/>
                <w:color w:val="000000"/>
                <w:szCs w:val="16"/>
                <w:lang w:eastAsia="en-AU"/>
              </w:rPr>
              <w:t xml:space="preserve">Less eliminations and adjustments </w:t>
            </w:r>
            <w:r w:rsidRPr="00A22419">
              <w:rPr>
                <w:rFonts w:eastAsiaTheme="minorEastAsia" w:cs="Calibri"/>
                <w:iCs/>
                <w:color w:val="000000"/>
                <w:szCs w:val="16"/>
                <w:vertAlign w:val="superscript"/>
                <w:lang w:eastAsia="en-AU"/>
              </w:rPr>
              <w:t>(b)(c)</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(21 631)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(19 970)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48</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BB6F1F" w:rsidRPr="005A36FE" w:rsidRDefault="00BB6F1F" w:rsidP="00AC68FF">
            <w:pPr>
              <w:keepLines w:val="0"/>
              <w:autoSpaceDE w:val="0"/>
              <w:autoSpaceDN w:val="0"/>
              <w:adjustRightInd w:val="0"/>
              <w:rPr>
                <w:rFonts w:eastAsiaTheme="minorEastAsia" w:cs="Calibri"/>
                <w:bCs/>
                <w:color w:val="000000"/>
                <w:szCs w:val="16"/>
                <w:vertAlign w:val="superscript"/>
                <w:lang w:eastAsia="en-AU"/>
              </w:rPr>
            </w:pPr>
            <w:r w:rsidRPr="005A36FE">
              <w:rPr>
                <w:rFonts w:eastAsiaTheme="minorEastAsia" w:cs="Calibri"/>
                <w:bCs/>
                <w:color w:val="000000"/>
                <w:szCs w:val="16"/>
                <w:lang w:eastAsia="en-AU"/>
              </w:rPr>
              <w:t xml:space="preserve">Grand total </w:t>
            </w:r>
            <w:r w:rsidRPr="005A36FE">
              <w:rPr>
                <w:rFonts w:eastAsiaTheme="minorEastAsia" w:cs="Calibri"/>
                <w:bCs/>
                <w:color w:val="000000"/>
                <w:szCs w:val="16"/>
                <w:vertAlign w:val="superscript"/>
                <w:lang w:eastAsia="en-AU"/>
              </w:rPr>
              <w:t>(b)</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68 058</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63 085</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9 086</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6 836</w:t>
            </w:r>
          </w:p>
        </w:tc>
      </w:tr>
    </w:tbl>
    <w:p w:rsidR="00BB6F1F" w:rsidRPr="005A36FE" w:rsidRDefault="00BB6F1F" w:rsidP="00AC68FF">
      <w:pPr>
        <w:pStyle w:val="Note"/>
        <w:rPr>
          <w:b/>
          <w:bCs/>
          <w:lang w:val="en-US"/>
        </w:rPr>
      </w:pP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color w:val="FFFFFF"/>
                <w:szCs w:val="16"/>
                <w:lang w:eastAsia="en-AU"/>
              </w:rPr>
            </w:pPr>
            <w:r w:rsidRPr="005A36FE">
              <w:rPr>
                <w:rFonts w:eastAsiaTheme="minorEastAsia" w:cs="Calibri"/>
                <w:color w:val="FFFFFF"/>
                <w:szCs w:val="16"/>
                <w:lang w:eastAsia="en-AU"/>
              </w:rPr>
              <w:t>General government sector</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Economic Development, Jobs, Transport and Resources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9 207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8 142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4 492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2 256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Education and Training</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16 071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15 066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686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399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Environment, Land, Water and Planning</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3 241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2 628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Health and Human Services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23 063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21 672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1 384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Justice and Regulation</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6 249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5 712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304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459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Premier and Cabinet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502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374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Treasury and Finance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6 796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6 680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Parliament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174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Courts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538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495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auto"/>
              <w:right w:val="nil"/>
            </w:tcBorders>
          </w:tcPr>
          <w:p w:rsidR="00BB6F1F" w:rsidRPr="005A36FE" w:rsidRDefault="00BB6F1F" w:rsidP="00AC68FF">
            <w:pPr>
              <w:keepLines w:val="0"/>
              <w:autoSpaceDE w:val="0"/>
              <w:autoSpaceDN w:val="0"/>
              <w:adjustRightInd w:val="0"/>
              <w:rPr>
                <w:rFonts w:eastAsiaTheme="minorEastAsia" w:cs="Calibri"/>
                <w:color w:val="000000"/>
                <w:szCs w:val="16"/>
                <w:vertAlign w:val="superscript"/>
                <w:lang w:eastAsia="en-AU"/>
              </w:rPr>
            </w:pPr>
            <w:r w:rsidRPr="005A36FE">
              <w:rPr>
                <w:rFonts w:eastAsiaTheme="minorEastAsia" w:cs="Calibri"/>
                <w:color w:val="000000"/>
                <w:szCs w:val="16"/>
                <w:lang w:eastAsia="en-AU"/>
              </w:rPr>
              <w:t xml:space="preserve">Regulatory bodies and other part budget funded agencies </w:t>
            </w:r>
            <w:r w:rsidRPr="005A36FE">
              <w:rPr>
                <w:rFonts w:eastAsiaTheme="minorEastAsia" w:cs="Calibri"/>
                <w:color w:val="000000"/>
                <w:szCs w:val="16"/>
                <w:vertAlign w:val="superscript"/>
                <w:lang w:eastAsia="en-AU"/>
              </w:rPr>
              <w:t>(a)</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2 278</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2 107</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123</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108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Total</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5A36FE">
              <w:rPr>
                <w:rFonts w:eastAsiaTheme="minorEastAsia" w:cs="Calibri"/>
                <w:b/>
                <w:bCs/>
                <w:color w:val="000000"/>
                <w:szCs w:val="16"/>
                <w:lang w:eastAsia="en-AU"/>
              </w:rPr>
              <w:t>68 137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5A36FE">
              <w:rPr>
                <w:rFonts w:eastAsiaTheme="minorEastAsia" w:cs="Calibri"/>
                <w:b/>
                <w:bCs/>
                <w:color w:val="000000"/>
                <w:szCs w:val="16"/>
                <w:lang w:eastAsia="en-AU"/>
              </w:rPr>
              <w:t>63 051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5A36FE">
              <w:rPr>
                <w:rFonts w:eastAsiaTheme="minorEastAsia" w:cs="Calibri"/>
                <w:b/>
                <w:bCs/>
                <w:color w:val="000000"/>
                <w:szCs w:val="16"/>
                <w:lang w:eastAsia="en-AU"/>
              </w:rPr>
              <w:t>7 197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5A36FE">
              <w:rPr>
                <w:rFonts w:eastAsiaTheme="minorEastAsia" w:cs="Calibri"/>
                <w:b/>
                <w:bCs/>
                <w:color w:val="000000"/>
                <w:szCs w:val="16"/>
                <w:lang w:eastAsia="en-AU"/>
              </w:rPr>
              <w:t>4 393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auto"/>
              <w:right w:val="nil"/>
            </w:tcBorders>
          </w:tcPr>
          <w:p w:rsidR="00BB6F1F" w:rsidRPr="005A36FE" w:rsidRDefault="00BB6F1F" w:rsidP="00AC68FF">
            <w:pPr>
              <w:keepLines w:val="0"/>
              <w:autoSpaceDE w:val="0"/>
              <w:autoSpaceDN w:val="0"/>
              <w:adjustRightInd w:val="0"/>
              <w:rPr>
                <w:rFonts w:eastAsiaTheme="minorEastAsia" w:cs="Calibri"/>
                <w:i/>
                <w:iCs/>
                <w:color w:val="000000"/>
                <w:szCs w:val="16"/>
                <w:vertAlign w:val="superscript"/>
                <w:lang w:eastAsia="en-AU"/>
              </w:rPr>
            </w:pPr>
            <w:r w:rsidRPr="005A36FE">
              <w:rPr>
                <w:rFonts w:eastAsiaTheme="minorEastAsia" w:cs="Calibri"/>
                <w:i/>
                <w:iCs/>
                <w:color w:val="000000"/>
                <w:szCs w:val="16"/>
                <w:lang w:eastAsia="en-AU"/>
              </w:rPr>
              <w:t xml:space="preserve">Less eliminations and adjustments </w:t>
            </w:r>
            <w:r w:rsidRPr="00A22419">
              <w:rPr>
                <w:rFonts w:eastAsiaTheme="minorEastAsia" w:cs="Calibri"/>
                <w:iCs/>
                <w:color w:val="000000"/>
                <w:szCs w:val="16"/>
                <w:vertAlign w:val="superscript"/>
                <w:lang w:eastAsia="en-AU"/>
              </w:rPr>
              <w:t>(c)</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(9 927)</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(8 999)</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81</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26</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BB6F1F" w:rsidRPr="005A36FE" w:rsidRDefault="00BB6F1F" w:rsidP="00AC68FF">
            <w:pPr>
              <w:keepLines w:val="0"/>
              <w:autoSpaceDE w:val="0"/>
              <w:autoSpaceDN w:val="0"/>
              <w:adjustRightInd w:val="0"/>
              <w:rPr>
                <w:rFonts w:eastAsiaTheme="minorEastAsia" w:cs="Calibri"/>
                <w:bCs/>
                <w:color w:val="000000"/>
                <w:szCs w:val="16"/>
                <w:lang w:eastAsia="en-AU"/>
              </w:rPr>
            </w:pPr>
            <w:r w:rsidRPr="005A36FE">
              <w:rPr>
                <w:rFonts w:eastAsiaTheme="minorEastAsia" w:cs="Calibri"/>
                <w:bCs/>
                <w:color w:val="000000"/>
                <w:szCs w:val="16"/>
                <w:lang w:eastAsia="en-AU"/>
              </w:rPr>
              <w:t>Grand total</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58 210</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54 052</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7 278</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4 420</w:t>
            </w:r>
          </w:p>
        </w:tc>
      </w:tr>
    </w:tbl>
    <w:p w:rsidR="00BB6F1F" w:rsidRPr="00152EA1" w:rsidRDefault="00BB6F1F" w:rsidP="00AC68FF">
      <w:pPr>
        <w:pStyle w:val="Note"/>
        <w:rPr>
          <w:lang w:val="en-US"/>
        </w:rPr>
      </w:pPr>
      <w:r w:rsidRPr="00232500">
        <w:t>Notes:</w:t>
      </w:r>
    </w:p>
    <w:p w:rsidR="00BB6F1F" w:rsidRDefault="00BB6F1F" w:rsidP="00AC68FF">
      <w:pPr>
        <w:pStyle w:val="Note"/>
      </w:pPr>
      <w:r w:rsidRPr="00232500">
        <w:t>(a)</w:t>
      </w:r>
      <w:r w:rsidRPr="00232500">
        <w:tab/>
        <w:t>Other general government sector agencies not allocated to departmental portfolios.</w:t>
      </w:r>
    </w:p>
    <w:p w:rsidR="00BB6F1F" w:rsidRPr="004E06C4" w:rsidRDefault="00BB6F1F" w:rsidP="00AC68FF">
      <w:pPr>
        <w:pStyle w:val="Note"/>
      </w:pPr>
      <w:r>
        <w:t>(b)</w:t>
      </w:r>
      <w:r>
        <w:tab/>
      </w:r>
      <w:r w:rsidRPr="008B5089">
        <w:t>June 2016 comparative figures have been restated to reflect the reclassification of borrowings</w:t>
      </w:r>
      <w:r>
        <w:t xml:space="preserve"> and investments </w:t>
      </w:r>
      <w:r w:rsidRPr="008B5089">
        <w:t xml:space="preserve">sold at a premium </w:t>
      </w:r>
      <w:r>
        <w:t xml:space="preserve">/ discount </w:t>
      </w:r>
      <w:r w:rsidRPr="008B5089">
        <w:t xml:space="preserve">from interest expense to interest revenue.  </w:t>
      </w:r>
    </w:p>
    <w:p w:rsidR="00BB6F1F" w:rsidRPr="00232500" w:rsidRDefault="00BB6F1F" w:rsidP="00AC68FF">
      <w:pPr>
        <w:pStyle w:val="Note"/>
      </w:pPr>
      <w:r>
        <w:t>(c</w:t>
      </w:r>
      <w:r w:rsidRPr="00232500">
        <w:t>)</w:t>
      </w:r>
      <w:r w:rsidRPr="00232500">
        <w:tab/>
        <w:t>Mainly comprising of payroll tax, capital asset charge and inter-departmental transfers.</w:t>
      </w:r>
    </w:p>
    <w:p w:rsidR="00BB6F1F" w:rsidRDefault="00BB6F1F" w:rsidP="00BB6F1F">
      <w:pPr>
        <w:pStyle w:val="Heading2"/>
        <w:numPr>
          <w:ilvl w:val="1"/>
          <w:numId w:val="24"/>
        </w:numPr>
      </w:pPr>
      <w:bookmarkStart w:id="28" w:name="_Toc492984826"/>
      <w:r>
        <w:t>Government purpose classification disclosure</w:t>
      </w:r>
      <w:bookmarkEnd w:id="28"/>
    </w:p>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AC68FF">
      <w:r>
        <w:lastRenderedPageBreak/>
        <w:t>The Government purpose classification (</w:t>
      </w:r>
      <w:r w:rsidRPr="00AF543C">
        <w:rPr>
          <w:b/>
        </w:rPr>
        <w:t>GPC</w:t>
      </w:r>
      <w:r>
        <w:t>) framework disclosures required under AASB 1049 classify expenses, acquisition of non-financial assets of the public sector and total assets of the State and general government sector in terms of their purposes.</w:t>
      </w:r>
    </w:p>
    <w:p w:rsidR="00BB6F1F" w:rsidRDefault="00BB6F1F" w:rsidP="00AC68FF">
      <w:r>
        <w:t xml:space="preserve">This information is presented to facilitate improved inter-jurisdictional comparison of the financial operations of public sector jurisdictions. </w:t>
      </w:r>
    </w:p>
    <w:p w:rsidR="00BB6F1F" w:rsidRDefault="00BB6F1F" w:rsidP="00AC68FF">
      <w:r>
        <w:t xml:space="preserve">The major groups reflect the broad objectives of government and the groups and subgroups detail the means by which these broad objectives are achieved. </w:t>
      </w:r>
    </w:p>
    <w:p w:rsidR="00BB6F1F" w:rsidRDefault="00BB6F1F" w:rsidP="00AC68FF">
      <w:r w:rsidRPr="00AF543C">
        <w:rPr>
          <w:b/>
        </w:rPr>
        <w:lastRenderedPageBreak/>
        <w:t>General public services</w:t>
      </w:r>
      <w:r>
        <w:t>: Includes legislative and executive affairs, financial and fiscal affairs, external affairs, foreign economic aid, general research, general economic and social services, general statistical services and government superannuation benefits.</w:t>
      </w:r>
    </w:p>
    <w:p w:rsidR="00BB6F1F" w:rsidRDefault="00BB6F1F" w:rsidP="00AC68FF">
      <w:r w:rsidRPr="00AF543C">
        <w:rPr>
          <w:b/>
        </w:rPr>
        <w:t>Public order and safety</w:t>
      </w:r>
      <w:r>
        <w:t>: Includes police and fire protection services, law courts and legal services, prisons and corrective services and control of domestic animals and livestock.</w:t>
      </w:r>
    </w:p>
    <w:p w:rsidR="00BB6F1F" w:rsidRDefault="00BB6F1F" w:rsidP="00AC68FF">
      <w:r w:rsidRPr="00AF543C">
        <w:rPr>
          <w:b/>
        </w:rPr>
        <w:t>Education</w:t>
      </w:r>
      <w:r>
        <w:t>: Includes primary and secondary education, university and other higher education, technical and further education, preschool and special education and transportation of students.</w:t>
      </w:r>
    </w:p>
    <w:p w:rsidR="00BB6F1F" w:rsidRDefault="00BB6F1F" w:rsidP="00AC68FF">
      <w:r w:rsidRPr="00AF543C">
        <w:rPr>
          <w:b/>
        </w:rPr>
        <w:lastRenderedPageBreak/>
        <w:t>Health</w:t>
      </w:r>
      <w:r>
        <w:t>: Includes general hospitals, repatriation hospitals, mental health institutions, nursing homes, special hospitals, hospital benefits, medical clinics and practitioners, dental clinics and practitioners, maternal and infant health, ambulance services, medical benefits, school and other public health services, pharmaceuticals, medical aids and appliances and health research.</w:t>
      </w:r>
    </w:p>
    <w:p w:rsidR="00BB6F1F" w:rsidRDefault="00BB6F1F" w:rsidP="00AC68FF">
      <w:r w:rsidRPr="00AF543C">
        <w:rPr>
          <w:b/>
        </w:rPr>
        <w:t>Social security and welfare</w:t>
      </w:r>
      <w:r>
        <w:t>: Includes sickness benefits, benefits to ex-servicemen and their dependants, invalid and other permanent disablement benefits, old-age benefits, widows, deserted wives, divorcee and orphan benefits, unemployment benefits, family and child benefits, sole parent benefits, family and child welfare and aged and handicapped welfare.</w:t>
      </w:r>
    </w:p>
    <w:p w:rsidR="00BB6F1F" w:rsidRDefault="00BB6F1F" w:rsidP="00AC68FF">
      <w:r w:rsidRPr="00AF543C">
        <w:rPr>
          <w:b/>
        </w:rPr>
        <w:t>Housing and community amenities</w:t>
      </w:r>
      <w:r>
        <w:t>: Includes housing and community development, water supply, household garbage and other sanitation, sewerage, urban stormwater drainage, protection of the environment and street lighting.</w:t>
      </w:r>
    </w:p>
    <w:p w:rsidR="00BB6F1F" w:rsidRDefault="00BB6F1F" w:rsidP="00AC68FF">
      <w:r w:rsidRPr="00AF543C">
        <w:rPr>
          <w:b/>
        </w:rPr>
        <w:t>Recreation and culture</w:t>
      </w:r>
      <w:r>
        <w:t>: Includes public halls and civic centres, swimming pools and beaches, national parks and wildlife, libraries, creative and performing arts, museums, art galleries, broadcasting and film production.</w:t>
      </w:r>
    </w:p>
    <w:p w:rsidR="00BB6F1F" w:rsidRDefault="00BB6F1F" w:rsidP="00AC68FF">
      <w:pPr>
        <w:spacing w:before="0"/>
      </w:pPr>
      <w:r>
        <w:rPr>
          <w:b/>
        </w:rPr>
        <w:br w:type="column"/>
      </w:r>
      <w:r w:rsidRPr="00AF543C">
        <w:rPr>
          <w:b/>
        </w:rPr>
        <w:lastRenderedPageBreak/>
        <w:t>Fuel and energy</w:t>
      </w:r>
      <w:r>
        <w:t>: Includes coal, petroleum, gas, nuclear affairs and electricity.</w:t>
      </w:r>
    </w:p>
    <w:p w:rsidR="00BB6F1F" w:rsidRDefault="00BB6F1F" w:rsidP="00AC68FF">
      <w:r w:rsidRPr="00AF543C">
        <w:rPr>
          <w:b/>
        </w:rPr>
        <w:t>Agriculture, forestry, fishing and hunting</w:t>
      </w:r>
      <w:r>
        <w:t>: Includes agricultural land management, agricultural water resources management, agricultural support schemes, agricultural research and extension services, forestry, fishing and hunting.</w:t>
      </w:r>
    </w:p>
    <w:p w:rsidR="00BB6F1F" w:rsidRDefault="00BB6F1F" w:rsidP="00AC68FF">
      <w:r w:rsidRPr="00AF543C">
        <w:rPr>
          <w:b/>
        </w:rPr>
        <w:t>Transport and communications</w:t>
      </w:r>
      <w:r>
        <w:t>: Includes road construction, road maintenance, parking, water transport, rail transport, air transport, pipelines, multi-mode urban transit systems and communications.</w:t>
      </w:r>
    </w:p>
    <w:p w:rsidR="00BB6F1F" w:rsidRDefault="00BB6F1F" w:rsidP="00AC68FF">
      <w:r w:rsidRPr="00AF543C">
        <w:rPr>
          <w:b/>
        </w:rPr>
        <w:t>Other economic affairs</w:t>
      </w:r>
      <w:r>
        <w:t>: Includes storage, saleyards, markets, tourism and area promotion and labour and employment affairs.</w:t>
      </w:r>
    </w:p>
    <w:p w:rsidR="00BB6F1F" w:rsidRDefault="00BB6F1F" w:rsidP="00AC68FF">
      <w:r w:rsidRPr="00AF543C">
        <w:rPr>
          <w:b/>
        </w:rPr>
        <w:t>Other purposes</w:t>
      </w:r>
      <w:r>
        <w:t>: Includes public debt transactions, general purpose inter government transactions and natural disaster relief.</w:t>
      </w:r>
    </w:p>
    <w:p w:rsidR="00BB6F1F" w:rsidRDefault="00BB6F1F">
      <w:pPr>
        <w:keepLines w:val="0"/>
        <w:sectPr w:rsidR="00BB6F1F" w:rsidSect="00AC68FF">
          <w:type w:val="continuous"/>
          <w:pgSz w:w="11907" w:h="16839" w:code="9"/>
          <w:pgMar w:top="1134" w:right="1134" w:bottom="1134" w:left="1134" w:header="624" w:footer="567" w:gutter="0"/>
          <w:cols w:num="2" w:space="567"/>
          <w:docGrid w:linePitch="360"/>
        </w:sectPr>
      </w:pPr>
    </w:p>
    <w:p w:rsidR="00BB6F1F" w:rsidRPr="006C448B" w:rsidRDefault="00BB6F1F" w:rsidP="002311FD">
      <w:pPr>
        <w:pStyle w:val="Heading30"/>
        <w:pBdr>
          <w:bottom w:val="none" w:sz="0" w:space="0" w:color="auto"/>
        </w:pBdr>
        <w:spacing w:before="0"/>
      </w:pPr>
      <w:r>
        <w:lastRenderedPageBreak/>
        <w:br w:type="page"/>
      </w:r>
      <w:r>
        <w:lastRenderedPageBreak/>
        <w:t xml:space="preserve">Total operating expenses, purchases of non-financial assets and total assets by government purpose classification </w:t>
      </w:r>
    </w:p>
    <w:p w:rsidR="00BB6F1F" w:rsidRDefault="00BB6F1F" w:rsidP="00AC68FF">
      <w:r>
        <w:t>The following table presents operating and capital expenditure and total assets held by government purpose classification.</w:t>
      </w:r>
    </w:p>
    <w:p w:rsidR="00BB6F1F" w:rsidRPr="005A36FE" w:rsidRDefault="00BB6F1F" w:rsidP="00AC68FF">
      <w:pPr>
        <w:pStyle w:val="TableUnits"/>
        <w:rPr>
          <w:bCs/>
          <w:lang w:val="en-US"/>
        </w:rPr>
      </w:pPr>
      <w:r>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195"/>
        <w:gridCol w:w="907"/>
        <w:gridCol w:w="907"/>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shd w:val="solid" w:color="000000" w:fill="FFFFFF"/>
          </w:tcPr>
          <w:p w:rsidR="00BB6F1F" w:rsidRPr="005A36FE" w:rsidRDefault="00BB6F1F" w:rsidP="00AC68FF">
            <w:pPr>
              <w:autoSpaceDE w:val="0"/>
              <w:autoSpaceDN w:val="0"/>
              <w:adjustRightInd w:val="0"/>
              <w:rPr>
                <w:rFonts w:eastAsiaTheme="minorEastAsia" w:cs="Calibri"/>
                <w:iCs/>
                <w:color w:val="FFFFFF"/>
                <w:szCs w:val="18"/>
                <w:lang w:eastAsia="en-AU"/>
              </w:rPr>
            </w:pPr>
            <w:r w:rsidRPr="005A36FE">
              <w:rPr>
                <w:rFonts w:eastAsiaTheme="minorEastAsia" w:cs="Calibri"/>
                <w:iCs/>
                <w:color w:val="FFFFFF"/>
                <w:szCs w:val="18"/>
                <w:lang w:eastAsia="en-AU"/>
              </w:rPr>
              <w:t xml:space="preserve"> </w:t>
            </w:r>
          </w:p>
        </w:tc>
        <w:tc>
          <w:tcPr>
            <w:tcW w:w="1814" w:type="dxa"/>
            <w:gridSpan w:val="2"/>
            <w:tcBorders>
              <w:top w:val="nil"/>
              <w:left w:val="nil"/>
              <w:bottom w:val="nil"/>
              <w:right w:val="nil"/>
            </w:tcBorders>
            <w:shd w:val="solid" w:color="000000" w:fill="FFFFFF"/>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Expenses from transactions</w:t>
            </w:r>
          </w:p>
        </w:tc>
        <w:tc>
          <w:tcPr>
            <w:tcW w:w="1814" w:type="dxa"/>
            <w:gridSpan w:val="2"/>
            <w:tcBorders>
              <w:top w:val="nil"/>
              <w:left w:val="nil"/>
              <w:bottom w:val="nil"/>
              <w:right w:val="nil"/>
            </w:tcBorders>
            <w:shd w:val="solid" w:color="000000" w:fill="FFFFFF"/>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Purchases of </w:t>
            </w:r>
            <w:r w:rsidR="00842AE8">
              <w:rPr>
                <w:rFonts w:eastAsiaTheme="minorEastAsia" w:cs="Calibri"/>
                <w:iCs/>
                <w:color w:val="FFFFFF"/>
                <w:szCs w:val="18"/>
                <w:lang w:eastAsia="en-AU"/>
              </w:rPr>
              <w:br/>
            </w:r>
            <w:r w:rsidRPr="005A36FE">
              <w:rPr>
                <w:rFonts w:eastAsiaTheme="minorEastAsia" w:cs="Calibri"/>
                <w:iCs/>
                <w:color w:val="FFFFFF"/>
                <w:szCs w:val="18"/>
                <w:lang w:eastAsia="en-AU"/>
              </w:rPr>
              <w:t>non-financial assets</w:t>
            </w:r>
          </w:p>
        </w:tc>
        <w:tc>
          <w:tcPr>
            <w:tcW w:w="1814" w:type="dxa"/>
            <w:gridSpan w:val="2"/>
            <w:tcBorders>
              <w:top w:val="nil"/>
              <w:left w:val="nil"/>
              <w:bottom w:val="nil"/>
              <w:right w:val="nil"/>
            </w:tcBorders>
            <w:shd w:val="solid" w:color="000000" w:fill="FFFFFF"/>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Total assets</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shd w:val="solid" w:color="000000" w:fill="FFFFFF"/>
          </w:tcPr>
          <w:p w:rsidR="00BB6F1F" w:rsidRPr="005A36FE" w:rsidRDefault="00BB6F1F" w:rsidP="00AC68FF">
            <w:pPr>
              <w:keepLines w:val="0"/>
              <w:autoSpaceDE w:val="0"/>
              <w:autoSpaceDN w:val="0"/>
              <w:adjustRightInd w:val="0"/>
              <w:rPr>
                <w:rFonts w:eastAsiaTheme="minorEastAsia" w:cs="Calibri"/>
                <w:iCs/>
                <w:color w:val="FFFFFF"/>
                <w:szCs w:val="18"/>
                <w:lang w:eastAsia="en-AU"/>
              </w:rPr>
            </w:pPr>
            <w:r w:rsidRPr="005A36FE">
              <w:rPr>
                <w:rFonts w:eastAsiaTheme="minorEastAsia" w:cs="Calibri"/>
                <w:iCs/>
                <w:color w:val="FFFFFF"/>
                <w:szCs w:val="18"/>
                <w:lang w:eastAsia="en-AU"/>
              </w:rPr>
              <w:t>State of Victoria</w:t>
            </w:r>
          </w:p>
        </w:tc>
        <w:tc>
          <w:tcPr>
            <w:tcW w:w="907" w:type="dxa"/>
            <w:tcBorders>
              <w:top w:val="nil"/>
              <w:left w:val="nil"/>
              <w:bottom w:val="nil"/>
              <w:right w:val="nil"/>
            </w:tcBorders>
            <w:shd w:val="solid" w:color="000000" w:fill="FFFFFF"/>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FFFFFF"/>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c>
          <w:tcPr>
            <w:tcW w:w="907" w:type="dxa"/>
            <w:tcBorders>
              <w:top w:val="nil"/>
              <w:left w:val="nil"/>
              <w:bottom w:val="nil"/>
              <w:right w:val="nil"/>
            </w:tcBorders>
            <w:shd w:val="solid" w:color="000000" w:fill="FFFFFF"/>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FFFFFF"/>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c>
          <w:tcPr>
            <w:tcW w:w="907" w:type="dxa"/>
            <w:tcBorders>
              <w:top w:val="nil"/>
              <w:left w:val="nil"/>
              <w:bottom w:val="nil"/>
              <w:right w:val="nil"/>
            </w:tcBorders>
            <w:shd w:val="solid" w:color="000000" w:fill="FFFFFF"/>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FFFFFF"/>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General public services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10 199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8 967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3 067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3 310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 xml:space="preserve">Public order and safety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6 631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6 155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502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677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8 301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9 191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Education</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14 116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13 359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688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355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22 667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22 013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vertAlign w:val="superscript"/>
                <w:lang w:eastAsia="en-AU"/>
              </w:rPr>
            </w:pPr>
            <w:r w:rsidRPr="005A36FE">
              <w:rPr>
                <w:rFonts w:eastAsiaTheme="minorEastAsia" w:cs="Calibri"/>
                <w:color w:val="000000"/>
                <w:szCs w:val="18"/>
                <w:lang w:eastAsia="en-AU"/>
              </w:rPr>
              <w:t xml:space="preserve">Health </w:t>
            </w:r>
            <w:r w:rsidRPr="005A36FE">
              <w:rPr>
                <w:rFonts w:eastAsiaTheme="minorEastAsia" w:cs="Calibri"/>
                <w:color w:val="000000"/>
                <w:szCs w:val="18"/>
                <w:vertAlign w:val="superscript"/>
                <w:lang w:eastAsia="en-AU"/>
              </w:rPr>
              <w:t>(a)</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16 799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15 378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1 222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936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14 649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13 831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vertAlign w:val="superscript"/>
                <w:lang w:eastAsia="en-AU"/>
              </w:rPr>
            </w:pPr>
            <w:r w:rsidRPr="005A36FE">
              <w:rPr>
                <w:rFonts w:eastAsiaTheme="minorEastAsia" w:cs="Calibri"/>
                <w:color w:val="000000"/>
                <w:szCs w:val="18"/>
                <w:lang w:eastAsia="en-AU"/>
              </w:rPr>
              <w:t xml:space="preserve">Social security and welfare </w:t>
            </w:r>
            <w:r w:rsidRPr="005A36FE">
              <w:rPr>
                <w:rFonts w:eastAsiaTheme="minorEastAsia" w:cs="Calibri"/>
                <w:color w:val="000000"/>
                <w:szCs w:val="18"/>
                <w:vertAlign w:val="superscript"/>
                <w:lang w:eastAsia="en-AU"/>
              </w:rPr>
              <w:t>(a)</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4 201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4 342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2 129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2 014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vertAlign w:val="superscript"/>
                <w:lang w:eastAsia="en-AU"/>
              </w:rPr>
            </w:pPr>
            <w:r w:rsidRPr="005A36FE">
              <w:rPr>
                <w:rFonts w:eastAsiaTheme="minorEastAsia" w:cs="Calibri"/>
                <w:color w:val="000000"/>
                <w:szCs w:val="18"/>
                <w:lang w:eastAsia="en-AU"/>
              </w:rPr>
              <w:t xml:space="preserve">Housing and community amenities </w:t>
            </w:r>
            <w:r w:rsidRPr="005A36FE">
              <w:rPr>
                <w:rFonts w:eastAsiaTheme="minorEastAsia" w:cs="Calibri"/>
                <w:color w:val="000000"/>
                <w:szCs w:val="18"/>
                <w:vertAlign w:val="superscript"/>
                <w:lang w:eastAsia="en-AU"/>
              </w:rPr>
              <w:t>(b)</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7 077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5 879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1 707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1 725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80 252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76 730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vertAlign w:val="superscript"/>
                <w:lang w:eastAsia="en-AU"/>
              </w:rPr>
            </w:pPr>
            <w:r w:rsidRPr="005A36FE">
              <w:rPr>
                <w:rFonts w:eastAsiaTheme="minorEastAsia" w:cs="Calibri"/>
                <w:color w:val="000000"/>
                <w:szCs w:val="18"/>
                <w:lang w:eastAsia="en-AU"/>
              </w:rPr>
              <w:t>Recreation and culture</w:t>
            </w:r>
            <w:r w:rsidRPr="005A36FE">
              <w:rPr>
                <w:rFonts w:eastAsiaTheme="minorEastAsia" w:cs="Calibri"/>
                <w:color w:val="000000"/>
                <w:szCs w:val="18"/>
                <w:vertAlign w:val="superscript"/>
                <w:lang w:eastAsia="en-AU"/>
              </w:rPr>
              <w:t xml:space="preserve"> (a)</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1 606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1 602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270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15 643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14 317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Fuel and energy</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Agriculture, forestry, fishing and hunting</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484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513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651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670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Transport and communications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6 281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5 673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4 305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2 561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96 026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88 952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Other economic affairs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1 097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762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437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738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vertAlign w:val="superscript"/>
                <w:lang w:eastAsia="en-AU"/>
              </w:rPr>
            </w:pPr>
            <w:r w:rsidRPr="005A36FE">
              <w:rPr>
                <w:rFonts w:eastAsiaTheme="minorEastAsia" w:cs="Calibri"/>
                <w:color w:val="000000"/>
                <w:szCs w:val="18"/>
                <w:lang w:eastAsia="en-AU"/>
              </w:rPr>
              <w:t xml:space="preserve">Other purposes </w:t>
            </w:r>
            <w:r w:rsidRPr="005A36FE">
              <w:rPr>
                <w:rFonts w:eastAsiaTheme="minorEastAsia" w:cs="Calibri"/>
                <w:color w:val="000000"/>
                <w:szCs w:val="18"/>
                <w:vertAlign w:val="superscript"/>
                <w:lang w:eastAsia="en-AU"/>
              </w:rPr>
              <w:t>(c)</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1 906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2 034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vertAlign w:val="superscript"/>
                <w:lang w:eastAsia="en-AU"/>
              </w:rPr>
            </w:pPr>
            <w:r w:rsidRPr="005A36FE">
              <w:rPr>
                <w:rFonts w:eastAsiaTheme="minorEastAsia" w:cs="Calibri"/>
                <w:color w:val="000000"/>
                <w:szCs w:val="18"/>
                <w:lang w:eastAsia="en-AU"/>
              </w:rPr>
              <w:t>Not allocated by purpose</w:t>
            </w:r>
            <w:r w:rsidRPr="005A36FE">
              <w:rPr>
                <w:rFonts w:eastAsiaTheme="minorEastAsia" w:cs="Calibri"/>
                <w:color w:val="000000"/>
                <w:szCs w:val="18"/>
                <w:vertAlign w:val="superscript"/>
                <w:lang w:eastAsia="en-AU"/>
              </w:rPr>
              <w:t xml:space="preserve"> (d)(e)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(2 520)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(1 709)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57 963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50 213</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tcBorders>
              <w:top w:val="single" w:sz="6" w:space="0" w:color="000000"/>
              <w:bottom w:val="single" w:sz="12" w:space="0" w:color="auto"/>
            </w:tcBorders>
          </w:tcPr>
          <w:p w:rsidR="00BB6F1F" w:rsidRPr="005A36FE" w:rsidRDefault="00BB6F1F" w:rsidP="00AC68FF">
            <w:pPr>
              <w:keepLines w:val="0"/>
              <w:autoSpaceDE w:val="0"/>
              <w:autoSpaceDN w:val="0"/>
              <w:adjustRightInd w:val="0"/>
              <w:rPr>
                <w:rFonts w:eastAsiaTheme="minorEastAsia" w:cs="Calibri"/>
                <w:bCs/>
                <w:color w:val="000000"/>
                <w:szCs w:val="16"/>
                <w:lang w:eastAsia="en-AU"/>
              </w:rPr>
            </w:pPr>
            <w:r w:rsidRPr="005A36FE">
              <w:rPr>
                <w:rFonts w:eastAsiaTheme="minorEastAsia" w:cs="Calibri"/>
                <w:bCs/>
                <w:color w:val="000000"/>
                <w:szCs w:val="16"/>
                <w:lang w:eastAsia="en-AU"/>
              </w:rPr>
              <w:t>Total</w:t>
            </w:r>
          </w:p>
        </w:tc>
        <w:tc>
          <w:tcPr>
            <w:tcW w:w="907" w:type="dxa"/>
            <w:tcBorders>
              <w:top w:val="single" w:sz="6" w:space="0" w:color="000000"/>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68 058</w:t>
            </w:r>
          </w:p>
        </w:tc>
        <w:tc>
          <w:tcPr>
            <w:tcW w:w="907" w:type="dxa"/>
            <w:tcBorders>
              <w:top w:val="single" w:sz="6" w:space="0" w:color="000000"/>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63 085</w:t>
            </w:r>
          </w:p>
        </w:tc>
        <w:tc>
          <w:tcPr>
            <w:tcW w:w="907" w:type="dxa"/>
            <w:tcBorders>
              <w:top w:val="single" w:sz="6" w:space="0" w:color="000000"/>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9 086</w:t>
            </w:r>
          </w:p>
        </w:tc>
        <w:tc>
          <w:tcPr>
            <w:tcW w:w="907" w:type="dxa"/>
            <w:tcBorders>
              <w:top w:val="single" w:sz="6" w:space="0" w:color="000000"/>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6 836</w:t>
            </w:r>
          </w:p>
        </w:tc>
        <w:tc>
          <w:tcPr>
            <w:tcW w:w="907" w:type="dxa"/>
            <w:tcBorders>
              <w:top w:val="single" w:sz="6" w:space="0" w:color="000000"/>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301 818</w:t>
            </w:r>
          </w:p>
        </w:tc>
        <w:tc>
          <w:tcPr>
            <w:tcW w:w="907" w:type="dxa"/>
            <w:tcBorders>
              <w:top w:val="single" w:sz="6" w:space="0" w:color="000000"/>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282 006</w:t>
            </w:r>
          </w:p>
        </w:tc>
      </w:tr>
    </w:tbl>
    <w:p w:rsidR="00BB6F1F" w:rsidRPr="005A36FE" w:rsidRDefault="00BB6F1F" w:rsidP="00AC68FF">
      <w:pPr>
        <w:rPr>
          <w:b/>
          <w:bCs/>
          <w:lang w:val="en-US"/>
        </w:rPr>
      </w:pP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195"/>
        <w:gridCol w:w="907"/>
        <w:gridCol w:w="907"/>
        <w:gridCol w:w="907"/>
        <w:gridCol w:w="907"/>
        <w:gridCol w:w="907"/>
        <w:gridCol w:w="907"/>
      </w:tblGrid>
      <w:tr w:rsidR="00BB6F1F" w:rsidRPr="005A36FE" w:rsidTr="002311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shd w:val="solid" w:color="000000" w:fill="FFFFFF"/>
          </w:tcPr>
          <w:p w:rsidR="00BB6F1F" w:rsidRPr="005A36FE" w:rsidRDefault="00BB6F1F" w:rsidP="00AC68FF">
            <w:pPr>
              <w:autoSpaceDE w:val="0"/>
              <w:autoSpaceDN w:val="0"/>
              <w:adjustRightInd w:val="0"/>
              <w:rPr>
                <w:rFonts w:eastAsiaTheme="minorEastAsia" w:cs="Calibri"/>
                <w:iCs/>
                <w:color w:val="FFFFFF"/>
                <w:szCs w:val="18"/>
                <w:lang w:eastAsia="en-AU"/>
              </w:rPr>
            </w:pPr>
            <w:r w:rsidRPr="005A36FE">
              <w:rPr>
                <w:rFonts w:eastAsiaTheme="minorEastAsia" w:cs="Calibri"/>
                <w:iCs/>
                <w:color w:val="FFFFFF"/>
                <w:szCs w:val="18"/>
                <w:lang w:eastAsia="en-AU"/>
              </w:rPr>
              <w:t>General government sector</w:t>
            </w:r>
          </w:p>
        </w:tc>
        <w:tc>
          <w:tcPr>
            <w:tcW w:w="907" w:type="dxa"/>
            <w:tcBorders>
              <w:top w:val="nil"/>
              <w:left w:val="nil"/>
              <w:bottom w:val="nil"/>
              <w:right w:val="nil"/>
            </w:tcBorders>
            <w:shd w:val="solid" w:color="000000" w:fill="FFFFFF"/>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 </w:t>
            </w:r>
          </w:p>
        </w:tc>
        <w:tc>
          <w:tcPr>
            <w:tcW w:w="907" w:type="dxa"/>
            <w:tcBorders>
              <w:top w:val="nil"/>
              <w:left w:val="nil"/>
              <w:bottom w:val="nil"/>
              <w:right w:val="nil"/>
            </w:tcBorders>
            <w:shd w:val="solid" w:color="000000" w:fill="FFFFFF"/>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 </w:t>
            </w:r>
          </w:p>
        </w:tc>
        <w:tc>
          <w:tcPr>
            <w:tcW w:w="907" w:type="dxa"/>
            <w:tcBorders>
              <w:top w:val="nil"/>
              <w:left w:val="nil"/>
              <w:bottom w:val="nil"/>
              <w:right w:val="nil"/>
            </w:tcBorders>
            <w:shd w:val="solid" w:color="000000" w:fill="FFFFFF"/>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 </w:t>
            </w:r>
          </w:p>
        </w:tc>
        <w:tc>
          <w:tcPr>
            <w:tcW w:w="907" w:type="dxa"/>
            <w:tcBorders>
              <w:top w:val="nil"/>
              <w:left w:val="nil"/>
              <w:bottom w:val="nil"/>
              <w:right w:val="nil"/>
            </w:tcBorders>
            <w:shd w:val="solid" w:color="000000" w:fill="FFFFFF"/>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 </w:t>
            </w:r>
          </w:p>
        </w:tc>
        <w:tc>
          <w:tcPr>
            <w:tcW w:w="907" w:type="dxa"/>
            <w:tcBorders>
              <w:top w:val="nil"/>
              <w:left w:val="nil"/>
              <w:bottom w:val="nil"/>
              <w:right w:val="nil"/>
            </w:tcBorders>
            <w:shd w:val="solid" w:color="000000" w:fill="FFFFFF"/>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 </w:t>
            </w:r>
          </w:p>
        </w:tc>
        <w:tc>
          <w:tcPr>
            <w:tcW w:w="907" w:type="dxa"/>
            <w:tcBorders>
              <w:top w:val="nil"/>
              <w:left w:val="nil"/>
              <w:bottom w:val="nil"/>
              <w:right w:val="nil"/>
            </w:tcBorders>
            <w:shd w:val="solid" w:color="000000" w:fill="FFFFFF"/>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General public services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2 615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2 662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2 195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1 592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 xml:space="preserve">Public order and safety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6 740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6 269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502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677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8 301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9 191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Education</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14 185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13 424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688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355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22 667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22 013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vertAlign w:val="superscript"/>
                <w:lang w:eastAsia="en-AU"/>
              </w:rPr>
            </w:pPr>
            <w:r w:rsidRPr="005A36FE">
              <w:rPr>
                <w:rFonts w:eastAsiaTheme="minorEastAsia" w:cs="Calibri"/>
                <w:color w:val="000000"/>
                <w:szCs w:val="18"/>
                <w:lang w:eastAsia="en-AU"/>
              </w:rPr>
              <w:t xml:space="preserve">Health </w:t>
            </w:r>
            <w:r w:rsidRPr="005A36FE">
              <w:rPr>
                <w:rFonts w:eastAsiaTheme="minorEastAsia" w:cs="Calibri"/>
                <w:color w:val="000000"/>
                <w:szCs w:val="18"/>
                <w:vertAlign w:val="superscript"/>
                <w:lang w:eastAsia="en-AU"/>
              </w:rPr>
              <w:t>(a)</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16 932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15 498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1 223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935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14 627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13 810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vertAlign w:val="superscript"/>
                <w:lang w:eastAsia="en-AU"/>
              </w:rPr>
            </w:pPr>
            <w:r w:rsidRPr="005A36FE">
              <w:rPr>
                <w:rFonts w:eastAsiaTheme="minorEastAsia" w:cs="Calibri"/>
                <w:color w:val="000000"/>
                <w:szCs w:val="18"/>
                <w:lang w:eastAsia="en-AU"/>
              </w:rPr>
              <w:t xml:space="preserve">Social security and welfare </w:t>
            </w:r>
            <w:r w:rsidRPr="005A36FE">
              <w:rPr>
                <w:rFonts w:eastAsiaTheme="minorEastAsia" w:cs="Calibri"/>
                <w:color w:val="000000"/>
                <w:szCs w:val="18"/>
                <w:vertAlign w:val="superscript"/>
                <w:lang w:eastAsia="en-AU"/>
              </w:rPr>
              <w:t>(a)</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4 242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4 372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2 129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2 014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vertAlign w:val="superscript"/>
                <w:lang w:eastAsia="en-AU"/>
              </w:rPr>
            </w:pPr>
            <w:r w:rsidRPr="005A36FE">
              <w:rPr>
                <w:rFonts w:eastAsiaTheme="minorEastAsia" w:cs="Calibri"/>
                <w:color w:val="000000"/>
                <w:szCs w:val="18"/>
                <w:lang w:eastAsia="en-AU"/>
              </w:rPr>
              <w:t xml:space="preserve">Housing and community amenities </w:t>
            </w:r>
            <w:r w:rsidRPr="005A36FE">
              <w:rPr>
                <w:rFonts w:eastAsiaTheme="minorEastAsia" w:cs="Calibri"/>
                <w:color w:val="000000"/>
                <w:szCs w:val="18"/>
                <w:vertAlign w:val="superscript"/>
                <w:lang w:eastAsia="en-AU"/>
              </w:rPr>
              <w:t>(b)</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3 346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2 610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9 747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8 326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vertAlign w:val="superscript"/>
                <w:lang w:eastAsia="en-AU"/>
              </w:rPr>
            </w:pPr>
            <w:r w:rsidRPr="005A36FE">
              <w:rPr>
                <w:rFonts w:eastAsiaTheme="minorEastAsia" w:cs="Calibri"/>
                <w:color w:val="000000"/>
                <w:szCs w:val="18"/>
                <w:lang w:eastAsia="en-AU"/>
              </w:rPr>
              <w:t>Recreation and culture</w:t>
            </w:r>
            <w:r w:rsidRPr="005A36FE">
              <w:rPr>
                <w:rFonts w:eastAsiaTheme="minorEastAsia" w:cs="Calibri"/>
                <w:color w:val="000000"/>
                <w:szCs w:val="18"/>
                <w:vertAlign w:val="superscript"/>
                <w:lang w:eastAsia="en-AU"/>
              </w:rPr>
              <w:t xml:space="preserve"> (a)</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778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802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9 537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8 900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Fuel and energy</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Agriculture, forestry, fishing and hunting</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387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414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591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603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Transport and communications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7 008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6 245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4 339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2 046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53 787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48 791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Other economic affairs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1 205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857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437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738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lang w:eastAsia="en-AU"/>
              </w:rPr>
            </w:pPr>
            <w:r w:rsidRPr="005A36FE">
              <w:rPr>
                <w:rFonts w:eastAsiaTheme="minorEastAsia" w:cs="Calibri"/>
                <w:color w:val="000000"/>
                <w:szCs w:val="18"/>
                <w:lang w:eastAsia="en-AU"/>
              </w:rPr>
              <w:t>Other purposes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1 141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1 350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8"/>
                <w:vertAlign w:val="superscript"/>
                <w:lang w:eastAsia="en-AU"/>
              </w:rPr>
            </w:pPr>
            <w:r w:rsidRPr="005A36FE">
              <w:rPr>
                <w:rFonts w:eastAsiaTheme="minorEastAsia" w:cs="Calibri"/>
                <w:color w:val="000000"/>
                <w:szCs w:val="18"/>
                <w:lang w:eastAsia="en-AU"/>
              </w:rPr>
              <w:t>Not allocated by purpose</w:t>
            </w:r>
            <w:r w:rsidRPr="005A36FE">
              <w:rPr>
                <w:rFonts w:eastAsiaTheme="minorEastAsia" w:cs="Calibri"/>
                <w:color w:val="000000"/>
                <w:szCs w:val="18"/>
                <w:vertAlign w:val="superscript"/>
                <w:lang w:eastAsia="en-AU"/>
              </w:rPr>
              <w:t xml:space="preserve"> (d)(e)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(551)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(579)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120 431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112 345</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tcBorders>
              <w:top w:val="single" w:sz="6" w:space="0" w:color="000000"/>
              <w:bottom w:val="single" w:sz="12" w:space="0" w:color="auto"/>
            </w:tcBorders>
          </w:tcPr>
          <w:p w:rsidR="00BB6F1F" w:rsidRPr="005A36FE" w:rsidRDefault="00BB6F1F" w:rsidP="00AC68FF">
            <w:pPr>
              <w:keepLines w:val="0"/>
              <w:autoSpaceDE w:val="0"/>
              <w:autoSpaceDN w:val="0"/>
              <w:adjustRightInd w:val="0"/>
              <w:rPr>
                <w:rFonts w:eastAsiaTheme="minorEastAsia" w:cs="Calibri"/>
                <w:bCs/>
                <w:color w:val="000000"/>
                <w:szCs w:val="16"/>
                <w:lang w:eastAsia="en-AU"/>
              </w:rPr>
            </w:pPr>
            <w:r w:rsidRPr="005A36FE">
              <w:rPr>
                <w:rFonts w:eastAsiaTheme="minorEastAsia" w:cs="Calibri"/>
                <w:bCs/>
                <w:color w:val="000000"/>
                <w:szCs w:val="16"/>
                <w:lang w:eastAsia="en-AU"/>
              </w:rPr>
              <w:t>Total</w:t>
            </w:r>
          </w:p>
        </w:tc>
        <w:tc>
          <w:tcPr>
            <w:tcW w:w="907" w:type="dxa"/>
            <w:tcBorders>
              <w:top w:val="single" w:sz="6" w:space="0" w:color="000000"/>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58 210</w:t>
            </w:r>
          </w:p>
        </w:tc>
        <w:tc>
          <w:tcPr>
            <w:tcW w:w="907" w:type="dxa"/>
            <w:tcBorders>
              <w:top w:val="single" w:sz="6" w:space="0" w:color="000000"/>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54 052</w:t>
            </w:r>
          </w:p>
        </w:tc>
        <w:tc>
          <w:tcPr>
            <w:tcW w:w="907" w:type="dxa"/>
            <w:tcBorders>
              <w:top w:val="single" w:sz="6" w:space="0" w:color="000000"/>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7 278</w:t>
            </w:r>
          </w:p>
        </w:tc>
        <w:tc>
          <w:tcPr>
            <w:tcW w:w="907" w:type="dxa"/>
            <w:tcBorders>
              <w:top w:val="single" w:sz="6" w:space="0" w:color="000000"/>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4 420</w:t>
            </w:r>
          </w:p>
        </w:tc>
        <w:tc>
          <w:tcPr>
            <w:tcW w:w="907" w:type="dxa"/>
            <w:tcBorders>
              <w:top w:val="single" w:sz="6" w:space="0" w:color="000000"/>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244 478</w:t>
            </w:r>
          </w:p>
        </w:tc>
        <w:tc>
          <w:tcPr>
            <w:tcW w:w="907" w:type="dxa"/>
            <w:tcBorders>
              <w:top w:val="single" w:sz="6" w:space="0" w:color="000000"/>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228 345</w:t>
            </w:r>
          </w:p>
        </w:tc>
      </w:tr>
    </w:tbl>
    <w:p w:rsidR="00BB6F1F" w:rsidRDefault="00BB6F1F" w:rsidP="00AC68FF">
      <w:pPr>
        <w:pStyle w:val="Note"/>
      </w:pPr>
      <w:r>
        <w:t>Notes:</w:t>
      </w:r>
    </w:p>
    <w:p w:rsidR="00BB6F1F" w:rsidRDefault="00BB6F1F" w:rsidP="00AC68FF">
      <w:pPr>
        <w:pStyle w:val="Note"/>
      </w:pPr>
      <w:r>
        <w:t>(a)</w:t>
      </w:r>
      <w:r>
        <w:tab/>
      </w:r>
      <w:r w:rsidRPr="008C00E4">
        <w:t>June 2016 comparative figures have been restated to reflect more current information.</w:t>
      </w:r>
    </w:p>
    <w:p w:rsidR="00BB6F1F" w:rsidRDefault="00BB6F1F" w:rsidP="00AC68FF">
      <w:pPr>
        <w:pStyle w:val="Note"/>
      </w:pPr>
      <w:r>
        <w:t>(b)</w:t>
      </w:r>
      <w:r>
        <w:tab/>
      </w:r>
      <w:r w:rsidRPr="00181405">
        <w:t xml:space="preserve">June 2016 comparative figures </w:t>
      </w:r>
      <w:r>
        <w:t xml:space="preserve">for total assets </w:t>
      </w:r>
      <w:r w:rsidRPr="00181405">
        <w:t xml:space="preserve">have been restated to reflect an adjustment to the Department of Environment, Land, Water and Planning's intangible produced assets due to the </w:t>
      </w:r>
      <w:r>
        <w:t xml:space="preserve">first-time </w:t>
      </w:r>
      <w:r w:rsidRPr="00181405">
        <w:t>recognition of Renewable Energy Certificates.  </w:t>
      </w:r>
    </w:p>
    <w:p w:rsidR="00BB6F1F" w:rsidRDefault="00BB6F1F" w:rsidP="00AC68FF">
      <w:pPr>
        <w:pStyle w:val="Note"/>
      </w:pPr>
      <w:r>
        <w:t>(c)</w:t>
      </w:r>
      <w:r>
        <w:tab/>
      </w:r>
      <w:r w:rsidRPr="008B5089">
        <w:t xml:space="preserve">June 2016 comparative figures </w:t>
      </w:r>
      <w:r>
        <w:t xml:space="preserve">for the State of Victoria </w:t>
      </w:r>
      <w:r w:rsidRPr="008B5089">
        <w:t>have been restated to reflect the reclassification of borrowings</w:t>
      </w:r>
      <w:r>
        <w:t xml:space="preserve"> and investments </w:t>
      </w:r>
      <w:r w:rsidRPr="008B5089">
        <w:t xml:space="preserve">sold at a premium </w:t>
      </w:r>
      <w:r>
        <w:t xml:space="preserve">/ discount, </w:t>
      </w:r>
      <w:r w:rsidRPr="008B5089">
        <w:t>from interest expense to interest revenue.</w:t>
      </w:r>
    </w:p>
    <w:p w:rsidR="00BB6F1F" w:rsidRPr="004E06C4" w:rsidRDefault="00BB6F1F" w:rsidP="00AC68FF">
      <w:pPr>
        <w:pStyle w:val="Note"/>
      </w:pPr>
      <w:r>
        <w:t>(d)</w:t>
      </w:r>
      <w:r>
        <w:tab/>
        <w:t>Not allocated by purpose for expenses and purchases of non-financial assets represents eliminations and adjustments.</w:t>
      </w:r>
      <w:r w:rsidRPr="008B5089">
        <w:t xml:space="preserve">  </w:t>
      </w:r>
    </w:p>
    <w:p w:rsidR="00BB6F1F" w:rsidRDefault="00BB6F1F" w:rsidP="00AC68FF">
      <w:pPr>
        <w:pStyle w:val="Note"/>
      </w:pPr>
      <w:r>
        <w:t>(e)</w:t>
      </w:r>
      <w:r>
        <w:tab/>
        <w:t>Not allocated by purpose for total assets represents eliminations and adjustments, and financial assets which are not able to be allocated by purpose.</w:t>
      </w:r>
    </w:p>
    <w:p w:rsidR="00BB6F1F" w:rsidRDefault="00BB6F1F" w:rsidP="00AC68FF">
      <w:pPr>
        <w:pStyle w:val="Note"/>
      </w:pPr>
    </w:p>
    <w:p w:rsidR="00BB6F1F" w:rsidRDefault="00BB6F1F" w:rsidP="00AC68FF"/>
    <w:p w:rsidR="00BB6F1F" w:rsidRDefault="00BB6F1F" w:rsidP="00AC68FF"/>
    <w:bookmarkEnd w:id="22"/>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r>
        <w:t xml:space="preserve"> </w:t>
      </w:r>
    </w:p>
    <w:p w:rsidR="00BB6F1F" w:rsidRDefault="00BB6F1F" w:rsidP="00BB6F1F">
      <w:pPr>
        <w:pStyle w:val="Heading1"/>
        <w:numPr>
          <w:ilvl w:val="0"/>
          <w:numId w:val="24"/>
        </w:numPr>
        <w:pBdr>
          <w:bottom w:val="none" w:sz="0" w:space="0" w:color="auto"/>
        </w:pBdr>
        <w:sectPr w:rsidR="00BB6F1F" w:rsidSect="00AC68FF">
          <w:headerReference w:type="default" r:id="rId61"/>
          <w:pgSz w:w="11907" w:h="16839" w:code="9"/>
          <w:pgMar w:top="1134" w:right="1134" w:bottom="1134" w:left="1134" w:header="624" w:footer="567" w:gutter="0"/>
          <w:cols w:sep="1" w:space="567"/>
          <w:docGrid w:linePitch="360"/>
        </w:sectPr>
      </w:pPr>
      <w:bookmarkStart w:id="29" w:name="_Toc492985875"/>
      <w:bookmarkStart w:id="30" w:name="Section_04"/>
      <w:r>
        <w:lastRenderedPageBreak/>
        <w:t>Major assets and investments</w:t>
      </w:r>
      <w:bookmarkEnd w:id="29"/>
    </w:p>
    <w:p w:rsidR="00BB6F1F" w:rsidRDefault="00BB6F1F" w:rsidP="00AC68FF">
      <w:pPr>
        <w:pStyle w:val="Heading30"/>
      </w:pPr>
      <w:r>
        <w:lastRenderedPageBreak/>
        <w:t>Introduction</w:t>
      </w:r>
    </w:p>
    <w:p w:rsidR="00BB6F1F" w:rsidRDefault="00BB6F1F" w:rsidP="00AC68FF">
      <w:r>
        <w:t>This section outlines those assets that the State controls, reflecting investing activities in the current and prior years.</w:t>
      </w:r>
    </w:p>
    <w:p w:rsidR="00BB6F1F" w:rsidRDefault="00BB6F1F" w:rsidP="00AC68FF">
      <w:pPr>
        <w:pStyle w:val="Heading30"/>
      </w:pPr>
      <w:r>
        <w:br w:type="column"/>
      </w:r>
      <w:r>
        <w:lastRenderedPageBreak/>
        <w:t>Structure</w:t>
      </w:r>
    </w:p>
    <w:p w:rsidR="00BB6F1F" w:rsidRDefault="00BB6F1F">
      <w:pPr>
        <w:pStyle w:val="TOC9"/>
        <w:rPr>
          <w:rFonts w:eastAsiaTheme="minorEastAsia"/>
          <w:noProof/>
          <w:spacing w:val="0"/>
          <w:lang w:eastAsia="en-AU"/>
        </w:rPr>
      </w:pPr>
      <w:r>
        <w:fldChar w:fldCharType="begin"/>
      </w:r>
      <w:r>
        <w:instrText xml:space="preserve"> TOC \h \z \t "Heading 2 (#),9" \b Section_04 \* MERGEFORMAT </w:instrText>
      </w:r>
      <w:r>
        <w:fldChar w:fldCharType="separate"/>
      </w:r>
      <w:hyperlink w:anchor="_Toc492984839" w:history="1">
        <w:r w:rsidRPr="00BC1DF7">
          <w:rPr>
            <w:rStyle w:val="Hyperlink"/>
            <w:noProof/>
          </w:rPr>
          <w:t>4.1</w:t>
        </w:r>
        <w:r>
          <w:rPr>
            <w:rFonts w:eastAsiaTheme="minorEastAsia"/>
            <w:noProof/>
            <w:spacing w:val="0"/>
            <w:lang w:eastAsia="en-AU"/>
          </w:rPr>
          <w:tab/>
        </w:r>
        <w:r w:rsidRPr="00BC1DF7">
          <w:rPr>
            <w:rStyle w:val="Hyperlink"/>
            <w:noProof/>
          </w:rPr>
          <w:t>Land, buildings, infrastructure, plant and equipment</w:t>
        </w:r>
        <w:r>
          <w:rPr>
            <w:noProof/>
            <w:webHidden/>
          </w:rPr>
          <w:tab/>
        </w:r>
        <w:r>
          <w:rPr>
            <w:noProof/>
            <w:webHidden/>
          </w:rPr>
          <w:fldChar w:fldCharType="begin"/>
        </w:r>
        <w:r>
          <w:rPr>
            <w:noProof/>
            <w:webHidden/>
          </w:rPr>
          <w:instrText xml:space="preserve"> PAGEREF _Toc492984839 \h </w:instrText>
        </w:r>
        <w:r>
          <w:rPr>
            <w:noProof/>
            <w:webHidden/>
          </w:rPr>
        </w:r>
        <w:r>
          <w:rPr>
            <w:noProof/>
            <w:webHidden/>
          </w:rPr>
          <w:fldChar w:fldCharType="separate"/>
        </w:r>
        <w:r w:rsidR="002C7F26">
          <w:rPr>
            <w:noProof/>
            <w:webHidden/>
          </w:rPr>
          <w:t>49</w:t>
        </w:r>
        <w:r>
          <w:rPr>
            <w:noProof/>
            <w:webHidden/>
          </w:rPr>
          <w:fldChar w:fldCharType="end"/>
        </w:r>
      </w:hyperlink>
    </w:p>
    <w:p w:rsidR="00BB6F1F" w:rsidRDefault="00E73501">
      <w:pPr>
        <w:pStyle w:val="TOC9"/>
        <w:rPr>
          <w:rFonts w:eastAsiaTheme="minorEastAsia"/>
          <w:noProof/>
          <w:spacing w:val="0"/>
          <w:lang w:eastAsia="en-AU"/>
        </w:rPr>
      </w:pPr>
      <w:hyperlink w:anchor="_Toc492984840" w:history="1">
        <w:r w:rsidR="00BB6F1F" w:rsidRPr="00BC1DF7">
          <w:rPr>
            <w:rStyle w:val="Hyperlink"/>
            <w:noProof/>
          </w:rPr>
          <w:t>4.2</w:t>
        </w:r>
        <w:r w:rsidR="00BB6F1F">
          <w:rPr>
            <w:rFonts w:eastAsiaTheme="minorEastAsia"/>
            <w:noProof/>
            <w:spacing w:val="0"/>
            <w:lang w:eastAsia="en-AU"/>
          </w:rPr>
          <w:tab/>
        </w:r>
        <w:r w:rsidR="00BB6F1F" w:rsidRPr="00BC1DF7">
          <w:rPr>
            <w:rStyle w:val="Hyperlink"/>
            <w:noProof/>
          </w:rPr>
          <w:t>Other non-financial assets</w:t>
        </w:r>
        <w:r w:rsidR="00BB6F1F">
          <w:rPr>
            <w:noProof/>
            <w:webHidden/>
          </w:rPr>
          <w:tab/>
        </w:r>
        <w:r w:rsidR="00BB6F1F">
          <w:rPr>
            <w:noProof/>
            <w:webHidden/>
          </w:rPr>
          <w:fldChar w:fldCharType="begin"/>
        </w:r>
        <w:r w:rsidR="00BB6F1F">
          <w:rPr>
            <w:noProof/>
            <w:webHidden/>
          </w:rPr>
          <w:instrText xml:space="preserve"> PAGEREF _Toc492984840 \h </w:instrText>
        </w:r>
        <w:r w:rsidR="00BB6F1F">
          <w:rPr>
            <w:noProof/>
            <w:webHidden/>
          </w:rPr>
        </w:r>
        <w:r w:rsidR="00BB6F1F">
          <w:rPr>
            <w:noProof/>
            <w:webHidden/>
          </w:rPr>
          <w:fldChar w:fldCharType="separate"/>
        </w:r>
        <w:r w:rsidR="002C7F26">
          <w:rPr>
            <w:noProof/>
            <w:webHidden/>
          </w:rPr>
          <w:t>55</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841" w:history="1">
        <w:r w:rsidR="00BB6F1F" w:rsidRPr="00BC1DF7">
          <w:rPr>
            <w:rStyle w:val="Hyperlink"/>
            <w:noProof/>
          </w:rPr>
          <w:t>4.3</w:t>
        </w:r>
        <w:r w:rsidR="00BB6F1F">
          <w:rPr>
            <w:rFonts w:eastAsiaTheme="minorEastAsia"/>
            <w:noProof/>
            <w:spacing w:val="0"/>
            <w:lang w:eastAsia="en-AU"/>
          </w:rPr>
          <w:tab/>
        </w:r>
        <w:r w:rsidR="00BB6F1F" w:rsidRPr="00BC1DF7">
          <w:rPr>
            <w:rStyle w:val="Hyperlink"/>
            <w:noProof/>
          </w:rPr>
          <w:t>Investments accounted for using the equity method and other joint operations</w:t>
        </w:r>
        <w:r w:rsidR="00BB6F1F">
          <w:rPr>
            <w:noProof/>
            <w:webHidden/>
          </w:rPr>
          <w:tab/>
        </w:r>
        <w:r w:rsidR="00BB6F1F">
          <w:rPr>
            <w:noProof/>
            <w:webHidden/>
          </w:rPr>
          <w:fldChar w:fldCharType="begin"/>
        </w:r>
        <w:r w:rsidR="00BB6F1F">
          <w:rPr>
            <w:noProof/>
            <w:webHidden/>
          </w:rPr>
          <w:instrText xml:space="preserve"> PAGEREF _Toc492984841 \h </w:instrText>
        </w:r>
        <w:r w:rsidR="00BB6F1F">
          <w:rPr>
            <w:noProof/>
            <w:webHidden/>
          </w:rPr>
        </w:r>
        <w:r w:rsidR="00BB6F1F">
          <w:rPr>
            <w:noProof/>
            <w:webHidden/>
          </w:rPr>
          <w:fldChar w:fldCharType="separate"/>
        </w:r>
        <w:r w:rsidR="002C7F26">
          <w:rPr>
            <w:noProof/>
            <w:webHidden/>
          </w:rPr>
          <w:t>56</w:t>
        </w:r>
        <w:r w:rsidR="00BB6F1F">
          <w:rPr>
            <w:noProof/>
            <w:webHidden/>
          </w:rPr>
          <w:fldChar w:fldCharType="end"/>
        </w:r>
      </w:hyperlink>
    </w:p>
    <w:p w:rsidR="00BB6F1F" w:rsidRDefault="00BB6F1F" w:rsidP="00AC68FF">
      <w:r>
        <w:fldChar w:fldCharType="end"/>
      </w:r>
    </w:p>
    <w:p w:rsidR="00BB6F1F" w:rsidRDefault="00BB6F1F" w:rsidP="00AC68FF">
      <w:pPr>
        <w:sectPr w:rsidR="00BB6F1F" w:rsidSect="00AC68FF">
          <w:type w:val="continuous"/>
          <w:pgSz w:w="11907" w:h="16839" w:code="9"/>
          <w:pgMar w:top="1134" w:right="1134" w:bottom="1134" w:left="1134" w:header="624" w:footer="567" w:gutter="0"/>
          <w:cols w:num="2" w:space="567"/>
          <w:docGrid w:linePitch="360"/>
        </w:sectPr>
      </w:pPr>
    </w:p>
    <w:p w:rsidR="00BB6F1F" w:rsidRDefault="00BB6F1F" w:rsidP="00BB6F1F">
      <w:pPr>
        <w:pStyle w:val="Heading2"/>
        <w:numPr>
          <w:ilvl w:val="1"/>
          <w:numId w:val="24"/>
        </w:numPr>
      </w:pPr>
      <w:bookmarkStart w:id="31" w:name="_Toc492984839"/>
      <w:r>
        <w:lastRenderedPageBreak/>
        <w:t>Land, buildings, infrastructure, plant and equipment</w:t>
      </w:r>
      <w:bookmarkEnd w:id="31"/>
    </w:p>
    <w:p w:rsidR="00BB6F1F" w:rsidRPr="005A36FE" w:rsidRDefault="00BB6F1F" w:rsidP="00BB6F1F">
      <w:pPr>
        <w:pStyle w:val="Heading3"/>
        <w:numPr>
          <w:ilvl w:val="2"/>
          <w:numId w:val="24"/>
        </w:numPr>
        <w:tabs>
          <w:tab w:val="right" w:pos="14572"/>
        </w:tabs>
        <w:ind w:left="851"/>
        <w:rPr>
          <w:lang w:val="en-US"/>
        </w:rPr>
      </w:pPr>
      <w:r>
        <w:t>Total land, buildings, infrastructure, plant and equipment</w:t>
      </w:r>
      <w:r>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3119"/>
        <w:gridCol w:w="283"/>
        <w:gridCol w:w="142"/>
        <w:gridCol w:w="850"/>
        <w:gridCol w:w="1134"/>
        <w:gridCol w:w="992"/>
        <w:gridCol w:w="143"/>
        <w:gridCol w:w="991"/>
        <w:gridCol w:w="1134"/>
        <w:gridCol w:w="850"/>
      </w:tblGrid>
      <w:tr w:rsidR="00C532A5" w:rsidRPr="005A36FE" w:rsidTr="00C53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gridSpan w:val="2"/>
            <w:tcBorders>
              <w:top w:val="nil"/>
              <w:left w:val="nil"/>
              <w:bottom w:val="nil"/>
              <w:right w:val="nil"/>
            </w:tcBorders>
            <w:shd w:val="solid" w:color="000000" w:fill="auto"/>
          </w:tcPr>
          <w:p w:rsidR="00C532A5" w:rsidRPr="005A36FE" w:rsidRDefault="00C532A5"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142" w:type="dxa"/>
            <w:tcBorders>
              <w:top w:val="nil"/>
              <w:left w:val="nil"/>
              <w:bottom w:val="nil"/>
              <w:right w:val="nil"/>
            </w:tcBorders>
            <w:shd w:val="solid" w:color="000000" w:fill="auto"/>
          </w:tcPr>
          <w:p w:rsidR="00C532A5" w:rsidRPr="005A36FE" w:rsidRDefault="00C532A5"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Arial"/>
                <w:i w:val="0"/>
                <w:iCs/>
                <w:color w:val="FFFFFF"/>
                <w:szCs w:val="18"/>
                <w:lang w:eastAsia="en-AU"/>
              </w:rPr>
            </w:pPr>
          </w:p>
        </w:tc>
        <w:tc>
          <w:tcPr>
            <w:tcW w:w="2976" w:type="dxa"/>
            <w:gridSpan w:val="3"/>
            <w:tcBorders>
              <w:top w:val="nil"/>
              <w:left w:val="nil"/>
              <w:bottom w:val="single" w:sz="6" w:space="0" w:color="FFFFFF" w:themeColor="background1"/>
              <w:right w:val="nil"/>
            </w:tcBorders>
            <w:shd w:val="solid" w:color="000000" w:fill="auto"/>
          </w:tcPr>
          <w:p w:rsidR="00C532A5" w:rsidRPr="005A36FE" w:rsidRDefault="00C532A5"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5A36FE">
              <w:rPr>
                <w:rFonts w:eastAsiaTheme="minorEastAsia" w:cs="Arial"/>
                <w:iCs/>
                <w:color w:val="FFFFFF"/>
                <w:szCs w:val="18"/>
                <w:lang w:eastAsia="en-AU"/>
              </w:rPr>
              <w:t>State of Victoria</w:t>
            </w:r>
          </w:p>
        </w:tc>
        <w:tc>
          <w:tcPr>
            <w:tcW w:w="143" w:type="dxa"/>
            <w:tcBorders>
              <w:top w:val="nil"/>
              <w:left w:val="nil"/>
              <w:bottom w:val="nil"/>
              <w:right w:val="nil"/>
            </w:tcBorders>
            <w:shd w:val="solid" w:color="000000" w:fill="auto"/>
          </w:tcPr>
          <w:p w:rsidR="00C532A5" w:rsidRPr="005A36FE" w:rsidRDefault="00C532A5"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Arial"/>
                <w:i w:val="0"/>
                <w:iCs/>
                <w:color w:val="FFFFFF"/>
                <w:szCs w:val="18"/>
                <w:lang w:eastAsia="en-AU"/>
              </w:rPr>
            </w:pPr>
          </w:p>
        </w:tc>
        <w:tc>
          <w:tcPr>
            <w:tcW w:w="2975" w:type="dxa"/>
            <w:gridSpan w:val="3"/>
            <w:tcBorders>
              <w:top w:val="nil"/>
              <w:left w:val="nil"/>
              <w:bottom w:val="single" w:sz="6" w:space="0" w:color="FFFFFF" w:themeColor="background1"/>
              <w:right w:val="nil"/>
            </w:tcBorders>
            <w:shd w:val="solid" w:color="000000" w:fill="auto"/>
          </w:tcPr>
          <w:p w:rsidR="00C532A5" w:rsidRPr="005A36FE" w:rsidRDefault="00C532A5"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5A36FE">
              <w:rPr>
                <w:rFonts w:eastAsiaTheme="minorEastAsia" w:cs="Arial"/>
                <w:iCs/>
                <w:color w:val="FFFFFF"/>
                <w:szCs w:val="18"/>
                <w:lang w:eastAsia="en-AU"/>
              </w:rPr>
              <w:t>General government sector</w:t>
            </w:r>
          </w:p>
        </w:tc>
      </w:tr>
      <w:tr w:rsidR="00F078AA" w:rsidRPr="005A36FE" w:rsidTr="00C532A5">
        <w:trPr>
          <w:cnfStyle w:val="100000000000" w:firstRow="1" w:lastRow="0" w:firstColumn="0" w:lastColumn="0" w:oddVBand="0" w:evenVBand="0" w:oddHBand="0" w:evenHBand="0" w:firstRowFirstColumn="0" w:firstRowLastColumn="0" w:lastRowFirstColumn="0" w:lastRowLastColumn="0"/>
          <w:trHeight w:val="392"/>
          <w:tblHeader/>
        </w:trPr>
        <w:tc>
          <w:tcPr>
            <w:cnfStyle w:val="001000000000" w:firstRow="0" w:lastRow="0" w:firstColumn="1" w:lastColumn="0" w:oddVBand="0" w:evenVBand="0" w:oddHBand="0" w:evenHBand="0" w:firstRowFirstColumn="0" w:firstRowLastColumn="0" w:lastRowFirstColumn="0" w:lastRowLastColumn="0"/>
            <w:tcW w:w="3119" w:type="dxa"/>
            <w:tcBorders>
              <w:top w:val="nil"/>
              <w:left w:val="nil"/>
              <w:bottom w:val="nil"/>
              <w:right w:val="nil"/>
            </w:tcBorders>
            <w:shd w:val="solid" w:color="000000" w:fill="auto"/>
          </w:tcPr>
          <w:p w:rsidR="00F078AA" w:rsidRPr="005A36FE" w:rsidRDefault="00F078AA"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szCs w:val="16"/>
                <w:lang w:eastAsia="en-AU"/>
              </w:rPr>
              <w:t>2017</w:t>
            </w:r>
          </w:p>
        </w:tc>
        <w:tc>
          <w:tcPr>
            <w:tcW w:w="1275" w:type="dxa"/>
            <w:gridSpan w:val="3"/>
            <w:tcBorders>
              <w:top w:val="nil"/>
              <w:left w:val="nil"/>
              <w:bottom w:val="nil"/>
              <w:right w:val="nil"/>
            </w:tcBorders>
            <w:shd w:val="solid" w:color="000000" w:fill="auto"/>
          </w:tcPr>
          <w:p w:rsidR="00F078AA" w:rsidRPr="005A36FE" w:rsidRDefault="00F078AA" w:rsidP="00F078A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5A36FE">
              <w:rPr>
                <w:rFonts w:eastAsiaTheme="minorEastAsia" w:cs="Arial"/>
                <w:iCs/>
                <w:color w:val="FFFFFF"/>
                <w:szCs w:val="18"/>
                <w:lang w:eastAsia="en-AU"/>
              </w:rPr>
              <w:t>Gross</w:t>
            </w:r>
            <w:r>
              <w:rPr>
                <w:rFonts w:eastAsiaTheme="minorEastAsia" w:cs="Arial"/>
                <w:iCs/>
                <w:color w:val="FFFFFF"/>
                <w:szCs w:val="18"/>
                <w:lang w:eastAsia="en-AU"/>
              </w:rPr>
              <w:t xml:space="preserve"> </w:t>
            </w:r>
            <w:r w:rsidRPr="005A36FE">
              <w:rPr>
                <w:rFonts w:eastAsiaTheme="minorEastAsia" w:cs="Arial"/>
                <w:iCs/>
                <w:color w:val="FFFFFF"/>
                <w:szCs w:val="18"/>
                <w:lang w:eastAsia="en-AU"/>
              </w:rPr>
              <w:t>carrying</w:t>
            </w:r>
            <w:r>
              <w:rPr>
                <w:rFonts w:eastAsiaTheme="minorEastAsia" w:cs="Arial"/>
                <w:iCs/>
                <w:color w:val="FFFFFF"/>
                <w:szCs w:val="18"/>
                <w:lang w:eastAsia="en-AU"/>
              </w:rPr>
              <w:t xml:space="preserve"> </w:t>
            </w:r>
            <w:r w:rsidRPr="005A36FE">
              <w:rPr>
                <w:rFonts w:eastAsiaTheme="minorEastAsia" w:cs="Arial"/>
                <w:iCs/>
                <w:color w:val="FFFFFF"/>
                <w:szCs w:val="18"/>
                <w:lang w:eastAsia="en-AU"/>
              </w:rPr>
              <w:t>amount</w:t>
            </w:r>
          </w:p>
        </w:tc>
        <w:tc>
          <w:tcPr>
            <w:tcW w:w="1134" w:type="dxa"/>
            <w:tcBorders>
              <w:top w:val="nil"/>
              <w:left w:val="nil"/>
              <w:bottom w:val="nil"/>
              <w:right w:val="nil"/>
            </w:tcBorders>
            <w:shd w:val="solid" w:color="000000" w:fill="auto"/>
          </w:tcPr>
          <w:p w:rsidR="00F078AA" w:rsidRPr="005A36FE" w:rsidRDefault="00F078AA" w:rsidP="00F078A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5A36FE">
              <w:rPr>
                <w:rFonts w:eastAsiaTheme="minorEastAsia" w:cs="Arial"/>
                <w:iCs/>
                <w:color w:val="FFFFFF"/>
                <w:szCs w:val="18"/>
                <w:lang w:eastAsia="en-AU"/>
              </w:rPr>
              <w:t>Accumulated</w:t>
            </w:r>
            <w:r>
              <w:rPr>
                <w:rFonts w:eastAsiaTheme="minorEastAsia" w:cs="Arial"/>
                <w:iCs/>
                <w:color w:val="FFFFFF"/>
                <w:szCs w:val="18"/>
                <w:lang w:eastAsia="en-AU"/>
              </w:rPr>
              <w:t xml:space="preserve"> </w:t>
            </w:r>
            <w:r w:rsidRPr="005A36FE">
              <w:rPr>
                <w:rFonts w:eastAsiaTheme="minorEastAsia" w:cs="Arial"/>
                <w:iCs/>
                <w:color w:val="FFFFFF"/>
                <w:szCs w:val="18"/>
                <w:lang w:eastAsia="en-AU"/>
              </w:rPr>
              <w:t>depreciation</w:t>
            </w:r>
          </w:p>
        </w:tc>
        <w:tc>
          <w:tcPr>
            <w:tcW w:w="992" w:type="dxa"/>
            <w:tcBorders>
              <w:top w:val="nil"/>
              <w:left w:val="nil"/>
              <w:bottom w:val="nil"/>
              <w:right w:val="nil"/>
            </w:tcBorders>
            <w:shd w:val="solid" w:color="000000" w:fill="auto"/>
          </w:tcPr>
          <w:p w:rsidR="00F078AA" w:rsidRPr="005A36FE" w:rsidRDefault="00F078AA" w:rsidP="00F078A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5A36FE">
              <w:rPr>
                <w:rFonts w:eastAsiaTheme="minorEastAsia" w:cs="Arial"/>
                <w:iCs/>
                <w:color w:val="FFFFFF"/>
                <w:szCs w:val="18"/>
                <w:lang w:eastAsia="en-AU"/>
              </w:rPr>
              <w:t>Carrying</w:t>
            </w:r>
            <w:r>
              <w:rPr>
                <w:rFonts w:eastAsiaTheme="minorEastAsia" w:cs="Arial"/>
                <w:iCs/>
                <w:color w:val="FFFFFF"/>
                <w:szCs w:val="18"/>
                <w:lang w:eastAsia="en-AU"/>
              </w:rPr>
              <w:t xml:space="preserve"> </w:t>
            </w:r>
            <w:r w:rsidRPr="005A36FE">
              <w:rPr>
                <w:rFonts w:eastAsiaTheme="minorEastAsia" w:cs="Arial"/>
                <w:iCs/>
                <w:color w:val="FFFFFF"/>
                <w:szCs w:val="18"/>
                <w:lang w:eastAsia="en-AU"/>
              </w:rPr>
              <w:t>amount</w:t>
            </w:r>
          </w:p>
        </w:tc>
        <w:tc>
          <w:tcPr>
            <w:tcW w:w="1134" w:type="dxa"/>
            <w:gridSpan w:val="2"/>
            <w:tcBorders>
              <w:top w:val="nil"/>
              <w:left w:val="nil"/>
              <w:bottom w:val="nil"/>
              <w:right w:val="nil"/>
            </w:tcBorders>
            <w:shd w:val="solid" w:color="000000" w:fill="auto"/>
          </w:tcPr>
          <w:p w:rsidR="00F078AA" w:rsidRPr="005A36FE" w:rsidRDefault="00F078AA" w:rsidP="00F078A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5A36FE">
              <w:rPr>
                <w:rFonts w:eastAsiaTheme="minorEastAsia" w:cs="Arial"/>
                <w:iCs/>
                <w:color w:val="FFFFFF"/>
                <w:szCs w:val="18"/>
                <w:lang w:eastAsia="en-AU"/>
              </w:rPr>
              <w:t>Gross</w:t>
            </w:r>
            <w:r>
              <w:rPr>
                <w:rFonts w:eastAsiaTheme="minorEastAsia" w:cs="Arial"/>
                <w:iCs/>
                <w:color w:val="FFFFFF"/>
                <w:szCs w:val="18"/>
                <w:lang w:eastAsia="en-AU"/>
              </w:rPr>
              <w:t xml:space="preserve"> </w:t>
            </w:r>
            <w:r w:rsidRPr="005A36FE">
              <w:rPr>
                <w:rFonts w:eastAsiaTheme="minorEastAsia" w:cs="Arial"/>
                <w:iCs/>
                <w:color w:val="FFFFFF"/>
                <w:szCs w:val="18"/>
                <w:lang w:eastAsia="en-AU"/>
              </w:rPr>
              <w:t>carrying</w:t>
            </w:r>
            <w:r>
              <w:rPr>
                <w:rFonts w:eastAsiaTheme="minorEastAsia" w:cs="Arial"/>
                <w:iCs/>
                <w:color w:val="FFFFFF"/>
                <w:szCs w:val="18"/>
                <w:lang w:eastAsia="en-AU"/>
              </w:rPr>
              <w:t xml:space="preserve"> </w:t>
            </w:r>
            <w:r w:rsidRPr="005A36FE">
              <w:rPr>
                <w:rFonts w:eastAsiaTheme="minorEastAsia" w:cs="Arial"/>
                <w:iCs/>
                <w:color w:val="FFFFFF"/>
                <w:szCs w:val="18"/>
                <w:lang w:eastAsia="en-AU"/>
              </w:rPr>
              <w:t>amount</w:t>
            </w:r>
          </w:p>
        </w:tc>
        <w:tc>
          <w:tcPr>
            <w:tcW w:w="1134" w:type="dxa"/>
            <w:tcBorders>
              <w:top w:val="nil"/>
              <w:left w:val="nil"/>
              <w:bottom w:val="nil"/>
              <w:right w:val="nil"/>
            </w:tcBorders>
            <w:shd w:val="solid" w:color="000000" w:fill="auto"/>
          </w:tcPr>
          <w:p w:rsidR="00F078AA" w:rsidRPr="005A36FE" w:rsidRDefault="00F078AA" w:rsidP="00F078A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5A36FE">
              <w:rPr>
                <w:rFonts w:eastAsiaTheme="minorEastAsia" w:cs="Arial"/>
                <w:iCs/>
                <w:color w:val="FFFFFF"/>
                <w:szCs w:val="18"/>
                <w:lang w:eastAsia="en-AU"/>
              </w:rPr>
              <w:t>Accumulated</w:t>
            </w:r>
            <w:r>
              <w:rPr>
                <w:rFonts w:eastAsiaTheme="minorEastAsia" w:cs="Arial"/>
                <w:iCs/>
                <w:color w:val="FFFFFF"/>
                <w:szCs w:val="18"/>
                <w:lang w:eastAsia="en-AU"/>
              </w:rPr>
              <w:t xml:space="preserve"> </w:t>
            </w:r>
            <w:r w:rsidRPr="005A36FE">
              <w:rPr>
                <w:rFonts w:eastAsiaTheme="minorEastAsia" w:cs="Arial"/>
                <w:iCs/>
                <w:color w:val="FFFFFF"/>
                <w:szCs w:val="18"/>
                <w:lang w:eastAsia="en-AU"/>
              </w:rPr>
              <w:t>depreciation</w:t>
            </w:r>
          </w:p>
        </w:tc>
        <w:tc>
          <w:tcPr>
            <w:tcW w:w="850" w:type="dxa"/>
            <w:tcBorders>
              <w:top w:val="nil"/>
              <w:left w:val="nil"/>
              <w:bottom w:val="nil"/>
              <w:right w:val="nil"/>
            </w:tcBorders>
            <w:shd w:val="solid" w:color="000000" w:fill="auto"/>
          </w:tcPr>
          <w:p w:rsidR="00F078AA" w:rsidRPr="005A36FE" w:rsidRDefault="00F078AA" w:rsidP="00F078A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5A36FE">
              <w:rPr>
                <w:rFonts w:eastAsiaTheme="minorEastAsia" w:cs="Arial"/>
                <w:iCs/>
                <w:color w:val="FFFFFF"/>
                <w:szCs w:val="18"/>
                <w:lang w:eastAsia="en-AU"/>
              </w:rPr>
              <w:t>Carrying</w:t>
            </w:r>
            <w:r>
              <w:rPr>
                <w:rFonts w:eastAsiaTheme="minorEastAsia" w:cs="Arial"/>
                <w:iCs/>
                <w:color w:val="FFFFFF"/>
                <w:szCs w:val="18"/>
                <w:lang w:eastAsia="en-AU"/>
              </w:rPr>
              <w:t xml:space="preserve"> </w:t>
            </w:r>
            <w:r w:rsidRPr="005A36FE">
              <w:rPr>
                <w:rFonts w:eastAsiaTheme="minorEastAsia" w:cs="Arial"/>
                <w:iCs/>
                <w:color w:val="FFFFFF"/>
                <w:szCs w:val="18"/>
                <w:lang w:eastAsia="en-AU"/>
              </w:rPr>
              <w:t>amount</w:t>
            </w:r>
          </w:p>
        </w:tc>
      </w:tr>
      <w:tr w:rsidR="00BB6F1F" w:rsidRPr="005A36FE" w:rsidTr="00C532A5">
        <w:tc>
          <w:tcPr>
            <w:cnfStyle w:val="001000000000" w:firstRow="0" w:lastRow="0" w:firstColumn="1" w:lastColumn="0" w:oddVBand="0" w:evenVBand="0" w:oddHBand="0" w:evenHBand="0" w:firstRowFirstColumn="0" w:firstRowLastColumn="0" w:lastRowFirstColumn="0" w:lastRowLastColumn="0"/>
            <w:tcW w:w="3402" w:type="dxa"/>
            <w:gridSpan w:val="2"/>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Buildings</w:t>
            </w:r>
          </w:p>
        </w:tc>
        <w:tc>
          <w:tcPr>
            <w:tcW w:w="992" w:type="dxa"/>
            <w:gridSpan w:val="2"/>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49 482</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(3 771)</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45 710</w:t>
            </w:r>
          </w:p>
        </w:tc>
        <w:tc>
          <w:tcPr>
            <w:tcW w:w="1134" w:type="dxa"/>
            <w:gridSpan w:val="2"/>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30 762</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(2 723)</w:t>
            </w:r>
          </w:p>
        </w:tc>
        <w:tc>
          <w:tcPr>
            <w:tcW w:w="850"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28 039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3402" w:type="dxa"/>
            <w:gridSpan w:val="2"/>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Land and national parks</w:t>
            </w:r>
          </w:p>
        </w:tc>
        <w:tc>
          <w:tcPr>
            <w:tcW w:w="992" w:type="dxa"/>
            <w:gridSpan w:val="2"/>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78 504</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78 504</w:t>
            </w:r>
          </w:p>
        </w:tc>
        <w:tc>
          <w:tcPr>
            <w:tcW w:w="1134" w:type="dxa"/>
            <w:gridSpan w:val="2"/>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50 554</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850"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50 554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3402" w:type="dxa"/>
            <w:gridSpan w:val="2"/>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buildings</w:t>
            </w:r>
          </w:p>
        </w:tc>
        <w:tc>
          <w:tcPr>
            <w:tcW w:w="992" w:type="dxa"/>
            <w:gridSpan w:val="2"/>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5 799</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(666)</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5 133</w:t>
            </w:r>
          </w:p>
        </w:tc>
        <w:tc>
          <w:tcPr>
            <w:tcW w:w="1134" w:type="dxa"/>
            <w:gridSpan w:val="2"/>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5 319</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(609)</w:t>
            </w:r>
          </w:p>
        </w:tc>
        <w:tc>
          <w:tcPr>
            <w:tcW w:w="850"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4 711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3402" w:type="dxa"/>
            <w:gridSpan w:val="2"/>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Infrastructure systems</w:t>
            </w:r>
          </w:p>
        </w:tc>
        <w:tc>
          <w:tcPr>
            <w:tcW w:w="992" w:type="dxa"/>
            <w:gridSpan w:val="2"/>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65 908</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(3 202)</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62 706</w:t>
            </w:r>
          </w:p>
        </w:tc>
        <w:tc>
          <w:tcPr>
            <w:tcW w:w="1134" w:type="dxa"/>
            <w:gridSpan w:val="2"/>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1 834</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(492)</w:t>
            </w:r>
          </w:p>
        </w:tc>
        <w:tc>
          <w:tcPr>
            <w:tcW w:w="850"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1 343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3402" w:type="dxa"/>
            <w:gridSpan w:val="2"/>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infrastructure systems</w:t>
            </w:r>
          </w:p>
        </w:tc>
        <w:tc>
          <w:tcPr>
            <w:tcW w:w="992" w:type="dxa"/>
            <w:gridSpan w:val="2"/>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4 805</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(358)</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4 447</w:t>
            </w:r>
          </w:p>
        </w:tc>
        <w:tc>
          <w:tcPr>
            <w:tcW w:w="1134" w:type="dxa"/>
            <w:gridSpan w:val="2"/>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850"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3402" w:type="dxa"/>
            <w:gridSpan w:val="2"/>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Plant, equipment and vehicles</w:t>
            </w:r>
          </w:p>
        </w:tc>
        <w:tc>
          <w:tcPr>
            <w:tcW w:w="992" w:type="dxa"/>
            <w:gridSpan w:val="2"/>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11 598</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(4 996)</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6 602</w:t>
            </w:r>
          </w:p>
        </w:tc>
        <w:tc>
          <w:tcPr>
            <w:tcW w:w="1134" w:type="dxa"/>
            <w:gridSpan w:val="2"/>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6 126</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(3 764)</w:t>
            </w:r>
          </w:p>
        </w:tc>
        <w:tc>
          <w:tcPr>
            <w:tcW w:w="850"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2 362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3402" w:type="dxa"/>
            <w:gridSpan w:val="2"/>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plant, equipment and vehicles</w:t>
            </w:r>
          </w:p>
        </w:tc>
        <w:tc>
          <w:tcPr>
            <w:tcW w:w="992" w:type="dxa"/>
            <w:gridSpan w:val="2"/>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1 375</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(322)</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1 053</w:t>
            </w:r>
          </w:p>
        </w:tc>
        <w:tc>
          <w:tcPr>
            <w:tcW w:w="1134" w:type="dxa"/>
            <w:gridSpan w:val="2"/>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441</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(257)</w:t>
            </w:r>
          </w:p>
        </w:tc>
        <w:tc>
          <w:tcPr>
            <w:tcW w:w="850"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184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3402" w:type="dxa"/>
            <w:gridSpan w:val="2"/>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Roads and road infrastructure</w:t>
            </w:r>
          </w:p>
        </w:tc>
        <w:tc>
          <w:tcPr>
            <w:tcW w:w="992" w:type="dxa"/>
            <w:gridSpan w:val="2"/>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39 870</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(19 346)</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20 524</w:t>
            </w:r>
          </w:p>
        </w:tc>
        <w:tc>
          <w:tcPr>
            <w:tcW w:w="1134" w:type="dxa"/>
            <w:gridSpan w:val="2"/>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39 781</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(19 341)</w:t>
            </w:r>
          </w:p>
        </w:tc>
        <w:tc>
          <w:tcPr>
            <w:tcW w:w="850"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20 440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3402" w:type="dxa"/>
            <w:gridSpan w:val="2"/>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roads and road infrastructure</w:t>
            </w:r>
          </w:p>
        </w:tc>
        <w:tc>
          <w:tcPr>
            <w:tcW w:w="992" w:type="dxa"/>
            <w:gridSpan w:val="2"/>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584</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565</w:t>
            </w:r>
          </w:p>
        </w:tc>
        <w:tc>
          <w:tcPr>
            <w:tcW w:w="1134" w:type="dxa"/>
            <w:gridSpan w:val="2"/>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584</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w:t>
            </w:r>
          </w:p>
        </w:tc>
        <w:tc>
          <w:tcPr>
            <w:tcW w:w="850"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565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3402" w:type="dxa"/>
            <w:gridSpan w:val="2"/>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Earthworks</w:t>
            </w:r>
          </w:p>
        </w:tc>
        <w:tc>
          <w:tcPr>
            <w:tcW w:w="992" w:type="dxa"/>
            <w:gridSpan w:val="2"/>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7 961</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7 961</w:t>
            </w:r>
          </w:p>
        </w:tc>
        <w:tc>
          <w:tcPr>
            <w:tcW w:w="1134" w:type="dxa"/>
            <w:gridSpan w:val="2"/>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7 961</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850"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7 961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3402" w:type="dxa"/>
            <w:gridSpan w:val="2"/>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Cultural assets</w:t>
            </w:r>
          </w:p>
        </w:tc>
        <w:tc>
          <w:tcPr>
            <w:tcW w:w="992" w:type="dxa"/>
            <w:gridSpan w:val="2"/>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5 834</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(154)</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5 680</w:t>
            </w:r>
          </w:p>
        </w:tc>
        <w:tc>
          <w:tcPr>
            <w:tcW w:w="1134" w:type="dxa"/>
            <w:gridSpan w:val="2"/>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5 770</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(154)</w:t>
            </w:r>
          </w:p>
        </w:tc>
        <w:tc>
          <w:tcPr>
            <w:tcW w:w="850"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5 617</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gridSpan w:val="2"/>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6"/>
                <w:lang w:eastAsia="en-AU"/>
              </w:rPr>
            </w:pPr>
            <w:r w:rsidRPr="005A36FE">
              <w:rPr>
                <w:rFonts w:eastAsiaTheme="minorEastAsia" w:cs="Calibri"/>
                <w:bCs/>
                <w:color w:val="000000"/>
                <w:szCs w:val="16"/>
                <w:lang w:eastAsia="en-AU"/>
              </w:rPr>
              <w:t>Total land, buildings, infrastructure, plant and equipment</w:t>
            </w:r>
          </w:p>
        </w:tc>
        <w:tc>
          <w:tcPr>
            <w:tcW w:w="992" w:type="dxa"/>
            <w:gridSpan w:val="2"/>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271 721</w:t>
            </w:r>
          </w:p>
        </w:tc>
        <w:tc>
          <w:tcPr>
            <w:tcW w:w="113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(32 834)</w:t>
            </w:r>
          </w:p>
        </w:tc>
        <w:tc>
          <w:tcPr>
            <w:tcW w:w="992"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238 886</w:t>
            </w:r>
          </w:p>
        </w:tc>
        <w:tc>
          <w:tcPr>
            <w:tcW w:w="1134" w:type="dxa"/>
            <w:gridSpan w:val="2"/>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149 133</w:t>
            </w:r>
          </w:p>
        </w:tc>
        <w:tc>
          <w:tcPr>
            <w:tcW w:w="113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(27 358)</w:t>
            </w:r>
          </w:p>
        </w:tc>
        <w:tc>
          <w:tcPr>
            <w:tcW w:w="850"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121 776</w:t>
            </w:r>
          </w:p>
        </w:tc>
      </w:tr>
    </w:tbl>
    <w:p w:rsidR="00BB6F1F" w:rsidRPr="005A36FE" w:rsidRDefault="00BB6F1F" w:rsidP="00A22419">
      <w:pPr>
        <w:rPr>
          <w:b/>
          <w:bCs/>
          <w:lang w:val="en-US"/>
        </w:rPr>
      </w:pP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3402"/>
        <w:gridCol w:w="992"/>
        <w:gridCol w:w="1134"/>
        <w:gridCol w:w="992"/>
        <w:gridCol w:w="1134"/>
        <w:gridCol w:w="1134"/>
        <w:gridCol w:w="850"/>
      </w:tblGrid>
      <w:tr w:rsidR="00F078AA" w:rsidRPr="005A36FE" w:rsidTr="00F078AA">
        <w:trPr>
          <w:cnfStyle w:val="100000000000" w:firstRow="1" w:lastRow="0" w:firstColumn="0" w:lastColumn="0" w:oddVBand="0" w:evenVBand="0" w:oddHBand="0" w:evenHBand="0" w:firstRowFirstColumn="0" w:firstRowLastColumn="0" w:lastRowFirstColumn="0" w:lastRowLastColumn="0"/>
          <w:trHeight w:val="239"/>
          <w:tblHeader/>
        </w:trPr>
        <w:tc>
          <w:tcPr>
            <w:cnfStyle w:val="001000000000" w:firstRow="0" w:lastRow="0" w:firstColumn="1" w:lastColumn="0" w:oddVBand="0" w:evenVBand="0" w:oddHBand="0" w:evenHBand="0" w:firstRowFirstColumn="0" w:firstRowLastColumn="0" w:lastRowFirstColumn="0" w:lastRowLastColumn="0"/>
            <w:tcW w:w="3402" w:type="dxa"/>
            <w:tcBorders>
              <w:top w:val="nil"/>
              <w:left w:val="nil"/>
              <w:right w:val="nil"/>
            </w:tcBorders>
            <w:shd w:val="solid" w:color="000000" w:fill="auto"/>
          </w:tcPr>
          <w:p w:rsidR="00F078AA" w:rsidRPr="005A36FE" w:rsidRDefault="00F078AA"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szCs w:val="16"/>
                <w:lang w:eastAsia="en-AU"/>
              </w:rPr>
              <w:t>2016</w:t>
            </w:r>
          </w:p>
        </w:tc>
        <w:tc>
          <w:tcPr>
            <w:tcW w:w="992" w:type="dxa"/>
            <w:tcBorders>
              <w:top w:val="nil"/>
              <w:left w:val="nil"/>
              <w:right w:val="nil"/>
            </w:tcBorders>
            <w:shd w:val="solid" w:color="000000" w:fill="auto"/>
          </w:tcPr>
          <w:p w:rsidR="00F078AA" w:rsidRPr="005A36FE" w:rsidRDefault="00F078AA" w:rsidP="00AC68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p>
        </w:tc>
        <w:tc>
          <w:tcPr>
            <w:tcW w:w="1134" w:type="dxa"/>
            <w:tcBorders>
              <w:top w:val="nil"/>
              <w:left w:val="nil"/>
              <w:right w:val="nil"/>
            </w:tcBorders>
            <w:shd w:val="solid" w:color="000000" w:fill="auto"/>
          </w:tcPr>
          <w:p w:rsidR="00F078AA" w:rsidRPr="005A36FE" w:rsidRDefault="00F078AA" w:rsidP="00AC68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p>
        </w:tc>
        <w:tc>
          <w:tcPr>
            <w:tcW w:w="992" w:type="dxa"/>
            <w:tcBorders>
              <w:top w:val="nil"/>
              <w:left w:val="nil"/>
              <w:right w:val="nil"/>
            </w:tcBorders>
            <w:shd w:val="solid" w:color="000000" w:fill="auto"/>
          </w:tcPr>
          <w:p w:rsidR="00F078AA" w:rsidRPr="005A36FE" w:rsidRDefault="00F078AA" w:rsidP="00AC68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p>
        </w:tc>
        <w:tc>
          <w:tcPr>
            <w:tcW w:w="1134" w:type="dxa"/>
            <w:tcBorders>
              <w:top w:val="nil"/>
              <w:left w:val="nil"/>
              <w:right w:val="nil"/>
            </w:tcBorders>
            <w:shd w:val="solid" w:color="000000" w:fill="auto"/>
          </w:tcPr>
          <w:p w:rsidR="00F078AA" w:rsidRPr="005A36FE" w:rsidRDefault="00F078AA" w:rsidP="00AC68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p>
        </w:tc>
        <w:tc>
          <w:tcPr>
            <w:tcW w:w="1134" w:type="dxa"/>
            <w:tcBorders>
              <w:top w:val="nil"/>
              <w:left w:val="nil"/>
              <w:right w:val="nil"/>
            </w:tcBorders>
            <w:shd w:val="solid" w:color="000000" w:fill="auto"/>
          </w:tcPr>
          <w:p w:rsidR="00F078AA" w:rsidRPr="005A36FE" w:rsidRDefault="00F078AA" w:rsidP="00AC68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p>
        </w:tc>
        <w:tc>
          <w:tcPr>
            <w:tcW w:w="850" w:type="dxa"/>
            <w:tcBorders>
              <w:top w:val="nil"/>
              <w:left w:val="nil"/>
              <w:right w:val="nil"/>
            </w:tcBorders>
            <w:shd w:val="solid" w:color="000000" w:fill="auto"/>
          </w:tcPr>
          <w:p w:rsidR="00F078AA" w:rsidRPr="005A36FE" w:rsidRDefault="00F078AA" w:rsidP="00AC68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Buildings</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47 244</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(2 574)</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44 669</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29 437</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(1 825)</w:t>
            </w:r>
          </w:p>
        </w:tc>
        <w:tc>
          <w:tcPr>
            <w:tcW w:w="850"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27 612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Land and national parks</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70 423</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70 423</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44 724</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850"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44 724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buildings</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4 940</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(515)</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4 425</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4 467</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(465)</w:t>
            </w:r>
          </w:p>
        </w:tc>
        <w:tc>
          <w:tcPr>
            <w:tcW w:w="850"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4 002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Infrastructure systems</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63 120</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(2 510)</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60 610</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1 775</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(455)</w:t>
            </w:r>
          </w:p>
        </w:tc>
        <w:tc>
          <w:tcPr>
            <w:tcW w:w="850"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1 320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infrastructure systems</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4 810</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(281)</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4 529</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850"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Plant, equipment and vehicles</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11 148</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(4 550)</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6 598</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5 884</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(3 558)</w:t>
            </w:r>
          </w:p>
        </w:tc>
        <w:tc>
          <w:tcPr>
            <w:tcW w:w="850"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2 326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plant, equipment and vehicles</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1 331</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(271)</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1 060</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396</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(238)</w:t>
            </w:r>
          </w:p>
        </w:tc>
        <w:tc>
          <w:tcPr>
            <w:tcW w:w="850"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158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Roads and road infrastructure</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38 790</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(18 690)</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20 100</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38 705</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(18 673)</w:t>
            </w:r>
          </w:p>
        </w:tc>
        <w:tc>
          <w:tcPr>
            <w:tcW w:w="850"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20 031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roads and road infrastructure</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584</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575</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584</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w:t>
            </w:r>
          </w:p>
        </w:tc>
        <w:tc>
          <w:tcPr>
            <w:tcW w:w="850"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575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Earthworks</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7 913</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7 913</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7 913</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850"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7 913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Cultural assets</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5 877</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(222)</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5 655</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5 814</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(222)</w:t>
            </w:r>
          </w:p>
        </w:tc>
        <w:tc>
          <w:tcPr>
            <w:tcW w:w="850"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5 592</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6"/>
                <w:lang w:eastAsia="en-AU"/>
              </w:rPr>
            </w:pPr>
            <w:r w:rsidRPr="005A36FE">
              <w:rPr>
                <w:rFonts w:eastAsiaTheme="minorEastAsia" w:cs="Calibri"/>
                <w:bCs/>
                <w:color w:val="000000"/>
                <w:szCs w:val="16"/>
                <w:lang w:eastAsia="en-AU"/>
              </w:rPr>
              <w:t>Total land, buildings, infrastructure, plant and equipment</w:t>
            </w:r>
          </w:p>
        </w:tc>
        <w:tc>
          <w:tcPr>
            <w:tcW w:w="992"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256 180</w:t>
            </w:r>
          </w:p>
        </w:tc>
        <w:tc>
          <w:tcPr>
            <w:tcW w:w="113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(29 623)</w:t>
            </w:r>
          </w:p>
        </w:tc>
        <w:tc>
          <w:tcPr>
            <w:tcW w:w="992"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226 557</w:t>
            </w:r>
          </w:p>
        </w:tc>
        <w:tc>
          <w:tcPr>
            <w:tcW w:w="113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139 701</w:t>
            </w:r>
          </w:p>
        </w:tc>
        <w:tc>
          <w:tcPr>
            <w:tcW w:w="113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(25 446)</w:t>
            </w:r>
          </w:p>
        </w:tc>
        <w:tc>
          <w:tcPr>
            <w:tcW w:w="850"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114 254</w:t>
            </w:r>
          </w:p>
        </w:tc>
      </w:tr>
    </w:tbl>
    <w:p w:rsidR="00BB6F1F" w:rsidRDefault="00BB6F1F" w:rsidP="00AC68FF"/>
    <w:p w:rsidR="00BB6F1F" w:rsidRDefault="00BB6F1F" w:rsidP="00AC68FF">
      <w:pPr>
        <w:pStyle w:val="Heading20"/>
      </w:pPr>
    </w:p>
    <w:p w:rsidR="00BB6F1F" w:rsidRPr="00627873" w:rsidRDefault="00BB6F1F" w:rsidP="00AC68FF">
      <w:pPr>
        <w:sectPr w:rsidR="00BB6F1F" w:rsidRPr="00627873" w:rsidSect="00AC68FF">
          <w:type w:val="continuous"/>
          <w:pgSz w:w="11907" w:h="16839" w:code="9"/>
          <w:pgMar w:top="1134" w:right="1134" w:bottom="1134" w:left="1134" w:header="624" w:footer="567" w:gutter="0"/>
          <w:cols w:sep="1" w:space="567"/>
          <w:docGrid w:linePitch="360"/>
        </w:sectPr>
      </w:pPr>
    </w:p>
    <w:p w:rsidR="00BB6F1F" w:rsidRDefault="00BB6F1F" w:rsidP="00AC68FF">
      <w:pPr>
        <w:pStyle w:val="Heading20"/>
        <w:spacing w:before="0"/>
      </w:pPr>
      <w:r>
        <w:lastRenderedPageBreak/>
        <w:t>Recognition and measurement</w:t>
      </w:r>
    </w:p>
    <w:p w:rsidR="00BB6F1F" w:rsidRDefault="00BB6F1F" w:rsidP="00AC68FF">
      <w:pPr>
        <w:pStyle w:val="Heading30"/>
      </w:pPr>
      <w:r>
        <w:t xml:space="preserve">Initial recognition </w:t>
      </w:r>
    </w:p>
    <w:p w:rsidR="00BB6F1F" w:rsidRDefault="00BB6F1F" w:rsidP="00AC68FF">
      <w:r>
        <w:t xml:space="preserve">All non-financial physical assets are measured initially at cost and subsequently revalued at fair value less accumulated depreciation and impairment. Where an asset is acquired for no or nominal cost, the cost is its fair value at the date of acquisition. </w:t>
      </w:r>
    </w:p>
    <w:p w:rsidR="00BB6F1F" w:rsidRDefault="00BB6F1F" w:rsidP="00AC68FF">
      <w:r>
        <w:t xml:space="preserve">The cost of constructed non-financial physical assets includes the cost of all materials used in construction, direct labour on the project and an appropriate proportion of variable and fixed overheads. The cost of leasehold improvements is capitalised when incurred. </w:t>
      </w:r>
    </w:p>
    <w:p w:rsidR="00BB6F1F" w:rsidRDefault="00BB6F1F" w:rsidP="00AC68FF">
      <w:r>
        <w:t>The initial cost for non-financial physical assets under a finance lease is measured at amounts equal to the fair value of the leased asset or, if lower, the present value of the minimum lease payments, each determined at the inception of the lease.</w:t>
      </w:r>
    </w:p>
    <w:p w:rsidR="00BB6F1F" w:rsidRDefault="00BB6F1F" w:rsidP="00AC68FF">
      <w:r>
        <w:t>Certain assets are acquired under finance leases, which may form part of a service concession arrangement (refer Note 5.6).</w:t>
      </w:r>
    </w:p>
    <w:p w:rsidR="00BB6F1F" w:rsidRDefault="00BB6F1F" w:rsidP="00AC68FF">
      <w:pPr>
        <w:pStyle w:val="Heading30"/>
      </w:pPr>
      <w:r>
        <w:t xml:space="preserve">Subsequent measurement </w:t>
      </w:r>
    </w:p>
    <w:p w:rsidR="00BB6F1F" w:rsidRDefault="00BB6F1F" w:rsidP="00AC68FF">
      <w:r>
        <w:t>All non-financial physical assets are subsequently measured at fair value less accumulated depreciation and impairment. Non-financial physical assets are measured at fair value with regard to the asset’s highest and best use after due consideration is made for any legal or physical restrictions imposed on the asset, public announcements or commitments made in relation to the intended use of the asset.</w:t>
      </w:r>
    </w:p>
    <w:p w:rsidR="00BB6F1F" w:rsidRDefault="00BB6F1F" w:rsidP="00AC68FF">
      <w:r>
        <w:t>Theoretical opportunities that may be available in relation to the asset are not taken into account until it is virtually certain that the restrictions will no longer apply. Therefore, unless otherwise disclosed, the current use of these non-financial physical assets will be their highest and best use.</w:t>
      </w:r>
    </w:p>
    <w:p w:rsidR="00BB6F1F" w:rsidRDefault="00BB6F1F" w:rsidP="00AC68FF">
      <w:pPr>
        <w:pStyle w:val="Heading30"/>
      </w:pPr>
      <w:r>
        <w:t>Impairment</w:t>
      </w:r>
    </w:p>
    <w:p w:rsidR="00BB6F1F" w:rsidRDefault="00BB6F1F" w:rsidP="00AC68FF">
      <w:r>
        <w:t xml:space="preserve">Goodwill and intangible assets with indefinite useful lives (and intangible assets not yet available for use) are tested annually for impairment (as described in the next column) and whenever there is an indication that the asset may be impaired. </w:t>
      </w:r>
    </w:p>
    <w:p w:rsidR="00BB6F1F" w:rsidRDefault="00BB6F1F" w:rsidP="00AC68FF">
      <w:r>
        <w:lastRenderedPageBreak/>
        <w:t>All other assets are assessed annually for indications of impairment, except for:</w:t>
      </w:r>
    </w:p>
    <w:p w:rsidR="00BB6F1F" w:rsidRDefault="00BB6F1F" w:rsidP="00AC68FF">
      <w:pPr>
        <w:pStyle w:val="ListBullet"/>
      </w:pPr>
      <w:r>
        <w:t>inventories (refer note 6.2);</w:t>
      </w:r>
    </w:p>
    <w:p w:rsidR="00BB6F1F" w:rsidRDefault="00BB6F1F" w:rsidP="00AC68FF">
      <w:pPr>
        <w:pStyle w:val="ListBullet"/>
      </w:pPr>
      <w:r>
        <w:t>non-financial physical assets held for sale;</w:t>
      </w:r>
    </w:p>
    <w:p w:rsidR="00BB6F1F" w:rsidRDefault="00BB6F1F" w:rsidP="00AC68FF">
      <w:pPr>
        <w:pStyle w:val="ListBullet"/>
      </w:pPr>
      <w:r>
        <w:t>certain biological assets related to agricultural activity (refer note 4.2);</w:t>
      </w:r>
    </w:p>
    <w:p w:rsidR="00BB6F1F" w:rsidRDefault="00BB6F1F" w:rsidP="00AC68FF">
      <w:pPr>
        <w:pStyle w:val="ListBullet"/>
      </w:pPr>
      <w:r>
        <w:t>investment properties that are measured at fair value (refer note 4.2); and</w:t>
      </w:r>
    </w:p>
    <w:p w:rsidR="00BB6F1F" w:rsidRDefault="00BB6F1F" w:rsidP="00AC68FF">
      <w:pPr>
        <w:pStyle w:val="ListBullet"/>
      </w:pPr>
      <w:r>
        <w:t>assets arising from construction contracts (refer note 4.1).</w:t>
      </w:r>
    </w:p>
    <w:p w:rsidR="00BB6F1F" w:rsidRDefault="00BB6F1F" w:rsidP="00AC68FF">
      <w:r>
        <w:t>If there is an indication of impairment, the assets concerned are tested as to whether their carrying value exceeds their recoverable amount. Where an asset’s carrying value exceeds its recoverable amount, the difference is written off as an ‘other economic flow’, except to the extent that the write down can be debited to an asset revaluation surplus amount applicable to that class of asset.</w:t>
      </w:r>
    </w:p>
    <w:p w:rsidR="00BB6F1F" w:rsidRDefault="00BB6F1F" w:rsidP="00AC68FF">
      <w:r>
        <w:t xml:space="preserve">If there is an indication that there has been a change in the estimate of an asset’s recoverable amount since the last impairment loss was recognised, the carrying amount would be increased to its recoverable amount. This reversal of the impairment loss occurs only to the extent that the asset’s carrying amount does not exceed the carrying amount that would have been determined, net of depreciation or amortisation, if no impairment loss had been recognised in prior years. </w:t>
      </w:r>
    </w:p>
    <w:p w:rsidR="00BB6F1F" w:rsidRDefault="00BB6F1F" w:rsidP="00AC68FF">
      <w:r>
        <w:t>It is deemed that, in the event of the loss or destruction of an asset, the future economic benefits arising from the use of the asset will be replaced unless a specific decision to the contrary has been made. The recoverable amount for most assets is measured at the higher of depreciated replacement cost and fair value less costs to sell. Recoverable amount for assets held primarily to generate net cash inflows is measured at the higher of the present value of future cash flows expected to be obtained from the asset and fair value less costs to sell.</w:t>
      </w:r>
    </w:p>
    <w:p w:rsidR="00BB6F1F" w:rsidRDefault="00BB6F1F" w:rsidP="00AC68FF">
      <w:r>
        <w:t>Note 7.5 describes the fair value determination of non-financial assets.</w:t>
      </w:r>
    </w:p>
    <w:p w:rsidR="00BB6F1F" w:rsidRDefault="00BB6F1F" w:rsidP="00BB6F1F">
      <w:pPr>
        <w:pStyle w:val="Heading3"/>
        <w:numPr>
          <w:ilvl w:val="2"/>
          <w:numId w:val="24"/>
        </w:numPr>
        <w:pBdr>
          <w:bottom w:val="single" w:sz="6" w:space="1" w:color="auto"/>
        </w:pBdr>
        <w:tabs>
          <w:tab w:val="right" w:pos="14572"/>
        </w:tabs>
        <w:ind w:left="851"/>
        <w:sectPr w:rsidR="00BB6F1F" w:rsidSect="00AC68FF">
          <w:headerReference w:type="default" r:id="rId62"/>
          <w:type w:val="continuous"/>
          <w:pgSz w:w="11907" w:h="16839" w:code="9"/>
          <w:pgMar w:top="1134" w:right="1134" w:bottom="1134" w:left="1134" w:header="624" w:footer="567" w:gutter="0"/>
          <w:cols w:num="2" w:space="567"/>
          <w:docGrid w:linePitch="360"/>
        </w:sectPr>
      </w:pPr>
    </w:p>
    <w:p w:rsidR="00BB6F1F" w:rsidRDefault="00BB6F1F">
      <w:pPr>
        <w:keepLines w:val="0"/>
        <w:rPr>
          <w:rFonts w:asciiTheme="majorHAnsi" w:eastAsiaTheme="majorEastAsia" w:hAnsiTheme="majorHAnsi" w:cstheme="majorBidi"/>
          <w:b/>
          <w:bCs/>
          <w:spacing w:val="-2"/>
          <w:sz w:val="23"/>
          <w:szCs w:val="26"/>
        </w:rPr>
      </w:pPr>
      <w:r>
        <w:lastRenderedPageBreak/>
        <w:br w:type="page"/>
      </w:r>
    </w:p>
    <w:p w:rsidR="00BB6F1F" w:rsidRPr="00A11C34" w:rsidRDefault="00BB6F1F" w:rsidP="00BB6F1F">
      <w:pPr>
        <w:pStyle w:val="Heading3"/>
        <w:numPr>
          <w:ilvl w:val="2"/>
          <w:numId w:val="24"/>
        </w:numPr>
        <w:tabs>
          <w:tab w:val="right" w:pos="14572"/>
        </w:tabs>
        <w:ind w:left="851"/>
      </w:pPr>
      <w:r w:rsidRPr="00A11C34">
        <w:lastRenderedPageBreak/>
        <w:t>Depreciation</w:t>
      </w:r>
    </w:p>
    <w:p w:rsidR="00BB6F1F" w:rsidRPr="005A36FE" w:rsidRDefault="00BB6F1F" w:rsidP="00AC68FF">
      <w:pPr>
        <w:pStyle w:val="TableUnits"/>
        <w:rPr>
          <w:bCs/>
          <w:lang w:val="en-US"/>
        </w:rPr>
      </w:pPr>
      <w:r>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5A36FE">
              <w:rPr>
                <w:rFonts w:eastAsiaTheme="minorEastAsia" w:cs="Calibri"/>
                <w:iCs/>
                <w:color w:val="FFFFFF"/>
                <w:szCs w:val="18"/>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Buildings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1 563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1 441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1 127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1 031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buildings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176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Infrastructure systems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1 379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1 359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infrastructure systems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Plant, equipment and vehicles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813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822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504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518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plant, equipment and vehicles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Roads and road infrastructure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610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599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607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596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roads and road infrastructure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Cultural assets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Intangible produced assets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125</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6"/>
                <w:lang w:eastAsia="en-AU"/>
              </w:rPr>
            </w:pPr>
            <w:r w:rsidRPr="005A36FE">
              <w:rPr>
                <w:rFonts w:eastAsiaTheme="minorEastAsia" w:cs="Calibri"/>
                <w:bCs/>
                <w:color w:val="000000"/>
                <w:szCs w:val="16"/>
                <w:lang w:eastAsia="en-AU"/>
              </w:rPr>
              <w:t>Total depreciation</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4 869</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4 706</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2 616</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2 504</w:t>
            </w:r>
          </w:p>
        </w:tc>
      </w:tr>
    </w:tbl>
    <w:p w:rsidR="00BB6F1F" w:rsidRDefault="00BB6F1F" w:rsidP="00AC68FF">
      <w:pPr>
        <w:sectPr w:rsidR="00BB6F1F" w:rsidSect="00AC68FF">
          <w:headerReference w:type="default" r:id="rId63"/>
          <w:type w:val="continuous"/>
          <w:pgSz w:w="11907" w:h="16839" w:code="9"/>
          <w:pgMar w:top="1134" w:right="1134" w:bottom="1134" w:left="1134" w:header="624" w:footer="567" w:gutter="0"/>
          <w:cols w:sep="1" w:space="567"/>
          <w:docGrid w:linePitch="360"/>
        </w:sectPr>
      </w:pPr>
    </w:p>
    <w:p w:rsidR="00BB6F1F" w:rsidRDefault="00BB6F1F" w:rsidP="00AC68FF">
      <w:pPr>
        <w:pStyle w:val="Note"/>
      </w:pPr>
    </w:p>
    <w:p w:rsidR="00BB6F1F" w:rsidRDefault="00BB6F1F" w:rsidP="00AC68FF">
      <w:pPr>
        <w:spacing w:before="240"/>
      </w:pPr>
      <w:r>
        <w:t xml:space="preserve">All infrastructure assets, buildings, plant and equipment and other non-financial physical assets (excluding items under operating leases, assets held for sale, land and investment properties) that have finite useful lives are depreciated. Depreciation is generally calculated on a straight line basis, at rates that allocate the asset’s value, less any estimated residual value, over its estimated useful life. </w:t>
      </w:r>
    </w:p>
    <w:p w:rsidR="00BB6F1F" w:rsidRDefault="00BB6F1F" w:rsidP="00AC68FF">
      <w:r>
        <w:t xml:space="preserve">The estimated useful lives, residual values and depreciation method are reviewed at the end of each annual reporting period, and adjustments made where appropriate. </w:t>
      </w:r>
    </w:p>
    <w:p w:rsidR="00BB6F1F" w:rsidRDefault="00BB6F1F" w:rsidP="00AC68FF">
      <w:r>
        <w:t>Leasehold improvements are depreciated over the shorter of the lease term and useful lives.</w:t>
      </w:r>
    </w:p>
    <w:p w:rsidR="00BB6F1F" w:rsidRDefault="00BB6F1F" w:rsidP="00AC68FF">
      <w:pPr>
        <w:spacing w:after="120"/>
      </w:pPr>
      <w:r>
        <w:t>Typical estimated useful lives for the different asset classes for current and prior years are included in the table below:</w:t>
      </w:r>
    </w:p>
    <w:tbl>
      <w:tblPr>
        <w:tblStyle w:val="DTFTable"/>
        <w:tblW w:w="5000" w:type="pct"/>
        <w:tblLayout w:type="fixed"/>
        <w:tblLook w:val="06A0" w:firstRow="1" w:lastRow="0" w:firstColumn="1" w:lastColumn="0" w:noHBand="1" w:noVBand="1"/>
      </w:tblPr>
      <w:tblGrid>
        <w:gridCol w:w="3341"/>
        <w:gridCol w:w="1309"/>
      </w:tblGrid>
      <w:tr w:rsidR="00BB6F1F" w:rsidRPr="00FE3386"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Borders>
              <w:bottom w:val="single" w:sz="4" w:space="0" w:color="auto"/>
            </w:tcBorders>
          </w:tcPr>
          <w:p w:rsidR="00BB6F1F" w:rsidRPr="00920BDE" w:rsidRDefault="00BB6F1F" w:rsidP="00AC68FF">
            <w:r w:rsidRPr="00920BDE">
              <w:t xml:space="preserve">Asset </w:t>
            </w:r>
          </w:p>
        </w:tc>
        <w:tc>
          <w:tcPr>
            <w:tcW w:w="1289" w:type="dxa"/>
            <w:tcBorders>
              <w:bottom w:val="single" w:sz="4" w:space="0" w:color="auto"/>
            </w:tcBorders>
          </w:tcPr>
          <w:p w:rsidR="00BB6F1F" w:rsidRPr="00920BDE" w:rsidRDefault="00BB6F1F" w:rsidP="00AC68FF">
            <w:pPr>
              <w:cnfStyle w:val="100000000000" w:firstRow="1" w:lastRow="0" w:firstColumn="0" w:lastColumn="0" w:oddVBand="0" w:evenVBand="0" w:oddHBand="0" w:evenHBand="0" w:firstRowFirstColumn="0" w:firstRowLastColumn="0" w:lastRowFirstColumn="0" w:lastRowLastColumn="0"/>
            </w:pPr>
            <w:r w:rsidRPr="00920BDE">
              <w:t>Useful life</w:t>
            </w:r>
          </w:p>
        </w:tc>
      </w:tr>
      <w:tr w:rsidR="00BB6F1F" w:rsidRPr="00FE3386" w:rsidTr="00AC68FF">
        <w:tc>
          <w:tcPr>
            <w:cnfStyle w:val="001000000000" w:firstRow="0" w:lastRow="0" w:firstColumn="1" w:lastColumn="0" w:oddVBand="0" w:evenVBand="0" w:oddHBand="0" w:evenHBand="0" w:firstRowFirstColumn="0" w:firstRowLastColumn="0" w:lastRowFirstColumn="0" w:lastRowLastColumn="0"/>
            <w:tcW w:w="3290" w:type="dxa"/>
            <w:tcBorders>
              <w:top w:val="single" w:sz="4" w:space="0" w:color="auto"/>
            </w:tcBorders>
          </w:tcPr>
          <w:p w:rsidR="00BB6F1F" w:rsidRPr="00920BDE" w:rsidRDefault="00BB6F1F" w:rsidP="00AC68FF">
            <w:r w:rsidRPr="00920BDE">
              <w:t>Buildings</w:t>
            </w:r>
          </w:p>
        </w:tc>
        <w:tc>
          <w:tcPr>
            <w:tcW w:w="1289" w:type="dxa"/>
            <w:tcBorders>
              <w:top w:val="single" w:sz="4" w:space="0" w:color="auto"/>
            </w:tcBorders>
          </w:tcPr>
          <w:p w:rsidR="00BB6F1F" w:rsidRPr="00920BDE" w:rsidRDefault="00BB6F1F" w:rsidP="00AC68FF">
            <w:pPr>
              <w:cnfStyle w:val="000000000000" w:firstRow="0" w:lastRow="0" w:firstColumn="0" w:lastColumn="0" w:oddVBand="0" w:evenVBand="0" w:oddHBand="0" w:evenHBand="0" w:firstRowFirstColumn="0" w:firstRowLastColumn="0" w:lastRowFirstColumn="0" w:lastRowLastColumn="0"/>
            </w:pPr>
            <w:r w:rsidRPr="00920BDE">
              <w:t>20 to 100 years</w:t>
            </w:r>
          </w:p>
        </w:tc>
      </w:tr>
      <w:tr w:rsidR="00BB6F1F" w:rsidRPr="00FE3386" w:rsidTr="00AC68FF">
        <w:tc>
          <w:tcPr>
            <w:cnfStyle w:val="001000000000" w:firstRow="0" w:lastRow="0" w:firstColumn="1" w:lastColumn="0" w:oddVBand="0" w:evenVBand="0" w:oddHBand="0" w:evenHBand="0" w:firstRowFirstColumn="0" w:firstRowLastColumn="0" w:lastRowFirstColumn="0" w:lastRowLastColumn="0"/>
            <w:tcW w:w="3290" w:type="dxa"/>
          </w:tcPr>
          <w:p w:rsidR="00BB6F1F" w:rsidRPr="00920BDE" w:rsidRDefault="00BB6F1F" w:rsidP="00AC68FF">
            <w:r w:rsidRPr="00920BDE">
              <w:t>Leasehold buildings</w:t>
            </w:r>
          </w:p>
        </w:tc>
        <w:tc>
          <w:tcPr>
            <w:tcW w:w="1289" w:type="dxa"/>
          </w:tcPr>
          <w:p w:rsidR="00BB6F1F" w:rsidRPr="00920BDE" w:rsidRDefault="00BB6F1F" w:rsidP="00AC68FF">
            <w:pPr>
              <w:cnfStyle w:val="000000000000" w:firstRow="0" w:lastRow="0" w:firstColumn="0" w:lastColumn="0" w:oddVBand="0" w:evenVBand="0" w:oddHBand="0" w:evenHBand="0" w:firstRowFirstColumn="0" w:firstRowLastColumn="0" w:lastRowFirstColumn="0" w:lastRowLastColumn="0"/>
            </w:pPr>
            <w:r w:rsidRPr="00920BDE">
              <w:t>2 to 60 years</w:t>
            </w:r>
          </w:p>
        </w:tc>
      </w:tr>
      <w:tr w:rsidR="00BB6F1F" w:rsidRPr="00FE3386" w:rsidTr="00AC68FF">
        <w:tc>
          <w:tcPr>
            <w:cnfStyle w:val="001000000000" w:firstRow="0" w:lastRow="0" w:firstColumn="1" w:lastColumn="0" w:oddVBand="0" w:evenVBand="0" w:oddHBand="0" w:evenHBand="0" w:firstRowFirstColumn="0" w:firstRowLastColumn="0" w:lastRowFirstColumn="0" w:lastRowLastColumn="0"/>
            <w:tcW w:w="3290" w:type="dxa"/>
          </w:tcPr>
          <w:p w:rsidR="00BB6F1F" w:rsidRPr="00920BDE" w:rsidRDefault="00BB6F1F" w:rsidP="00AC68FF">
            <w:r w:rsidRPr="00920BDE">
              <w:t>Infrastructure systems:</w:t>
            </w:r>
          </w:p>
        </w:tc>
        <w:tc>
          <w:tcPr>
            <w:tcW w:w="1289" w:type="dxa"/>
          </w:tcPr>
          <w:p w:rsidR="00BB6F1F" w:rsidRPr="00920BDE" w:rsidRDefault="00BB6F1F" w:rsidP="00AC68FF">
            <w:pPr>
              <w:cnfStyle w:val="000000000000" w:firstRow="0" w:lastRow="0" w:firstColumn="0" w:lastColumn="0" w:oddVBand="0" w:evenVBand="0" w:oddHBand="0" w:evenHBand="0" w:firstRowFirstColumn="0" w:firstRowLastColumn="0" w:lastRowFirstColumn="0" w:lastRowLastColumn="0"/>
            </w:pPr>
          </w:p>
        </w:tc>
      </w:tr>
      <w:tr w:rsidR="00BB6F1F" w:rsidRPr="00FE3386" w:rsidTr="00AC68FF">
        <w:tc>
          <w:tcPr>
            <w:cnfStyle w:val="001000000000" w:firstRow="0" w:lastRow="0" w:firstColumn="1" w:lastColumn="0" w:oddVBand="0" w:evenVBand="0" w:oddHBand="0" w:evenHBand="0" w:firstRowFirstColumn="0" w:firstRowLastColumn="0" w:lastRowFirstColumn="0" w:lastRowLastColumn="0"/>
            <w:tcW w:w="3290" w:type="dxa"/>
          </w:tcPr>
          <w:p w:rsidR="00BB6F1F" w:rsidRPr="00920BDE" w:rsidRDefault="00BB6F1F" w:rsidP="00AC68FF">
            <w:pPr>
              <w:ind w:left="340"/>
            </w:pPr>
            <w:r w:rsidRPr="00920BDE">
              <w:t>water infrastructure – storage facilities</w:t>
            </w:r>
          </w:p>
        </w:tc>
        <w:tc>
          <w:tcPr>
            <w:tcW w:w="1289" w:type="dxa"/>
          </w:tcPr>
          <w:p w:rsidR="00BB6F1F" w:rsidRPr="00920BDE" w:rsidRDefault="00BB6F1F" w:rsidP="00AC68FF">
            <w:pPr>
              <w:cnfStyle w:val="000000000000" w:firstRow="0" w:lastRow="0" w:firstColumn="0" w:lastColumn="0" w:oddVBand="0" w:evenVBand="0" w:oddHBand="0" w:evenHBand="0" w:firstRowFirstColumn="0" w:firstRowLastColumn="0" w:lastRowFirstColumn="0" w:lastRowLastColumn="0"/>
            </w:pPr>
            <w:r w:rsidRPr="00920BDE">
              <w:t>25 to 300 years</w:t>
            </w:r>
          </w:p>
        </w:tc>
      </w:tr>
      <w:tr w:rsidR="00BB6F1F" w:rsidRPr="00FE3386" w:rsidTr="00AC68FF">
        <w:tc>
          <w:tcPr>
            <w:cnfStyle w:val="001000000000" w:firstRow="0" w:lastRow="0" w:firstColumn="1" w:lastColumn="0" w:oddVBand="0" w:evenVBand="0" w:oddHBand="0" w:evenHBand="0" w:firstRowFirstColumn="0" w:firstRowLastColumn="0" w:lastRowFirstColumn="0" w:lastRowLastColumn="0"/>
            <w:tcW w:w="3290" w:type="dxa"/>
          </w:tcPr>
          <w:p w:rsidR="00BB6F1F" w:rsidRPr="00920BDE" w:rsidRDefault="00BB6F1F" w:rsidP="00AC68FF">
            <w:pPr>
              <w:ind w:left="340"/>
            </w:pPr>
            <w:r w:rsidRPr="00920BDE">
              <w:t>water infrastructure – other</w:t>
            </w:r>
          </w:p>
        </w:tc>
        <w:tc>
          <w:tcPr>
            <w:tcW w:w="1289" w:type="dxa"/>
          </w:tcPr>
          <w:p w:rsidR="00BB6F1F" w:rsidRPr="00920BDE" w:rsidRDefault="00BB6F1F" w:rsidP="00AC68FF">
            <w:pPr>
              <w:cnfStyle w:val="000000000000" w:firstRow="0" w:lastRow="0" w:firstColumn="0" w:lastColumn="0" w:oddVBand="0" w:evenVBand="0" w:oddHBand="0" w:evenHBand="0" w:firstRowFirstColumn="0" w:firstRowLastColumn="0" w:lastRowFirstColumn="0" w:lastRowLastColumn="0"/>
            </w:pPr>
            <w:r w:rsidRPr="00920BDE">
              <w:t>25 to 100 years</w:t>
            </w:r>
          </w:p>
        </w:tc>
      </w:tr>
      <w:tr w:rsidR="00BB6F1F" w:rsidRPr="00FE3386" w:rsidTr="00AC68FF">
        <w:tc>
          <w:tcPr>
            <w:cnfStyle w:val="001000000000" w:firstRow="0" w:lastRow="0" w:firstColumn="1" w:lastColumn="0" w:oddVBand="0" w:evenVBand="0" w:oddHBand="0" w:evenHBand="0" w:firstRowFirstColumn="0" w:firstRowLastColumn="0" w:lastRowFirstColumn="0" w:lastRowLastColumn="0"/>
            <w:tcW w:w="3290" w:type="dxa"/>
          </w:tcPr>
          <w:p w:rsidR="00BB6F1F" w:rsidRPr="00920BDE" w:rsidRDefault="00BB6F1F" w:rsidP="00AC68FF">
            <w:pPr>
              <w:ind w:left="340"/>
            </w:pPr>
            <w:r w:rsidRPr="00920BDE">
              <w:t>rail infrastructure</w:t>
            </w:r>
          </w:p>
        </w:tc>
        <w:tc>
          <w:tcPr>
            <w:tcW w:w="1289" w:type="dxa"/>
          </w:tcPr>
          <w:p w:rsidR="00BB6F1F" w:rsidRPr="00920BDE" w:rsidRDefault="00BB6F1F" w:rsidP="00AC68FF">
            <w:pPr>
              <w:cnfStyle w:val="000000000000" w:firstRow="0" w:lastRow="0" w:firstColumn="0" w:lastColumn="0" w:oddVBand="0" w:evenVBand="0" w:oddHBand="0" w:evenHBand="0" w:firstRowFirstColumn="0" w:firstRowLastColumn="0" w:lastRowFirstColumn="0" w:lastRowLastColumn="0"/>
            </w:pPr>
            <w:r>
              <w:t>50 to 100</w:t>
            </w:r>
            <w:r w:rsidRPr="00920BDE">
              <w:t xml:space="preserve"> years</w:t>
            </w:r>
          </w:p>
        </w:tc>
      </w:tr>
      <w:tr w:rsidR="00BB6F1F" w:rsidRPr="00FE3386" w:rsidTr="00AC68FF">
        <w:tc>
          <w:tcPr>
            <w:cnfStyle w:val="001000000000" w:firstRow="0" w:lastRow="0" w:firstColumn="1" w:lastColumn="0" w:oddVBand="0" w:evenVBand="0" w:oddHBand="0" w:evenHBand="0" w:firstRowFirstColumn="0" w:firstRowLastColumn="0" w:lastRowFirstColumn="0" w:lastRowLastColumn="0"/>
            <w:tcW w:w="3290" w:type="dxa"/>
          </w:tcPr>
          <w:p w:rsidR="00BB6F1F" w:rsidRPr="00920BDE" w:rsidRDefault="00BB6F1F" w:rsidP="00AC68FF">
            <w:pPr>
              <w:ind w:left="340"/>
            </w:pPr>
            <w:r w:rsidRPr="00920BDE">
              <w:t>other infrastructure</w:t>
            </w:r>
          </w:p>
        </w:tc>
        <w:tc>
          <w:tcPr>
            <w:tcW w:w="1289" w:type="dxa"/>
          </w:tcPr>
          <w:p w:rsidR="00BB6F1F" w:rsidRPr="00920BDE" w:rsidRDefault="00BB6F1F" w:rsidP="00AC68FF">
            <w:pPr>
              <w:cnfStyle w:val="000000000000" w:firstRow="0" w:lastRow="0" w:firstColumn="0" w:lastColumn="0" w:oddVBand="0" w:evenVBand="0" w:oddHBand="0" w:evenHBand="0" w:firstRowFirstColumn="0" w:firstRowLastColumn="0" w:lastRowFirstColumn="0" w:lastRowLastColumn="0"/>
            </w:pPr>
            <w:r w:rsidRPr="00920BDE">
              <w:t>10 to 32 years</w:t>
            </w:r>
          </w:p>
        </w:tc>
      </w:tr>
      <w:tr w:rsidR="00BB6F1F" w:rsidRPr="00FE3386" w:rsidTr="00AC68FF">
        <w:tc>
          <w:tcPr>
            <w:cnfStyle w:val="001000000000" w:firstRow="0" w:lastRow="0" w:firstColumn="1" w:lastColumn="0" w:oddVBand="0" w:evenVBand="0" w:oddHBand="0" w:evenHBand="0" w:firstRowFirstColumn="0" w:firstRowLastColumn="0" w:lastRowFirstColumn="0" w:lastRowLastColumn="0"/>
            <w:tcW w:w="3290" w:type="dxa"/>
          </w:tcPr>
          <w:p w:rsidR="00BB6F1F" w:rsidRPr="00920BDE" w:rsidRDefault="00BB6F1F" w:rsidP="00AC68FF">
            <w:r w:rsidRPr="00920BDE">
              <w:t xml:space="preserve">Plant, equipment and vehicle </w:t>
            </w:r>
            <w:r>
              <w:br/>
            </w:r>
            <w:r w:rsidRPr="00920BDE">
              <w:t>(incl</w:t>
            </w:r>
            <w:r>
              <w:t xml:space="preserve">uding </w:t>
            </w:r>
            <w:r w:rsidRPr="00920BDE">
              <w:t>leased assets)</w:t>
            </w:r>
          </w:p>
        </w:tc>
        <w:tc>
          <w:tcPr>
            <w:tcW w:w="1289" w:type="dxa"/>
          </w:tcPr>
          <w:p w:rsidR="00BB6F1F" w:rsidRPr="00920BDE" w:rsidRDefault="00BB6F1F" w:rsidP="00AC68FF">
            <w:pPr>
              <w:cnfStyle w:val="000000000000" w:firstRow="0" w:lastRow="0" w:firstColumn="0" w:lastColumn="0" w:oddVBand="0" w:evenVBand="0" w:oddHBand="0" w:evenHBand="0" w:firstRowFirstColumn="0" w:firstRowLastColumn="0" w:lastRowFirstColumn="0" w:lastRowLastColumn="0"/>
            </w:pPr>
            <w:r w:rsidRPr="00920BDE">
              <w:t>3 to 10 years</w:t>
            </w:r>
          </w:p>
        </w:tc>
      </w:tr>
      <w:tr w:rsidR="00BB6F1F" w:rsidRPr="00FE3386" w:rsidTr="00AC68FF">
        <w:tc>
          <w:tcPr>
            <w:cnfStyle w:val="001000000000" w:firstRow="0" w:lastRow="0" w:firstColumn="1" w:lastColumn="0" w:oddVBand="0" w:evenVBand="0" w:oddHBand="0" w:evenHBand="0" w:firstRowFirstColumn="0" w:firstRowLastColumn="0" w:lastRowFirstColumn="0" w:lastRowLastColumn="0"/>
            <w:tcW w:w="3290" w:type="dxa"/>
            <w:tcBorders>
              <w:bottom w:val="nil"/>
            </w:tcBorders>
          </w:tcPr>
          <w:p w:rsidR="00BB6F1F" w:rsidRPr="00920BDE" w:rsidRDefault="00BB6F1F" w:rsidP="00AC68FF">
            <w:r w:rsidRPr="00920BDE">
              <w:t xml:space="preserve">Road and road </w:t>
            </w:r>
            <w:r>
              <w:t>infrastructure</w:t>
            </w:r>
            <w:r w:rsidRPr="00920BDE">
              <w:t xml:space="preserve"> </w:t>
            </w:r>
            <w:r>
              <w:br/>
            </w:r>
            <w:r w:rsidRPr="00920BDE">
              <w:t>(incl</w:t>
            </w:r>
            <w:r>
              <w:t>uding</w:t>
            </w:r>
            <w:r w:rsidRPr="00920BDE">
              <w:t xml:space="preserve"> bridges)</w:t>
            </w:r>
          </w:p>
        </w:tc>
        <w:tc>
          <w:tcPr>
            <w:tcW w:w="1289" w:type="dxa"/>
            <w:tcBorders>
              <w:bottom w:val="nil"/>
            </w:tcBorders>
          </w:tcPr>
          <w:p w:rsidR="00BB6F1F" w:rsidRPr="00920BDE" w:rsidRDefault="00BB6F1F" w:rsidP="00AC68FF">
            <w:pPr>
              <w:cnfStyle w:val="000000000000" w:firstRow="0" w:lastRow="0" w:firstColumn="0" w:lastColumn="0" w:oddVBand="0" w:evenVBand="0" w:oddHBand="0" w:evenHBand="0" w:firstRowFirstColumn="0" w:firstRowLastColumn="0" w:lastRowFirstColumn="0" w:lastRowLastColumn="0"/>
            </w:pPr>
            <w:r w:rsidRPr="00920BDE">
              <w:t>60 to 90 years</w:t>
            </w:r>
          </w:p>
        </w:tc>
      </w:tr>
      <w:tr w:rsidR="00BB6F1F" w:rsidRPr="00FE3386" w:rsidTr="00AC68FF">
        <w:tc>
          <w:tcPr>
            <w:cnfStyle w:val="001000000000" w:firstRow="0" w:lastRow="0" w:firstColumn="1" w:lastColumn="0" w:oddVBand="0" w:evenVBand="0" w:oddHBand="0" w:evenHBand="0" w:firstRowFirstColumn="0" w:firstRowLastColumn="0" w:lastRowFirstColumn="0" w:lastRowLastColumn="0"/>
            <w:tcW w:w="3290" w:type="dxa"/>
          </w:tcPr>
          <w:p w:rsidR="00BB6F1F" w:rsidRPr="00920BDE" w:rsidRDefault="00BB6F1F" w:rsidP="00AC68FF">
            <w:r w:rsidRPr="00920BDE">
              <w:t>Cultural assets (with finite useful lives)</w:t>
            </w:r>
          </w:p>
        </w:tc>
        <w:tc>
          <w:tcPr>
            <w:tcW w:w="1289" w:type="dxa"/>
          </w:tcPr>
          <w:p w:rsidR="00BB6F1F" w:rsidRPr="00920BDE" w:rsidRDefault="00BB6F1F" w:rsidP="00AC68FF">
            <w:pPr>
              <w:cnfStyle w:val="000000000000" w:firstRow="0" w:lastRow="0" w:firstColumn="0" w:lastColumn="0" w:oddVBand="0" w:evenVBand="0" w:oddHBand="0" w:evenHBand="0" w:firstRowFirstColumn="0" w:firstRowLastColumn="0" w:lastRowFirstColumn="0" w:lastRowLastColumn="0"/>
            </w:pPr>
            <w:r w:rsidRPr="00920BDE">
              <w:t>100 years</w:t>
            </w:r>
          </w:p>
        </w:tc>
      </w:tr>
      <w:tr w:rsidR="00BB6F1F" w:rsidRPr="00FE3386" w:rsidTr="00AC68FF">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rsidR="00BB6F1F" w:rsidRPr="00920BDE" w:rsidRDefault="00BB6F1F" w:rsidP="00AC68FF">
            <w:r w:rsidRPr="004958C1">
              <w:t>Intangible produced assets</w:t>
            </w:r>
            <w:r w:rsidRPr="004958C1">
              <w:tab/>
            </w:r>
          </w:p>
        </w:tc>
        <w:tc>
          <w:tcPr>
            <w:tcW w:w="1289" w:type="dxa"/>
            <w:tcBorders>
              <w:bottom w:val="single" w:sz="12" w:space="0" w:color="auto"/>
            </w:tcBorders>
          </w:tcPr>
          <w:p w:rsidR="00BB6F1F" w:rsidRPr="00920BDE" w:rsidRDefault="00BB6F1F" w:rsidP="00AC68FF">
            <w:pPr>
              <w:cnfStyle w:val="000000000000" w:firstRow="0" w:lastRow="0" w:firstColumn="0" w:lastColumn="0" w:oddVBand="0" w:evenVBand="0" w:oddHBand="0" w:evenHBand="0" w:firstRowFirstColumn="0" w:firstRowLastColumn="0" w:lastRowFirstColumn="0" w:lastRowLastColumn="0"/>
            </w:pPr>
            <w:r w:rsidRPr="004958C1">
              <w:t>3 to 5 years</w:t>
            </w:r>
          </w:p>
        </w:tc>
      </w:tr>
    </w:tbl>
    <w:p w:rsidR="00BB6F1F" w:rsidRDefault="00BB6F1F" w:rsidP="00AC68FF">
      <w:pPr>
        <w:pStyle w:val="Heading30"/>
        <w:spacing w:before="380"/>
      </w:pPr>
      <w:r>
        <w:lastRenderedPageBreak/>
        <w:t>Indefinite life assets</w:t>
      </w:r>
    </w:p>
    <w:p w:rsidR="00BB6F1F" w:rsidRDefault="00BB6F1F" w:rsidP="00AC68FF">
      <w:r>
        <w:t>Land, earthworks, land under declared roads, Port of Melbourne channels and core cultural assets, which are considered to have an indefinite life, are not depreciated. Depreciation is not recognised in respect of these assets because their service potential has not, in any material sense, been consumed during the reporting period.</w:t>
      </w:r>
    </w:p>
    <w:p w:rsidR="00BB6F1F" w:rsidRDefault="00BB6F1F" w:rsidP="00AC68FF">
      <w:pPr>
        <w:pStyle w:val="Heading30"/>
      </w:pPr>
      <w:r>
        <w:t xml:space="preserve">Intangible assets </w:t>
      </w:r>
    </w:p>
    <w:p w:rsidR="00BB6F1F" w:rsidRDefault="00BB6F1F" w:rsidP="00AC68FF">
      <w:r>
        <w:t xml:space="preserve">Intangible produced assets with finite useful lives are depreciated as an expense from transactions on a systematic (typically straight line) basis over the asset’s useful life. Depreciation begins when the asset is available for use, that is, when it is in the location and condition necessary for it to be capable of operating in the manner intended by management. </w:t>
      </w:r>
    </w:p>
    <w:p w:rsidR="00BB6F1F" w:rsidRDefault="00BB6F1F" w:rsidP="00AC68FF">
      <w:r>
        <w:t>All intangible assets are tested for impairment whenever there is an indication that the asset may be impaired.</w:t>
      </w:r>
    </w:p>
    <w:p w:rsidR="00BB6F1F" w:rsidRDefault="00BB6F1F" w:rsidP="00AC68FF">
      <w:r>
        <w:t>The consumption of intangible non produced assets with finite useful lives is not classified as a transaction, but as amortisation and included in the net result as an ‘other economic flow’.</w:t>
      </w:r>
    </w:p>
    <w:p w:rsidR="00BB6F1F" w:rsidRDefault="00BB6F1F" w:rsidP="00AC68FF">
      <w:pPr>
        <w:pStyle w:val="Heading30"/>
      </w:pPr>
      <w:r>
        <w:t>Other non-financial assets</w:t>
      </w:r>
    </w:p>
    <w:p w:rsidR="00BB6F1F" w:rsidRDefault="00BB6F1F" w:rsidP="00AC68FF">
      <w:r>
        <w:t xml:space="preserve">See Note 4.2 </w:t>
      </w:r>
      <w:r w:rsidRPr="00BA2456">
        <w:rPr>
          <w:i/>
        </w:rPr>
        <w:t>Other non-financial assets</w:t>
      </w:r>
      <w:r>
        <w:t xml:space="preserve"> for further information on intangible assets.</w:t>
      </w:r>
    </w:p>
    <w:p w:rsidR="00BB6F1F" w:rsidRDefault="00BB6F1F" w:rsidP="00BB6F1F">
      <w:pPr>
        <w:pStyle w:val="Heading3"/>
        <w:numPr>
          <w:ilvl w:val="2"/>
          <w:numId w:val="24"/>
        </w:numPr>
        <w:pBdr>
          <w:bottom w:val="single" w:sz="6" w:space="1" w:color="auto"/>
        </w:pBdr>
        <w:tabs>
          <w:tab w:val="right" w:pos="14572"/>
        </w:tabs>
        <w:ind w:left="851"/>
        <w:sectPr w:rsidR="00BB6F1F" w:rsidSect="00AC68FF">
          <w:type w:val="continuous"/>
          <w:pgSz w:w="11907" w:h="16839" w:code="9"/>
          <w:pgMar w:top="1134" w:right="1134" w:bottom="1134" w:left="1134" w:header="624" w:footer="567" w:gutter="0"/>
          <w:cols w:num="2" w:space="567"/>
          <w:docGrid w:linePitch="360"/>
        </w:sectPr>
      </w:pPr>
    </w:p>
    <w:p w:rsidR="00BB6F1F" w:rsidRDefault="00BB6F1F">
      <w:pPr>
        <w:keepLines w:val="0"/>
        <w:rPr>
          <w:rFonts w:asciiTheme="majorHAnsi" w:eastAsiaTheme="majorEastAsia" w:hAnsiTheme="majorHAnsi" w:cstheme="majorBidi"/>
          <w:b/>
          <w:bCs/>
          <w:spacing w:val="-2"/>
          <w:sz w:val="23"/>
          <w:szCs w:val="26"/>
        </w:rPr>
      </w:pPr>
      <w:r>
        <w:lastRenderedPageBreak/>
        <w:br w:type="page"/>
      </w:r>
    </w:p>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Pr="005A36FE" w:rsidRDefault="00BB6F1F" w:rsidP="0003431C">
      <w:pPr>
        <w:pStyle w:val="TableHeading"/>
        <w:spacing w:before="0"/>
        <w:rPr>
          <w:bCs/>
          <w:lang w:val="en-US"/>
        </w:rPr>
      </w:pPr>
      <w:r w:rsidRPr="00AF543C">
        <w:lastRenderedPageBreak/>
        <w:t>Reconciliation of movements in carrying values during the financial period</w:t>
      </w:r>
      <w:r w:rsidRPr="00AF543C">
        <w:tab/>
      </w:r>
      <w:r w:rsidRPr="00AF543C">
        <w:tab/>
        <w:t>($ million)</w:t>
      </w: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3686"/>
        <w:gridCol w:w="1088"/>
        <w:gridCol w:w="1089"/>
        <w:gridCol w:w="1088"/>
        <w:gridCol w:w="1089"/>
        <w:gridCol w:w="1088"/>
        <w:gridCol w:w="1089"/>
        <w:gridCol w:w="1088"/>
        <w:gridCol w:w="1089"/>
        <w:gridCol w:w="1088"/>
        <w:gridCol w:w="1089"/>
      </w:tblGrid>
      <w:tr w:rsidR="00BB6F1F" w:rsidRPr="005A36FE" w:rsidTr="00C53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szCs w:val="20"/>
                <w:lang w:eastAsia="en-AU"/>
              </w:rPr>
            </w:pPr>
            <w:r w:rsidRPr="005A36FE">
              <w:rPr>
                <w:rFonts w:eastAsiaTheme="minorEastAsia" w:cs="Calibri"/>
                <w:iCs/>
                <w:color w:val="FFFFFF"/>
                <w:szCs w:val="20"/>
                <w:lang w:eastAsia="en-AU"/>
              </w:rPr>
              <w:t xml:space="preserve"> </w:t>
            </w:r>
          </w:p>
        </w:tc>
        <w:tc>
          <w:tcPr>
            <w:tcW w:w="2177"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 xml:space="preserve">Land and buildings </w:t>
            </w:r>
          </w:p>
        </w:tc>
        <w:tc>
          <w:tcPr>
            <w:tcW w:w="2177"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Plant, equipment vehicle and infrastructure system</w:t>
            </w:r>
          </w:p>
        </w:tc>
        <w:tc>
          <w:tcPr>
            <w:tcW w:w="2177"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 xml:space="preserve">Roads, road infrastructure </w:t>
            </w:r>
            <w:r>
              <w:rPr>
                <w:rFonts w:eastAsiaTheme="minorEastAsia" w:cs="Calibri"/>
                <w:iCs/>
                <w:color w:val="FFFFFF"/>
                <w:szCs w:val="20"/>
                <w:lang w:eastAsia="en-AU"/>
              </w:rPr>
              <w:br/>
            </w:r>
            <w:r w:rsidRPr="005A36FE">
              <w:rPr>
                <w:rFonts w:eastAsiaTheme="minorEastAsia" w:cs="Calibri"/>
                <w:iCs/>
                <w:color w:val="FFFFFF"/>
                <w:szCs w:val="20"/>
                <w:lang w:eastAsia="en-AU"/>
              </w:rPr>
              <w:t>and earthworks</w:t>
            </w:r>
          </w:p>
        </w:tc>
        <w:tc>
          <w:tcPr>
            <w:tcW w:w="2177"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Cultural assets</w:t>
            </w:r>
          </w:p>
        </w:tc>
        <w:tc>
          <w:tcPr>
            <w:tcW w:w="2177"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Total</w:t>
            </w:r>
          </w:p>
        </w:tc>
      </w:tr>
      <w:tr w:rsidR="00BB6F1F" w:rsidRPr="005A36FE" w:rsidTr="00C53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szCs w:val="20"/>
                <w:lang w:eastAsia="en-AU"/>
              </w:rPr>
            </w:pPr>
            <w:r w:rsidRPr="005A36FE">
              <w:rPr>
                <w:rFonts w:eastAsiaTheme="minorEastAsia" w:cs="Calibri"/>
                <w:iCs/>
                <w:color w:val="FFFFFF"/>
                <w:szCs w:val="20"/>
                <w:lang w:eastAsia="en-AU"/>
              </w:rPr>
              <w:t>State of Victoria</w:t>
            </w:r>
          </w:p>
        </w:tc>
        <w:tc>
          <w:tcPr>
            <w:tcW w:w="1088"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2017</w:t>
            </w:r>
          </w:p>
        </w:tc>
        <w:tc>
          <w:tcPr>
            <w:tcW w:w="108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2016</w:t>
            </w:r>
          </w:p>
        </w:tc>
        <w:tc>
          <w:tcPr>
            <w:tcW w:w="1088"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2017</w:t>
            </w:r>
          </w:p>
        </w:tc>
        <w:tc>
          <w:tcPr>
            <w:tcW w:w="108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2016</w:t>
            </w:r>
          </w:p>
        </w:tc>
        <w:tc>
          <w:tcPr>
            <w:tcW w:w="1088"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2017</w:t>
            </w:r>
          </w:p>
        </w:tc>
        <w:tc>
          <w:tcPr>
            <w:tcW w:w="108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2016</w:t>
            </w:r>
          </w:p>
        </w:tc>
        <w:tc>
          <w:tcPr>
            <w:tcW w:w="1088"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2017</w:t>
            </w:r>
          </w:p>
        </w:tc>
        <w:tc>
          <w:tcPr>
            <w:tcW w:w="108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2016</w:t>
            </w:r>
          </w:p>
        </w:tc>
        <w:tc>
          <w:tcPr>
            <w:tcW w:w="1088"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2017</w:t>
            </w:r>
          </w:p>
        </w:tc>
        <w:tc>
          <w:tcPr>
            <w:tcW w:w="108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2016</w:t>
            </w:r>
          </w:p>
        </w:tc>
      </w:tr>
      <w:tr w:rsidR="00BB6F1F" w:rsidRPr="005A36FE" w:rsidTr="00C532A5">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20"/>
                <w:lang w:eastAsia="en-AU"/>
              </w:rPr>
            </w:pPr>
            <w:r w:rsidRPr="005A36FE">
              <w:rPr>
                <w:rFonts w:eastAsiaTheme="minorEastAsia" w:cs="Calibri"/>
                <w:b/>
                <w:bCs/>
                <w:color w:val="000000"/>
                <w:szCs w:val="20"/>
                <w:lang w:eastAsia="en-AU"/>
              </w:rPr>
              <w:t>Opening balance</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119 518</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108 081</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72 796</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64 073</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28 588</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29 241</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5 655</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5 554</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226 557</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206 949</w:t>
            </w:r>
          </w:p>
        </w:tc>
      </w:tr>
      <w:tr w:rsidR="00BB6F1F" w:rsidRPr="005A36FE" w:rsidTr="00C532A5">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Acquisitions</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2 964</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2 658</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5 740</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4 464</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967</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173</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28</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9 710</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7 323</w:t>
            </w:r>
          </w:p>
        </w:tc>
      </w:tr>
      <w:tr w:rsidR="00BB6F1F" w:rsidRPr="005A36FE" w:rsidTr="00C532A5">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Reclassification</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410</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(912)</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(134)</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193</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(312)</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(123)</w:t>
            </w:r>
          </w:p>
        </w:tc>
      </w:tr>
      <w:tr w:rsidR="00BB6F1F" w:rsidRPr="005A36FE" w:rsidTr="00C532A5">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Revaluation</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8 671</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10 724</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(189)</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6 743</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(56)</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(199)</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8 431</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17 314</w:t>
            </w:r>
          </w:p>
        </w:tc>
      </w:tr>
      <w:tr w:rsidR="00BB6F1F" w:rsidRPr="005A36FE" w:rsidTr="00C532A5">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Disposals</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(603)</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(401)</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(259)</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(181)</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(35)</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(898)</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(584)</w:t>
            </w:r>
          </w:p>
        </w:tc>
      </w:tr>
      <w:tr w:rsidR="00BB6F1F" w:rsidRPr="005A36FE" w:rsidTr="00C532A5">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Assets recognised for the first time</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151</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132</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71</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139</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236</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303</w:t>
            </w:r>
          </w:p>
        </w:tc>
      </w:tr>
      <w:tr w:rsidR="00BB6F1F" w:rsidRPr="005A36FE" w:rsidTr="00C532A5">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Impairment</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(75)</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(136)</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(48)</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(160)</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(126)</w:t>
            </w:r>
          </w:p>
        </w:tc>
      </w:tr>
      <w:tr w:rsidR="00BB6F1F" w:rsidRPr="005A36FE" w:rsidTr="00C532A5">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Depreciation</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(1 738)</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(1 569)</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(2 304)</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(2 307)</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(620)</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(609)</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(4 678)</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(4 499)</w:t>
            </w:r>
          </w:p>
        </w:tc>
      </w:tr>
      <w:tr w:rsidR="00BB6F1F" w:rsidRPr="005A36FE" w:rsidTr="00C532A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rsidR="00BB6F1F" w:rsidRPr="005A36FE" w:rsidRDefault="00BB6F1F" w:rsidP="00AC68FF">
            <w:pPr>
              <w:keepLines w:val="0"/>
              <w:autoSpaceDE w:val="0"/>
              <w:autoSpaceDN w:val="0"/>
              <w:adjustRightInd w:val="0"/>
              <w:rPr>
                <w:rFonts w:eastAsiaTheme="minorEastAsia" w:cs="Calibri"/>
                <w:bCs/>
                <w:color w:val="000000"/>
                <w:szCs w:val="20"/>
                <w:lang w:eastAsia="en-AU"/>
              </w:rPr>
            </w:pPr>
            <w:r w:rsidRPr="005A36FE">
              <w:rPr>
                <w:rFonts w:eastAsiaTheme="minorEastAsia" w:cs="Calibri"/>
                <w:bCs/>
                <w:color w:val="000000"/>
                <w:szCs w:val="20"/>
                <w:lang w:eastAsia="en-AU"/>
              </w:rPr>
              <w:t>Closing balance</w:t>
            </w:r>
          </w:p>
        </w:tc>
        <w:tc>
          <w:tcPr>
            <w:tcW w:w="1088"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129 348</w:t>
            </w:r>
          </w:p>
        </w:tc>
        <w:tc>
          <w:tcPr>
            <w:tcW w:w="1089"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119 518</w:t>
            </w:r>
          </w:p>
        </w:tc>
        <w:tc>
          <w:tcPr>
            <w:tcW w:w="1088"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74 808</w:t>
            </w:r>
          </w:p>
        </w:tc>
        <w:tc>
          <w:tcPr>
            <w:tcW w:w="1089"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72 796</w:t>
            </w:r>
          </w:p>
        </w:tc>
        <w:tc>
          <w:tcPr>
            <w:tcW w:w="1088"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29 050</w:t>
            </w:r>
          </w:p>
        </w:tc>
        <w:tc>
          <w:tcPr>
            <w:tcW w:w="1089"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28 588</w:t>
            </w:r>
          </w:p>
        </w:tc>
        <w:tc>
          <w:tcPr>
            <w:tcW w:w="1088"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5 680</w:t>
            </w:r>
          </w:p>
        </w:tc>
        <w:tc>
          <w:tcPr>
            <w:tcW w:w="1089"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5 655</w:t>
            </w:r>
          </w:p>
        </w:tc>
        <w:tc>
          <w:tcPr>
            <w:tcW w:w="1088"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238 886</w:t>
            </w:r>
          </w:p>
        </w:tc>
        <w:tc>
          <w:tcPr>
            <w:tcW w:w="1089"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226 557</w:t>
            </w:r>
          </w:p>
        </w:tc>
      </w:tr>
    </w:tbl>
    <w:p w:rsidR="00BB6F1F" w:rsidRPr="005A36FE" w:rsidRDefault="00BB6F1F" w:rsidP="00AC68FF">
      <w:pPr>
        <w:rPr>
          <w:b/>
          <w:bCs/>
          <w:lang w:val="en-US"/>
        </w:rPr>
      </w:pP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3686"/>
        <w:gridCol w:w="1088"/>
        <w:gridCol w:w="1089"/>
        <w:gridCol w:w="1088"/>
        <w:gridCol w:w="1089"/>
        <w:gridCol w:w="1088"/>
        <w:gridCol w:w="1089"/>
        <w:gridCol w:w="1088"/>
        <w:gridCol w:w="1089"/>
        <w:gridCol w:w="1088"/>
        <w:gridCol w:w="1089"/>
      </w:tblGrid>
      <w:tr w:rsidR="00BB6F1F" w:rsidRPr="005A36FE" w:rsidTr="00C53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szCs w:val="20"/>
                <w:lang w:eastAsia="en-AU"/>
              </w:rPr>
            </w:pPr>
            <w:r w:rsidRPr="005A36FE">
              <w:rPr>
                <w:rFonts w:eastAsiaTheme="minorEastAsia" w:cs="Calibri"/>
                <w:iCs/>
                <w:color w:val="FFFFFF"/>
                <w:szCs w:val="20"/>
                <w:lang w:eastAsia="en-AU"/>
              </w:rPr>
              <w:t>General government sector</w:t>
            </w:r>
          </w:p>
        </w:tc>
        <w:tc>
          <w:tcPr>
            <w:tcW w:w="1088"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 xml:space="preserve"> </w:t>
            </w:r>
          </w:p>
        </w:tc>
        <w:tc>
          <w:tcPr>
            <w:tcW w:w="108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 xml:space="preserve"> </w:t>
            </w:r>
          </w:p>
        </w:tc>
        <w:tc>
          <w:tcPr>
            <w:tcW w:w="1088"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 xml:space="preserve"> </w:t>
            </w:r>
          </w:p>
        </w:tc>
        <w:tc>
          <w:tcPr>
            <w:tcW w:w="108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 xml:space="preserve"> </w:t>
            </w:r>
          </w:p>
        </w:tc>
        <w:tc>
          <w:tcPr>
            <w:tcW w:w="1088"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 xml:space="preserve"> </w:t>
            </w:r>
          </w:p>
        </w:tc>
        <w:tc>
          <w:tcPr>
            <w:tcW w:w="108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 xml:space="preserve"> </w:t>
            </w:r>
          </w:p>
        </w:tc>
        <w:tc>
          <w:tcPr>
            <w:tcW w:w="1088"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 xml:space="preserve"> </w:t>
            </w:r>
          </w:p>
        </w:tc>
        <w:tc>
          <w:tcPr>
            <w:tcW w:w="108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 xml:space="preserve"> </w:t>
            </w:r>
          </w:p>
        </w:tc>
        <w:tc>
          <w:tcPr>
            <w:tcW w:w="1088"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 xml:space="preserve"> </w:t>
            </w:r>
          </w:p>
        </w:tc>
        <w:tc>
          <w:tcPr>
            <w:tcW w:w="108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 xml:space="preserve"> </w:t>
            </w:r>
          </w:p>
        </w:tc>
      </w:tr>
      <w:tr w:rsidR="00BB6F1F" w:rsidRPr="005A36FE" w:rsidTr="00C532A5">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20"/>
                <w:lang w:eastAsia="en-AU"/>
              </w:rPr>
            </w:pPr>
            <w:r w:rsidRPr="005A36FE">
              <w:rPr>
                <w:rFonts w:eastAsiaTheme="minorEastAsia" w:cs="Calibri"/>
                <w:b/>
                <w:bCs/>
                <w:color w:val="000000"/>
                <w:szCs w:val="20"/>
                <w:lang w:eastAsia="en-AU"/>
              </w:rPr>
              <w:t>Opening balance</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76 339</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69 151</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3 804</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3 740</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28 519</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29 175</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5 592</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5 496</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114 254</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107 562</w:t>
            </w:r>
          </w:p>
        </w:tc>
      </w:tr>
      <w:tr w:rsidR="00BB6F1F" w:rsidRPr="005A36FE" w:rsidTr="00C532A5">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vertAlign w:val="superscript"/>
                <w:lang w:eastAsia="en-AU"/>
              </w:rPr>
            </w:pPr>
            <w:r w:rsidRPr="005A36FE">
              <w:rPr>
                <w:rFonts w:eastAsiaTheme="minorEastAsia" w:cs="Calibri"/>
                <w:color w:val="000000"/>
                <w:szCs w:val="20"/>
                <w:lang w:eastAsia="en-AU"/>
              </w:rPr>
              <w:t xml:space="preserve">Acquisitions </w:t>
            </w:r>
            <w:r w:rsidRPr="005A36FE">
              <w:rPr>
                <w:rFonts w:eastAsiaTheme="minorEastAsia" w:cs="Calibri"/>
                <w:color w:val="000000"/>
                <w:szCs w:val="20"/>
                <w:vertAlign w:val="superscript"/>
                <w:lang w:eastAsia="en-AU"/>
              </w:rPr>
              <w:t>(a)</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2 581</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2 199</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4 237</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2 781</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962</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171</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28</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7 818</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5 180</w:t>
            </w:r>
          </w:p>
        </w:tc>
      </w:tr>
      <w:tr w:rsidR="00BB6F1F" w:rsidRPr="005A36FE" w:rsidTr="00C532A5">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Reclassification</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(197)</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(125)</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(233)</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(98)</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189</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(244)</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(180)</w:t>
            </w:r>
          </w:p>
        </w:tc>
      </w:tr>
      <w:tr w:rsidR="00BB6F1F" w:rsidRPr="005A36FE" w:rsidTr="00C532A5">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Revaluation</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6 135</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6 507</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74</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(65)</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(203)</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40</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6 076</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6 418</w:t>
            </w:r>
          </w:p>
        </w:tc>
      </w:tr>
      <w:tr w:rsidR="00BB6F1F" w:rsidRPr="005A36FE" w:rsidTr="00C532A5">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Disposals</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(243)</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(235)</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(203)</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(92)</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(35)</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(481)</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(329)</w:t>
            </w:r>
          </w:p>
        </w:tc>
      </w:tr>
      <w:tr w:rsidR="00BB6F1F" w:rsidRPr="005A36FE" w:rsidTr="00C532A5">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Assets recognised for the first time</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136</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54</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155</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101</w:t>
            </w:r>
          </w:p>
        </w:tc>
      </w:tr>
      <w:tr w:rsidR="00BB6F1F" w:rsidRPr="005A36FE" w:rsidTr="00C532A5">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vertAlign w:val="superscript"/>
                <w:lang w:eastAsia="en-AU"/>
              </w:rPr>
            </w:pPr>
            <w:r w:rsidRPr="005A36FE">
              <w:rPr>
                <w:rFonts w:eastAsiaTheme="minorEastAsia" w:cs="Calibri"/>
                <w:color w:val="000000"/>
                <w:szCs w:val="20"/>
                <w:lang w:eastAsia="en-AU"/>
              </w:rPr>
              <w:t xml:space="preserve">Assets transferred between Government entities </w:t>
            </w:r>
            <w:r w:rsidRPr="005A36FE">
              <w:rPr>
                <w:rFonts w:eastAsiaTheme="minorEastAsia" w:cs="Calibri"/>
                <w:color w:val="000000"/>
                <w:szCs w:val="20"/>
                <w:vertAlign w:val="superscript"/>
                <w:lang w:eastAsia="en-AU"/>
              </w:rPr>
              <w:t>(a)</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(154)</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(3 132)</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(2 008)</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(3 286)</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(2 008)</w:t>
            </w:r>
          </w:p>
        </w:tc>
      </w:tr>
      <w:tr w:rsidR="00BB6F1F" w:rsidRPr="005A36FE" w:rsidTr="00C532A5">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Impairment</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(61)</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(48)</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(111)</w:t>
            </w:r>
          </w:p>
        </w:tc>
      </w:tr>
      <w:tr w:rsidR="00BB6F1F" w:rsidRPr="005A36FE" w:rsidTr="00C532A5">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Depreciation</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(1 295)</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(1 152)</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(579)</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(607)</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(617)</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(606)</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w:t>
            </w:r>
          </w:p>
        </w:tc>
        <w:tc>
          <w:tcPr>
            <w:tcW w:w="1088"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(2 506)</w:t>
            </w:r>
          </w:p>
        </w:tc>
        <w:tc>
          <w:tcPr>
            <w:tcW w:w="108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(2 379)</w:t>
            </w:r>
          </w:p>
        </w:tc>
      </w:tr>
      <w:tr w:rsidR="00BB6F1F" w:rsidRPr="005A36FE" w:rsidTr="00C532A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rsidR="00BB6F1F" w:rsidRPr="005A36FE" w:rsidRDefault="00BB6F1F" w:rsidP="00AC68FF">
            <w:pPr>
              <w:keepLines w:val="0"/>
              <w:autoSpaceDE w:val="0"/>
              <w:autoSpaceDN w:val="0"/>
              <w:adjustRightInd w:val="0"/>
              <w:rPr>
                <w:rFonts w:eastAsiaTheme="minorEastAsia" w:cs="Calibri"/>
                <w:bCs/>
                <w:color w:val="000000"/>
                <w:szCs w:val="20"/>
                <w:lang w:eastAsia="en-AU"/>
              </w:rPr>
            </w:pPr>
            <w:r w:rsidRPr="005A36FE">
              <w:rPr>
                <w:rFonts w:eastAsiaTheme="minorEastAsia" w:cs="Calibri"/>
                <w:bCs/>
                <w:color w:val="000000"/>
                <w:szCs w:val="20"/>
                <w:lang w:eastAsia="en-AU"/>
              </w:rPr>
              <w:t>Closing balance</w:t>
            </w:r>
          </w:p>
        </w:tc>
        <w:tc>
          <w:tcPr>
            <w:tcW w:w="1088"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83 303</w:t>
            </w:r>
          </w:p>
        </w:tc>
        <w:tc>
          <w:tcPr>
            <w:tcW w:w="1089"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76 339</w:t>
            </w:r>
          </w:p>
        </w:tc>
        <w:tc>
          <w:tcPr>
            <w:tcW w:w="1088"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3 889</w:t>
            </w:r>
          </w:p>
        </w:tc>
        <w:tc>
          <w:tcPr>
            <w:tcW w:w="1089"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3 804</w:t>
            </w:r>
          </w:p>
        </w:tc>
        <w:tc>
          <w:tcPr>
            <w:tcW w:w="1088"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28 967</w:t>
            </w:r>
          </w:p>
        </w:tc>
        <w:tc>
          <w:tcPr>
            <w:tcW w:w="1089"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28 519</w:t>
            </w:r>
          </w:p>
        </w:tc>
        <w:tc>
          <w:tcPr>
            <w:tcW w:w="1088"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5 617</w:t>
            </w:r>
          </w:p>
        </w:tc>
        <w:tc>
          <w:tcPr>
            <w:tcW w:w="1089"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5 592</w:t>
            </w:r>
          </w:p>
        </w:tc>
        <w:tc>
          <w:tcPr>
            <w:tcW w:w="1088"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121 776</w:t>
            </w:r>
          </w:p>
        </w:tc>
        <w:tc>
          <w:tcPr>
            <w:tcW w:w="1089"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114 254</w:t>
            </w:r>
          </w:p>
        </w:tc>
      </w:tr>
    </w:tbl>
    <w:p w:rsidR="00BB6F1F" w:rsidRDefault="00BB6F1F" w:rsidP="00AC68FF">
      <w:pPr>
        <w:pStyle w:val="Note"/>
      </w:pPr>
      <w:r>
        <w:t>Note:</w:t>
      </w:r>
    </w:p>
    <w:p w:rsidR="00BB6F1F" w:rsidRDefault="00BB6F1F" w:rsidP="00AC68FF">
      <w:pPr>
        <w:pStyle w:val="Note"/>
      </w:pPr>
      <w:r>
        <w:t>(a)</w:t>
      </w:r>
      <w:r>
        <w:tab/>
      </w:r>
      <w:r w:rsidRPr="00AF5DF9">
        <w:t xml:space="preserve">June 2016 comparative figures have been </w:t>
      </w:r>
      <w:r>
        <w:t>restated to more accurately reflect the nature of the movements in carrying values of property, plant and equipment.</w:t>
      </w:r>
      <w:r w:rsidRPr="00AF5DF9">
        <w:t xml:space="preserve">  </w:t>
      </w:r>
    </w:p>
    <w:p w:rsidR="00BB6F1F" w:rsidRDefault="00BB6F1F" w:rsidP="00AC68FF">
      <w:r>
        <w:br w:type="page"/>
      </w:r>
    </w:p>
    <w:p w:rsidR="00BB6F1F" w:rsidRPr="00A11C34" w:rsidRDefault="00BB6F1F" w:rsidP="00330FD3">
      <w:pPr>
        <w:pStyle w:val="Heading3"/>
        <w:numPr>
          <w:ilvl w:val="2"/>
          <w:numId w:val="24"/>
        </w:numPr>
        <w:tabs>
          <w:tab w:val="right" w:pos="14572"/>
        </w:tabs>
        <w:spacing w:before="0"/>
        <w:ind w:left="851"/>
        <w:rPr>
          <w:lang w:val="en-US"/>
        </w:rPr>
      </w:pPr>
      <w:r w:rsidRPr="00AF543C">
        <w:lastRenderedPageBreak/>
        <w:t>Total land, buildings, infrastructure, plant and equipment by government purpose</w:t>
      </w:r>
    </w:p>
    <w:p w:rsidR="00BB6F1F" w:rsidRPr="005A36FE" w:rsidRDefault="00BB6F1F" w:rsidP="00AC68FF">
      <w:pPr>
        <w:pStyle w:val="TableUnits"/>
        <w:rPr>
          <w:lang w:val="en-US"/>
        </w:rPr>
      </w:pPr>
      <w:r w:rsidRPr="00AF543C">
        <w:t>($ million)</w:t>
      </w: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5244"/>
        <w:gridCol w:w="1417"/>
        <w:gridCol w:w="1134"/>
        <w:gridCol w:w="1134"/>
        <w:gridCol w:w="1276"/>
        <w:gridCol w:w="1701"/>
        <w:gridCol w:w="1559"/>
        <w:gridCol w:w="1106"/>
      </w:tblGrid>
      <w:tr w:rsidR="00C532A5" w:rsidRPr="005A36FE" w:rsidTr="00C532A5">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5244" w:type="dxa"/>
            <w:tcBorders>
              <w:top w:val="nil"/>
              <w:left w:val="nil"/>
              <w:right w:val="nil"/>
            </w:tcBorders>
            <w:shd w:val="solid" w:color="000000" w:fill="auto"/>
          </w:tcPr>
          <w:p w:rsidR="00C532A5" w:rsidRPr="005A36FE" w:rsidRDefault="00C532A5" w:rsidP="00AC68FF">
            <w:pPr>
              <w:autoSpaceDE w:val="0"/>
              <w:autoSpaceDN w:val="0"/>
              <w:adjustRightInd w:val="0"/>
              <w:rPr>
                <w:rFonts w:eastAsiaTheme="minorEastAsia" w:cs="Calibri"/>
                <w:i w:val="0"/>
                <w:iCs/>
                <w:color w:val="FFFFFF"/>
                <w:szCs w:val="16"/>
                <w:lang w:eastAsia="en-AU"/>
              </w:rPr>
            </w:pPr>
            <w:r w:rsidRPr="005A36FE">
              <w:rPr>
                <w:rFonts w:eastAsiaTheme="minorEastAsia" w:cs="Calibri"/>
                <w:iCs/>
                <w:color w:val="FFFFFF"/>
                <w:szCs w:val="16"/>
                <w:lang w:eastAsia="en-AU"/>
              </w:rPr>
              <w:t>State of Victoria</w:t>
            </w:r>
          </w:p>
          <w:p w:rsidR="00C532A5" w:rsidRPr="005A36FE" w:rsidRDefault="00C532A5" w:rsidP="00AC68FF">
            <w:pPr>
              <w:autoSpaceDE w:val="0"/>
              <w:autoSpaceDN w:val="0"/>
              <w:adjustRightInd w:val="0"/>
              <w:rPr>
                <w:rFonts w:eastAsiaTheme="minorEastAsia" w:cs="Calibri"/>
                <w:iCs/>
                <w:color w:val="FFFFFF"/>
                <w:szCs w:val="16"/>
                <w:lang w:eastAsia="en-AU"/>
              </w:rPr>
            </w:pPr>
            <w:r w:rsidRPr="005A36FE">
              <w:rPr>
                <w:rFonts w:eastAsiaTheme="minorEastAsia" w:cs="Calibri"/>
                <w:iCs/>
                <w:color w:val="FFFFFF"/>
                <w:szCs w:val="16"/>
                <w:lang w:eastAsia="en-AU"/>
              </w:rPr>
              <w:t>2017</w:t>
            </w:r>
          </w:p>
        </w:tc>
        <w:tc>
          <w:tcPr>
            <w:tcW w:w="1417" w:type="dxa"/>
            <w:tcBorders>
              <w:top w:val="nil"/>
              <w:left w:val="nil"/>
              <w:right w:val="nil"/>
            </w:tcBorders>
            <w:shd w:val="solid" w:color="000000" w:fill="auto"/>
          </w:tcPr>
          <w:p w:rsidR="00C532A5" w:rsidRPr="005A36FE" w:rsidRDefault="00C532A5" w:rsidP="00C532A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5A36FE">
              <w:rPr>
                <w:rFonts w:eastAsiaTheme="minorEastAsia" w:cs="Arial"/>
                <w:iCs/>
                <w:color w:val="FFFFFF"/>
                <w:szCs w:val="18"/>
                <w:lang w:eastAsia="en-AU"/>
              </w:rPr>
              <w:t>Public</w:t>
            </w:r>
            <w:r>
              <w:rPr>
                <w:rFonts w:eastAsiaTheme="minorEastAsia" w:cs="Arial"/>
                <w:iCs/>
                <w:color w:val="FFFFFF"/>
                <w:szCs w:val="18"/>
                <w:lang w:eastAsia="en-AU"/>
              </w:rPr>
              <w:t xml:space="preserve"> </w:t>
            </w:r>
            <w:r w:rsidRPr="005A36FE">
              <w:rPr>
                <w:rFonts w:eastAsiaTheme="minorEastAsia" w:cs="Arial"/>
                <w:iCs/>
                <w:color w:val="FFFFFF"/>
                <w:szCs w:val="18"/>
                <w:lang w:eastAsia="en-AU"/>
              </w:rPr>
              <w:t>administration</w:t>
            </w:r>
          </w:p>
        </w:tc>
        <w:tc>
          <w:tcPr>
            <w:tcW w:w="1134" w:type="dxa"/>
            <w:tcBorders>
              <w:top w:val="nil"/>
              <w:left w:val="nil"/>
              <w:right w:val="nil"/>
            </w:tcBorders>
            <w:shd w:val="solid" w:color="000000" w:fill="auto"/>
          </w:tcPr>
          <w:p w:rsidR="00C532A5" w:rsidRPr="005A36FE" w:rsidRDefault="00C532A5" w:rsidP="00C532A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5A36FE">
              <w:rPr>
                <w:rFonts w:eastAsiaTheme="minorEastAsia" w:cs="Arial"/>
                <w:iCs/>
                <w:color w:val="FFFFFF"/>
                <w:szCs w:val="18"/>
                <w:lang w:eastAsia="en-AU"/>
              </w:rPr>
              <w:t>Education</w:t>
            </w:r>
          </w:p>
        </w:tc>
        <w:tc>
          <w:tcPr>
            <w:tcW w:w="1134" w:type="dxa"/>
            <w:tcBorders>
              <w:top w:val="nil"/>
              <w:left w:val="nil"/>
              <w:right w:val="nil"/>
            </w:tcBorders>
            <w:shd w:val="solid" w:color="000000" w:fill="auto"/>
          </w:tcPr>
          <w:p w:rsidR="00C532A5" w:rsidRPr="005A36FE" w:rsidRDefault="00C532A5" w:rsidP="00C532A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5A36FE">
              <w:rPr>
                <w:rFonts w:eastAsiaTheme="minorEastAsia" w:cs="Arial"/>
                <w:iCs/>
                <w:color w:val="FFFFFF"/>
                <w:szCs w:val="18"/>
                <w:lang w:eastAsia="en-AU"/>
              </w:rPr>
              <w:t>Health</w:t>
            </w:r>
            <w:r>
              <w:rPr>
                <w:rFonts w:eastAsiaTheme="minorEastAsia" w:cs="Arial"/>
                <w:iCs/>
                <w:color w:val="FFFFFF"/>
                <w:szCs w:val="18"/>
                <w:lang w:eastAsia="en-AU"/>
              </w:rPr>
              <w:t xml:space="preserve"> </w:t>
            </w:r>
            <w:r w:rsidRPr="005A36FE">
              <w:rPr>
                <w:rFonts w:eastAsiaTheme="minorEastAsia" w:cs="Arial"/>
                <w:iCs/>
                <w:color w:val="FFFFFF"/>
                <w:szCs w:val="18"/>
                <w:lang w:eastAsia="en-AU"/>
              </w:rPr>
              <w:t>and</w:t>
            </w:r>
            <w:r>
              <w:rPr>
                <w:rFonts w:eastAsiaTheme="minorEastAsia" w:cs="Arial"/>
                <w:iCs/>
                <w:color w:val="FFFFFF"/>
                <w:szCs w:val="18"/>
                <w:lang w:eastAsia="en-AU"/>
              </w:rPr>
              <w:t xml:space="preserve"> </w:t>
            </w:r>
            <w:r w:rsidRPr="005A36FE">
              <w:rPr>
                <w:rFonts w:eastAsiaTheme="minorEastAsia" w:cs="Arial"/>
                <w:iCs/>
                <w:color w:val="FFFFFF"/>
                <w:szCs w:val="18"/>
                <w:lang w:eastAsia="en-AU"/>
              </w:rPr>
              <w:t>Welfare</w:t>
            </w:r>
          </w:p>
        </w:tc>
        <w:tc>
          <w:tcPr>
            <w:tcW w:w="1276" w:type="dxa"/>
            <w:tcBorders>
              <w:top w:val="nil"/>
              <w:left w:val="nil"/>
              <w:right w:val="nil"/>
            </w:tcBorders>
            <w:shd w:val="solid" w:color="000000" w:fill="auto"/>
          </w:tcPr>
          <w:p w:rsidR="00C532A5" w:rsidRPr="005A36FE" w:rsidRDefault="00C532A5" w:rsidP="00C532A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5A36FE">
              <w:rPr>
                <w:rFonts w:eastAsiaTheme="minorEastAsia" w:cs="Arial"/>
                <w:iCs/>
                <w:color w:val="FFFFFF"/>
                <w:szCs w:val="18"/>
                <w:lang w:eastAsia="en-AU"/>
              </w:rPr>
              <w:t>Community</w:t>
            </w:r>
            <w:r>
              <w:rPr>
                <w:rFonts w:eastAsiaTheme="minorEastAsia" w:cs="Arial"/>
                <w:iCs/>
                <w:color w:val="FFFFFF"/>
                <w:szCs w:val="18"/>
                <w:lang w:eastAsia="en-AU"/>
              </w:rPr>
              <w:br/>
            </w:r>
            <w:r w:rsidRPr="005A36FE">
              <w:rPr>
                <w:rFonts w:eastAsiaTheme="minorEastAsia" w:cs="Arial"/>
                <w:iCs/>
                <w:color w:val="FFFFFF"/>
                <w:szCs w:val="18"/>
                <w:lang w:eastAsia="en-AU"/>
              </w:rPr>
              <w:t>Housing</w:t>
            </w:r>
          </w:p>
        </w:tc>
        <w:tc>
          <w:tcPr>
            <w:tcW w:w="1701" w:type="dxa"/>
            <w:tcBorders>
              <w:top w:val="nil"/>
              <w:left w:val="nil"/>
              <w:right w:val="nil"/>
            </w:tcBorders>
            <w:shd w:val="solid" w:color="000000" w:fill="auto"/>
          </w:tcPr>
          <w:p w:rsidR="00C532A5" w:rsidRPr="005A36FE" w:rsidRDefault="00C532A5" w:rsidP="00C532A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5A36FE">
              <w:rPr>
                <w:rFonts w:eastAsiaTheme="minorEastAsia" w:cs="Arial"/>
                <w:iCs/>
                <w:color w:val="FFFFFF"/>
                <w:szCs w:val="18"/>
                <w:lang w:eastAsia="en-AU"/>
              </w:rPr>
              <w:t>Transportation</w:t>
            </w:r>
            <w:r>
              <w:rPr>
                <w:rFonts w:eastAsiaTheme="minorEastAsia" w:cs="Arial"/>
                <w:iCs/>
                <w:color w:val="FFFFFF"/>
                <w:szCs w:val="18"/>
                <w:lang w:eastAsia="en-AU"/>
              </w:rPr>
              <w:t xml:space="preserve"> </w:t>
            </w:r>
            <w:r w:rsidRPr="005A36FE">
              <w:rPr>
                <w:rFonts w:eastAsiaTheme="minorEastAsia" w:cs="Arial"/>
                <w:iCs/>
                <w:color w:val="FFFFFF"/>
                <w:szCs w:val="18"/>
                <w:lang w:eastAsia="en-AU"/>
              </w:rPr>
              <w:t>and</w:t>
            </w:r>
            <w:r>
              <w:rPr>
                <w:rFonts w:eastAsiaTheme="minorEastAsia" w:cs="Arial"/>
                <w:iCs/>
                <w:color w:val="FFFFFF"/>
                <w:szCs w:val="18"/>
                <w:lang w:eastAsia="en-AU"/>
              </w:rPr>
              <w:br/>
            </w:r>
            <w:r w:rsidRPr="005A36FE">
              <w:rPr>
                <w:rFonts w:eastAsiaTheme="minorEastAsia" w:cs="Arial"/>
                <w:iCs/>
                <w:color w:val="FFFFFF"/>
                <w:szCs w:val="18"/>
                <w:lang w:eastAsia="en-AU"/>
              </w:rPr>
              <w:t>Communication</w:t>
            </w:r>
          </w:p>
        </w:tc>
        <w:tc>
          <w:tcPr>
            <w:tcW w:w="1559" w:type="dxa"/>
            <w:tcBorders>
              <w:top w:val="nil"/>
              <w:left w:val="nil"/>
              <w:right w:val="nil"/>
            </w:tcBorders>
            <w:shd w:val="solid" w:color="000000" w:fill="auto"/>
          </w:tcPr>
          <w:p w:rsidR="00C532A5" w:rsidRPr="005A36FE" w:rsidRDefault="00C532A5" w:rsidP="00C532A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5A36FE">
              <w:rPr>
                <w:rFonts w:eastAsiaTheme="minorEastAsia" w:cs="Arial"/>
                <w:iCs/>
                <w:color w:val="FFFFFF"/>
                <w:szCs w:val="18"/>
                <w:lang w:eastAsia="en-AU"/>
              </w:rPr>
              <w:t>Public</w:t>
            </w:r>
            <w:r>
              <w:rPr>
                <w:rFonts w:eastAsiaTheme="minorEastAsia" w:cs="Arial"/>
                <w:iCs/>
                <w:color w:val="FFFFFF"/>
                <w:szCs w:val="18"/>
                <w:lang w:eastAsia="en-AU"/>
              </w:rPr>
              <w:t xml:space="preserve"> </w:t>
            </w:r>
            <w:r w:rsidRPr="005A36FE">
              <w:rPr>
                <w:rFonts w:eastAsiaTheme="minorEastAsia" w:cs="Arial"/>
                <w:iCs/>
                <w:color w:val="FFFFFF"/>
                <w:szCs w:val="18"/>
                <w:lang w:eastAsia="en-AU"/>
              </w:rPr>
              <w:t>Safety</w:t>
            </w:r>
            <w:r>
              <w:rPr>
                <w:rFonts w:eastAsiaTheme="minorEastAsia" w:cs="Arial"/>
                <w:iCs/>
                <w:color w:val="FFFFFF"/>
                <w:szCs w:val="18"/>
                <w:lang w:eastAsia="en-AU"/>
              </w:rPr>
              <w:t xml:space="preserve"> </w:t>
            </w:r>
            <w:r w:rsidRPr="005A36FE">
              <w:rPr>
                <w:rFonts w:eastAsiaTheme="minorEastAsia" w:cs="Arial"/>
                <w:iCs/>
                <w:color w:val="FFFFFF"/>
                <w:szCs w:val="18"/>
                <w:lang w:eastAsia="en-AU"/>
              </w:rPr>
              <w:t>and</w:t>
            </w:r>
            <w:r>
              <w:rPr>
                <w:rFonts w:eastAsiaTheme="minorEastAsia" w:cs="Arial"/>
                <w:iCs/>
                <w:color w:val="FFFFFF"/>
                <w:szCs w:val="18"/>
                <w:lang w:eastAsia="en-AU"/>
              </w:rPr>
              <w:br/>
            </w:r>
            <w:r w:rsidRPr="005A36FE">
              <w:rPr>
                <w:rFonts w:eastAsiaTheme="minorEastAsia" w:cs="Arial"/>
                <w:iCs/>
                <w:color w:val="FFFFFF"/>
                <w:szCs w:val="18"/>
                <w:lang w:eastAsia="en-AU"/>
              </w:rPr>
              <w:t>Environment</w:t>
            </w:r>
          </w:p>
        </w:tc>
        <w:tc>
          <w:tcPr>
            <w:tcW w:w="1106" w:type="dxa"/>
            <w:tcBorders>
              <w:top w:val="nil"/>
              <w:left w:val="nil"/>
              <w:right w:val="nil"/>
            </w:tcBorders>
            <w:shd w:val="solid" w:color="000000" w:fill="auto"/>
          </w:tcPr>
          <w:p w:rsidR="00C532A5" w:rsidRPr="005A36FE" w:rsidRDefault="00C532A5" w:rsidP="00C532A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5A36FE">
              <w:rPr>
                <w:rFonts w:eastAsiaTheme="minorEastAsia" w:cs="Arial"/>
                <w:iCs/>
                <w:color w:val="FFFFFF"/>
                <w:szCs w:val="18"/>
                <w:lang w:eastAsia="en-AU"/>
              </w:rPr>
              <w:t>Total</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Buildings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2 742</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11 813</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8 732</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8 506</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6 114</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7 804</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45 710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Land and national parks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2 842</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10 006</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2 789</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15 977</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31 437</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15 452</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78 504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buildings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95</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406</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3 376</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75</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1 178</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5 133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Infrastructure systems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53</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24 839</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37 814</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62 706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infrastructure systems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4 447</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4 447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Plant, equipment and vehicles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251</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195</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1 214</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3 876</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1 065</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6 602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plant, equipment and vehicles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14</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76</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952</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12</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1 053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Roads and road infrastructure</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36</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r>
              <w:rPr>
                <w:rFonts w:eastAsiaTheme="minorEastAsia" w:cs="Calibri"/>
                <w:color w:val="000000"/>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r>
              <w:rPr>
                <w:rFonts w:eastAsiaTheme="minorEastAsia" w:cs="Calibri"/>
                <w:color w:val="000000"/>
                <w:lang w:eastAsia="en-AU"/>
              </w:rPr>
              <w:t>..</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19 572</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915</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20 524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roads and road infrastructure</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565</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565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Earthworks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7 961</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7 961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Cultural assets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625</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155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5 049</w:t>
            </w:r>
          </w:p>
        </w:tc>
        <w:tc>
          <w:tcPr>
            <w:tcW w:w="110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5 680</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6"/>
                <w:lang w:eastAsia="en-AU"/>
              </w:rPr>
            </w:pPr>
            <w:r w:rsidRPr="005A36FE">
              <w:rPr>
                <w:rFonts w:eastAsiaTheme="minorEastAsia" w:cs="Calibri"/>
                <w:bCs/>
                <w:color w:val="000000"/>
                <w:szCs w:val="16"/>
                <w:lang w:eastAsia="en-AU"/>
              </w:rPr>
              <w:t>Total land, buildings, infrastructure, plant and equipment</w:t>
            </w:r>
          </w:p>
        </w:tc>
        <w:tc>
          <w:tcPr>
            <w:tcW w:w="141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6 646</w:t>
            </w:r>
          </w:p>
        </w:tc>
        <w:tc>
          <w:tcPr>
            <w:tcW w:w="113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22 437</w:t>
            </w:r>
          </w:p>
        </w:tc>
        <w:tc>
          <w:tcPr>
            <w:tcW w:w="113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16 187</w:t>
            </w:r>
          </w:p>
        </w:tc>
        <w:tc>
          <w:tcPr>
            <w:tcW w:w="1276"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24 488</w:t>
            </w:r>
          </w:p>
        </w:tc>
        <w:tc>
          <w:tcPr>
            <w:tcW w:w="1701"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95 392</w:t>
            </w:r>
          </w:p>
        </w:tc>
        <w:tc>
          <w:tcPr>
            <w:tcW w:w="1559"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73 736</w:t>
            </w:r>
          </w:p>
        </w:tc>
        <w:tc>
          <w:tcPr>
            <w:tcW w:w="1106"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238 886</w:t>
            </w:r>
          </w:p>
        </w:tc>
      </w:tr>
    </w:tbl>
    <w:p w:rsidR="00BB6F1F" w:rsidRPr="005A36FE" w:rsidRDefault="00BB6F1F" w:rsidP="00AC68FF">
      <w:pPr>
        <w:rPr>
          <w:b/>
          <w:bCs/>
          <w:lang w:val="en-US"/>
        </w:rPr>
      </w:pP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5244"/>
        <w:gridCol w:w="1417"/>
        <w:gridCol w:w="1134"/>
        <w:gridCol w:w="1134"/>
        <w:gridCol w:w="1276"/>
        <w:gridCol w:w="1701"/>
        <w:gridCol w:w="1531"/>
        <w:gridCol w:w="1134"/>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szCs w:val="16"/>
                <w:lang w:eastAsia="en-AU"/>
              </w:rPr>
            </w:pPr>
            <w:r w:rsidRPr="005A36FE">
              <w:rPr>
                <w:rFonts w:eastAsiaTheme="minorEastAsia" w:cs="Calibri"/>
                <w:iCs/>
                <w:color w:val="FFFFFF"/>
                <w:szCs w:val="16"/>
                <w:lang w:eastAsia="en-AU"/>
              </w:rPr>
              <w:t>2016</w:t>
            </w:r>
          </w:p>
        </w:tc>
        <w:tc>
          <w:tcPr>
            <w:tcW w:w="141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 xml:space="preserve"> </w:t>
            </w:r>
          </w:p>
        </w:tc>
        <w:tc>
          <w:tcPr>
            <w:tcW w:w="1134"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 xml:space="preserve"> </w:t>
            </w:r>
          </w:p>
        </w:tc>
        <w:tc>
          <w:tcPr>
            <w:tcW w:w="1134"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 xml:space="preserve"> </w:t>
            </w:r>
          </w:p>
        </w:tc>
        <w:tc>
          <w:tcPr>
            <w:tcW w:w="1276"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 xml:space="preserve"> </w:t>
            </w:r>
          </w:p>
        </w:tc>
        <w:tc>
          <w:tcPr>
            <w:tcW w:w="1701"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 xml:space="preserve"> </w:t>
            </w:r>
          </w:p>
        </w:tc>
        <w:tc>
          <w:tcPr>
            <w:tcW w:w="1531"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 xml:space="preserve"> </w:t>
            </w:r>
          </w:p>
        </w:tc>
        <w:tc>
          <w:tcPr>
            <w:tcW w:w="1134"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Buildings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2 314</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11 579</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8 968</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8 632</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5 852</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7 324</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44 669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Land and national parks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1 325</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9 873</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2 574</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14 295</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26 970</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15 386</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70 423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buildings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87</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165</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2 656</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37</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1 476</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4 425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Infrastructure systems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44</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23 257</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37 308</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60 610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infrastructure systems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4 529</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4 529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Plant, equipment and vehicles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538</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188</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1 062</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3 709</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1 099</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6 598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plant, equipment and vehicles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61</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989</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1 060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Roads and road infrastructure</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22</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r>
              <w:rPr>
                <w:rFonts w:eastAsiaTheme="minorEastAsia" w:cs="Calibri"/>
                <w:color w:val="000000"/>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19 150</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928</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20 100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roads and road infrastructure</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575</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575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Earthworks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7 913</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7 913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Cultural assets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532</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5 114</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5 655</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6"/>
                <w:lang w:eastAsia="en-AU"/>
              </w:rPr>
            </w:pPr>
            <w:r w:rsidRPr="005A36FE">
              <w:rPr>
                <w:rFonts w:eastAsiaTheme="minorEastAsia" w:cs="Calibri"/>
                <w:bCs/>
                <w:color w:val="000000"/>
                <w:szCs w:val="16"/>
                <w:lang w:eastAsia="en-AU"/>
              </w:rPr>
              <w:t>Total land, buildings, infrastructure, plant and equipment</w:t>
            </w:r>
          </w:p>
        </w:tc>
        <w:tc>
          <w:tcPr>
            <w:tcW w:w="141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4 863</w:t>
            </w:r>
          </w:p>
        </w:tc>
        <w:tc>
          <w:tcPr>
            <w:tcW w:w="113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21 812</w:t>
            </w:r>
          </w:p>
        </w:tc>
        <w:tc>
          <w:tcPr>
            <w:tcW w:w="113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15 325</w:t>
            </w:r>
          </w:p>
        </w:tc>
        <w:tc>
          <w:tcPr>
            <w:tcW w:w="1276"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22 932</w:t>
            </w:r>
          </w:p>
        </w:tc>
        <w:tc>
          <w:tcPr>
            <w:tcW w:w="1701"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88 454</w:t>
            </w:r>
          </w:p>
        </w:tc>
        <w:tc>
          <w:tcPr>
            <w:tcW w:w="1531"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73 171</w:t>
            </w:r>
          </w:p>
        </w:tc>
        <w:tc>
          <w:tcPr>
            <w:tcW w:w="113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226 557</w:t>
            </w:r>
          </w:p>
        </w:tc>
      </w:tr>
    </w:tbl>
    <w:p w:rsidR="00BB6F1F" w:rsidRPr="007C3146" w:rsidRDefault="00BB6F1F" w:rsidP="00AC68FF">
      <w:pPr>
        <w:rPr>
          <w:rFonts w:asciiTheme="majorHAnsi" w:hAnsiTheme="majorHAnsi"/>
          <w:spacing w:val="-2"/>
          <w:lang w:val="en-US"/>
        </w:rPr>
      </w:pPr>
    </w:p>
    <w:p w:rsidR="00BB6F1F" w:rsidRDefault="00BB6F1F" w:rsidP="00AC68FF">
      <w:pPr>
        <w:pStyle w:val="Note"/>
      </w:pPr>
    </w:p>
    <w:p w:rsidR="00BB6F1F" w:rsidRDefault="00BB6F1F">
      <w:pPr>
        <w:keepLines w:val="0"/>
      </w:pPr>
      <w:r>
        <w:br w:type="page"/>
      </w:r>
    </w:p>
    <w:p w:rsidR="00BB6F1F" w:rsidRPr="00A11C34" w:rsidRDefault="00BB6F1F" w:rsidP="00B63F61">
      <w:pPr>
        <w:pStyle w:val="Heading30"/>
        <w:pBdr>
          <w:bottom w:val="none" w:sz="0" w:space="0" w:color="auto"/>
        </w:pBdr>
        <w:spacing w:before="0"/>
      </w:pPr>
      <w:r w:rsidRPr="00A11C34">
        <w:lastRenderedPageBreak/>
        <w:t>4.1.3</w:t>
      </w:r>
      <w:r w:rsidRPr="00A11C34">
        <w:tab/>
        <w:t xml:space="preserve">Total land, buildings, infrastructure, plant and equipment by government purpose </w:t>
      </w:r>
      <w:r w:rsidRPr="00A11C34">
        <w:rPr>
          <w:i/>
        </w:rPr>
        <w:t>(continued)</w:t>
      </w:r>
    </w:p>
    <w:p w:rsidR="00BB6F1F" w:rsidRPr="005A36FE" w:rsidRDefault="00BB6F1F" w:rsidP="00AC68FF">
      <w:pPr>
        <w:pStyle w:val="TableUnits"/>
        <w:rPr>
          <w:lang w:val="en-US"/>
        </w:rPr>
      </w:pPr>
      <w:r>
        <w:t xml:space="preserve">($ million) </w:t>
      </w: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5244"/>
        <w:gridCol w:w="1417"/>
        <w:gridCol w:w="1134"/>
        <w:gridCol w:w="1134"/>
        <w:gridCol w:w="1276"/>
        <w:gridCol w:w="1701"/>
        <w:gridCol w:w="1531"/>
        <w:gridCol w:w="1134"/>
      </w:tblGrid>
      <w:tr w:rsidR="00C532A5" w:rsidRPr="005A36FE" w:rsidTr="00C532A5">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5244" w:type="dxa"/>
            <w:tcBorders>
              <w:top w:val="nil"/>
              <w:left w:val="nil"/>
              <w:right w:val="nil"/>
            </w:tcBorders>
            <w:shd w:val="solid" w:color="000000" w:fill="auto"/>
          </w:tcPr>
          <w:p w:rsidR="00C532A5" w:rsidRPr="005A36FE" w:rsidRDefault="00C532A5" w:rsidP="00AC68FF">
            <w:pPr>
              <w:autoSpaceDE w:val="0"/>
              <w:autoSpaceDN w:val="0"/>
              <w:adjustRightInd w:val="0"/>
              <w:rPr>
                <w:rFonts w:eastAsiaTheme="minorEastAsia" w:cs="Calibri"/>
                <w:i w:val="0"/>
                <w:iCs/>
                <w:color w:val="FFFFFF"/>
                <w:szCs w:val="16"/>
                <w:lang w:eastAsia="en-AU"/>
              </w:rPr>
            </w:pPr>
            <w:r w:rsidRPr="005A36FE">
              <w:rPr>
                <w:rFonts w:eastAsiaTheme="minorEastAsia" w:cs="Calibri"/>
                <w:iCs/>
                <w:color w:val="FFFFFF"/>
                <w:szCs w:val="16"/>
                <w:lang w:eastAsia="en-AU"/>
              </w:rPr>
              <w:t>General government sector</w:t>
            </w:r>
          </w:p>
          <w:p w:rsidR="00C532A5" w:rsidRPr="005A36FE" w:rsidRDefault="00C532A5" w:rsidP="00AC68FF">
            <w:pPr>
              <w:autoSpaceDE w:val="0"/>
              <w:autoSpaceDN w:val="0"/>
              <w:adjustRightInd w:val="0"/>
              <w:rPr>
                <w:rFonts w:eastAsiaTheme="minorEastAsia" w:cs="Calibri"/>
                <w:iCs/>
                <w:color w:val="FFFFFF"/>
                <w:szCs w:val="16"/>
                <w:lang w:eastAsia="en-AU"/>
              </w:rPr>
            </w:pPr>
            <w:r w:rsidRPr="005A36FE">
              <w:rPr>
                <w:rFonts w:eastAsiaTheme="minorEastAsia" w:cs="Calibri"/>
                <w:iCs/>
                <w:color w:val="FFFFFF"/>
                <w:szCs w:val="16"/>
                <w:lang w:eastAsia="en-AU"/>
              </w:rPr>
              <w:t>2017</w:t>
            </w:r>
          </w:p>
        </w:tc>
        <w:tc>
          <w:tcPr>
            <w:tcW w:w="1417" w:type="dxa"/>
            <w:tcBorders>
              <w:top w:val="nil"/>
              <w:left w:val="nil"/>
              <w:right w:val="nil"/>
            </w:tcBorders>
            <w:shd w:val="solid" w:color="000000" w:fill="auto"/>
          </w:tcPr>
          <w:p w:rsidR="00C532A5" w:rsidRPr="005A36FE" w:rsidRDefault="00C532A5" w:rsidP="00C532A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5A36FE">
              <w:rPr>
                <w:rFonts w:eastAsiaTheme="minorEastAsia" w:cs="Arial"/>
                <w:iCs/>
                <w:color w:val="FFFFFF"/>
                <w:szCs w:val="18"/>
                <w:lang w:eastAsia="en-AU"/>
              </w:rPr>
              <w:t>Publi</w:t>
            </w:r>
            <w:r>
              <w:rPr>
                <w:rFonts w:eastAsiaTheme="minorEastAsia" w:cs="Arial"/>
                <w:iCs/>
                <w:color w:val="FFFFFF"/>
                <w:szCs w:val="18"/>
                <w:lang w:eastAsia="en-AU"/>
              </w:rPr>
              <w:t xml:space="preserve">c </w:t>
            </w:r>
            <w:r w:rsidRPr="005A36FE">
              <w:rPr>
                <w:rFonts w:eastAsiaTheme="minorEastAsia" w:cs="Arial"/>
                <w:iCs/>
                <w:color w:val="FFFFFF"/>
                <w:szCs w:val="18"/>
                <w:lang w:eastAsia="en-AU"/>
              </w:rPr>
              <w:t>administration</w:t>
            </w:r>
          </w:p>
        </w:tc>
        <w:tc>
          <w:tcPr>
            <w:tcW w:w="1134" w:type="dxa"/>
            <w:tcBorders>
              <w:top w:val="nil"/>
              <w:left w:val="nil"/>
              <w:right w:val="nil"/>
            </w:tcBorders>
            <w:shd w:val="solid" w:color="000000" w:fill="auto"/>
          </w:tcPr>
          <w:p w:rsidR="00C532A5" w:rsidRPr="005A36FE" w:rsidRDefault="00C532A5" w:rsidP="00C532A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5A36FE">
              <w:rPr>
                <w:rFonts w:eastAsiaTheme="minorEastAsia" w:cs="Arial"/>
                <w:iCs/>
                <w:color w:val="FFFFFF"/>
                <w:szCs w:val="18"/>
                <w:lang w:eastAsia="en-AU"/>
              </w:rPr>
              <w:t>Education</w:t>
            </w:r>
          </w:p>
        </w:tc>
        <w:tc>
          <w:tcPr>
            <w:tcW w:w="1134" w:type="dxa"/>
            <w:tcBorders>
              <w:top w:val="nil"/>
              <w:left w:val="nil"/>
              <w:right w:val="nil"/>
            </w:tcBorders>
            <w:shd w:val="solid" w:color="000000" w:fill="auto"/>
          </w:tcPr>
          <w:p w:rsidR="00C532A5" w:rsidRPr="005A36FE" w:rsidRDefault="00C532A5" w:rsidP="00C532A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5A36FE">
              <w:rPr>
                <w:rFonts w:eastAsiaTheme="minorEastAsia" w:cs="Arial"/>
                <w:iCs/>
                <w:color w:val="FFFFFF"/>
                <w:szCs w:val="18"/>
                <w:lang w:eastAsia="en-AU"/>
              </w:rPr>
              <w:t>Health and</w:t>
            </w:r>
            <w:r>
              <w:rPr>
                <w:rFonts w:eastAsiaTheme="minorEastAsia" w:cs="Arial"/>
                <w:iCs/>
                <w:color w:val="FFFFFF"/>
                <w:szCs w:val="18"/>
                <w:lang w:eastAsia="en-AU"/>
              </w:rPr>
              <w:t xml:space="preserve"> </w:t>
            </w:r>
            <w:r w:rsidRPr="005A36FE">
              <w:rPr>
                <w:rFonts w:eastAsiaTheme="minorEastAsia" w:cs="Arial"/>
                <w:iCs/>
                <w:color w:val="FFFFFF"/>
                <w:szCs w:val="18"/>
                <w:lang w:eastAsia="en-AU"/>
              </w:rPr>
              <w:t>Welfare</w:t>
            </w:r>
          </w:p>
        </w:tc>
        <w:tc>
          <w:tcPr>
            <w:tcW w:w="1276" w:type="dxa"/>
            <w:tcBorders>
              <w:top w:val="nil"/>
              <w:left w:val="nil"/>
              <w:right w:val="nil"/>
            </w:tcBorders>
            <w:shd w:val="solid" w:color="000000" w:fill="auto"/>
          </w:tcPr>
          <w:p w:rsidR="00C532A5" w:rsidRPr="005A36FE" w:rsidRDefault="00C532A5" w:rsidP="00C532A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5A36FE">
              <w:rPr>
                <w:rFonts w:eastAsiaTheme="minorEastAsia" w:cs="Arial"/>
                <w:iCs/>
                <w:color w:val="FFFFFF"/>
                <w:szCs w:val="18"/>
                <w:lang w:eastAsia="en-AU"/>
              </w:rPr>
              <w:t>Community</w:t>
            </w:r>
            <w:r>
              <w:rPr>
                <w:rFonts w:eastAsiaTheme="minorEastAsia" w:cs="Arial"/>
                <w:iCs/>
                <w:color w:val="FFFFFF"/>
                <w:szCs w:val="18"/>
                <w:lang w:eastAsia="en-AU"/>
              </w:rPr>
              <w:t xml:space="preserve"> </w:t>
            </w:r>
            <w:r w:rsidRPr="005A36FE">
              <w:rPr>
                <w:rFonts w:eastAsiaTheme="minorEastAsia" w:cs="Arial"/>
                <w:iCs/>
                <w:color w:val="FFFFFF"/>
                <w:szCs w:val="18"/>
                <w:lang w:eastAsia="en-AU"/>
              </w:rPr>
              <w:t>Housing</w:t>
            </w:r>
          </w:p>
        </w:tc>
        <w:tc>
          <w:tcPr>
            <w:tcW w:w="1701" w:type="dxa"/>
            <w:tcBorders>
              <w:top w:val="nil"/>
              <w:left w:val="nil"/>
              <w:right w:val="nil"/>
            </w:tcBorders>
            <w:shd w:val="solid" w:color="000000" w:fill="auto"/>
          </w:tcPr>
          <w:p w:rsidR="00C532A5" w:rsidRPr="005A36FE" w:rsidRDefault="00C532A5" w:rsidP="00C532A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5A36FE">
              <w:rPr>
                <w:rFonts w:eastAsiaTheme="minorEastAsia" w:cs="Arial"/>
                <w:iCs/>
                <w:color w:val="FFFFFF"/>
                <w:szCs w:val="18"/>
                <w:lang w:eastAsia="en-AU"/>
              </w:rPr>
              <w:t>Transportation and</w:t>
            </w:r>
            <w:r>
              <w:rPr>
                <w:rFonts w:eastAsiaTheme="minorEastAsia" w:cs="Arial"/>
                <w:iCs/>
                <w:color w:val="FFFFFF"/>
                <w:szCs w:val="18"/>
                <w:lang w:eastAsia="en-AU"/>
              </w:rPr>
              <w:br/>
            </w:r>
            <w:r w:rsidRPr="005A36FE">
              <w:rPr>
                <w:rFonts w:eastAsiaTheme="minorEastAsia" w:cs="Arial"/>
                <w:iCs/>
                <w:color w:val="FFFFFF"/>
                <w:szCs w:val="18"/>
                <w:lang w:eastAsia="en-AU"/>
              </w:rPr>
              <w:t>Communication</w:t>
            </w:r>
          </w:p>
        </w:tc>
        <w:tc>
          <w:tcPr>
            <w:tcW w:w="1531" w:type="dxa"/>
            <w:tcBorders>
              <w:top w:val="nil"/>
              <w:left w:val="nil"/>
              <w:right w:val="nil"/>
            </w:tcBorders>
            <w:shd w:val="solid" w:color="000000" w:fill="auto"/>
          </w:tcPr>
          <w:p w:rsidR="00C532A5" w:rsidRPr="005A36FE" w:rsidRDefault="00C532A5" w:rsidP="00C532A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5A36FE">
              <w:rPr>
                <w:rFonts w:eastAsiaTheme="minorEastAsia" w:cs="Arial"/>
                <w:iCs/>
                <w:color w:val="FFFFFF"/>
                <w:szCs w:val="18"/>
                <w:lang w:eastAsia="en-AU"/>
              </w:rPr>
              <w:t>Public Safety and</w:t>
            </w:r>
            <w:r>
              <w:rPr>
                <w:rFonts w:eastAsiaTheme="minorEastAsia" w:cs="Arial"/>
                <w:iCs/>
                <w:color w:val="FFFFFF"/>
                <w:szCs w:val="18"/>
                <w:lang w:eastAsia="en-AU"/>
              </w:rPr>
              <w:br/>
            </w:r>
            <w:r w:rsidRPr="005A36FE">
              <w:rPr>
                <w:rFonts w:eastAsiaTheme="minorEastAsia" w:cs="Arial"/>
                <w:iCs/>
                <w:color w:val="FFFFFF"/>
                <w:szCs w:val="18"/>
                <w:lang w:eastAsia="en-AU"/>
              </w:rPr>
              <w:t>Environment</w:t>
            </w:r>
          </w:p>
        </w:tc>
        <w:tc>
          <w:tcPr>
            <w:tcW w:w="1134" w:type="dxa"/>
            <w:tcBorders>
              <w:top w:val="nil"/>
              <w:left w:val="nil"/>
              <w:right w:val="nil"/>
            </w:tcBorders>
            <w:shd w:val="solid" w:color="000000" w:fill="auto"/>
          </w:tcPr>
          <w:p w:rsidR="00C532A5" w:rsidRPr="005A36FE" w:rsidRDefault="00C532A5" w:rsidP="00C532A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5A36FE">
              <w:rPr>
                <w:rFonts w:eastAsiaTheme="minorEastAsia" w:cs="Arial"/>
                <w:iCs/>
                <w:color w:val="FFFFFF"/>
                <w:szCs w:val="18"/>
                <w:lang w:eastAsia="en-AU"/>
              </w:rPr>
              <w:t xml:space="preserve">Total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Buildings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780</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11 813</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8 717</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517</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6 211</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28 039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Land and national parks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1 761</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10 006</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2 781</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24 255</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11 750</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50 554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buildings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57</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406</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3 376</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71</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800</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4 711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Infrastructure systems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38</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351</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954</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1 343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Plant, equipment and vehicles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78</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195</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1 214</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33</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842</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2 362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plant, equipment and vehicles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14</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76</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83</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12</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184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Roads and road infrastructure</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19 572</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869</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20 440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roads and road infrastructure</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565</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565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Earthworks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7 961</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7 961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Cultural assets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625</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4 986</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5 617</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6"/>
                <w:lang w:eastAsia="en-AU"/>
              </w:rPr>
            </w:pPr>
            <w:r w:rsidRPr="005A36FE">
              <w:rPr>
                <w:rFonts w:eastAsiaTheme="minorEastAsia" w:cs="Calibri"/>
                <w:bCs/>
                <w:color w:val="000000"/>
                <w:szCs w:val="16"/>
                <w:lang w:eastAsia="en-AU"/>
              </w:rPr>
              <w:t>Total land, buildings, infrastructure, plant and equipment</w:t>
            </w:r>
          </w:p>
        </w:tc>
        <w:tc>
          <w:tcPr>
            <w:tcW w:w="141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3 340</w:t>
            </w:r>
          </w:p>
        </w:tc>
        <w:tc>
          <w:tcPr>
            <w:tcW w:w="113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22 437</w:t>
            </w:r>
          </w:p>
        </w:tc>
        <w:tc>
          <w:tcPr>
            <w:tcW w:w="113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16 164</w:t>
            </w:r>
          </w:p>
        </w:tc>
        <w:tc>
          <w:tcPr>
            <w:tcW w:w="1276"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w:t>
            </w:r>
          </w:p>
        </w:tc>
        <w:tc>
          <w:tcPr>
            <w:tcW w:w="1701"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53 411</w:t>
            </w:r>
          </w:p>
        </w:tc>
        <w:tc>
          <w:tcPr>
            <w:tcW w:w="1531"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26 424</w:t>
            </w:r>
          </w:p>
        </w:tc>
        <w:tc>
          <w:tcPr>
            <w:tcW w:w="113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121 776</w:t>
            </w:r>
          </w:p>
        </w:tc>
      </w:tr>
    </w:tbl>
    <w:p w:rsidR="00BB6F1F" w:rsidRPr="005A36FE" w:rsidRDefault="00BB6F1F" w:rsidP="00AC68FF">
      <w:pPr>
        <w:rPr>
          <w:b/>
          <w:bCs/>
          <w:lang w:val="en-US"/>
        </w:rPr>
      </w:pP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5244"/>
        <w:gridCol w:w="1417"/>
        <w:gridCol w:w="1134"/>
        <w:gridCol w:w="1134"/>
        <w:gridCol w:w="1276"/>
        <w:gridCol w:w="1701"/>
        <w:gridCol w:w="1531"/>
        <w:gridCol w:w="1134"/>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szCs w:val="16"/>
                <w:lang w:eastAsia="en-AU"/>
              </w:rPr>
            </w:pPr>
            <w:r w:rsidRPr="005A36FE">
              <w:rPr>
                <w:rFonts w:eastAsiaTheme="minorEastAsia" w:cs="Calibri"/>
                <w:iCs/>
                <w:color w:val="FFFFFF"/>
                <w:szCs w:val="16"/>
                <w:lang w:eastAsia="en-AU"/>
              </w:rPr>
              <w:t>2016</w:t>
            </w:r>
          </w:p>
        </w:tc>
        <w:tc>
          <w:tcPr>
            <w:tcW w:w="141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 xml:space="preserve"> </w:t>
            </w:r>
          </w:p>
        </w:tc>
        <w:tc>
          <w:tcPr>
            <w:tcW w:w="1134"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 xml:space="preserve"> </w:t>
            </w:r>
          </w:p>
        </w:tc>
        <w:tc>
          <w:tcPr>
            <w:tcW w:w="1134"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 xml:space="preserve"> </w:t>
            </w:r>
          </w:p>
        </w:tc>
        <w:tc>
          <w:tcPr>
            <w:tcW w:w="1276"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 xml:space="preserve"> </w:t>
            </w:r>
          </w:p>
        </w:tc>
        <w:tc>
          <w:tcPr>
            <w:tcW w:w="1701"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 xml:space="preserve"> </w:t>
            </w:r>
          </w:p>
        </w:tc>
        <w:tc>
          <w:tcPr>
            <w:tcW w:w="1531"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 xml:space="preserve"> </w:t>
            </w:r>
          </w:p>
        </w:tc>
        <w:tc>
          <w:tcPr>
            <w:tcW w:w="1134"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Buildings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647</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11 579</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8 954</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607</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5 826</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27 612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Land and national parks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1 195</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9 873</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2 568</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19 828</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11 261</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44 724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buildings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46</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165</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2 656</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37</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1 097</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4 002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Infrastructure systems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39</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355</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927</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1 320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Plant, equipment and vehicles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199</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188</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1 062</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27</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850</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2 326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plant, equipment and vehicles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61</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87</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158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Roads and road infrastructure</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19 150</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882</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20 031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Leased roads and road infrastructure</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575</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575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Earthworks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7 913</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7 913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Cultural assets</w:t>
            </w:r>
          </w:p>
        </w:tc>
        <w:tc>
          <w:tcPr>
            <w:tcW w:w="141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532</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w:t>
            </w:r>
          </w:p>
        </w:tc>
        <w:tc>
          <w:tcPr>
            <w:tcW w:w="1276"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5A36FE">
              <w:rPr>
                <w:rFonts w:eastAsiaTheme="minorEastAsia" w:cs="Calibri"/>
                <w:color w:val="000000"/>
                <w:lang w:eastAsia="en-AU"/>
              </w:rPr>
              <w:t xml:space="preserve"> </w:t>
            </w:r>
          </w:p>
        </w:tc>
        <w:tc>
          <w:tcPr>
            <w:tcW w:w="170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1531"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5 051</w:t>
            </w:r>
          </w:p>
        </w:tc>
        <w:tc>
          <w:tcPr>
            <w:tcW w:w="113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5 592</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6"/>
                <w:lang w:eastAsia="en-AU"/>
              </w:rPr>
            </w:pPr>
            <w:r w:rsidRPr="005A36FE">
              <w:rPr>
                <w:rFonts w:eastAsiaTheme="minorEastAsia" w:cs="Calibri"/>
                <w:bCs/>
                <w:color w:val="000000"/>
                <w:szCs w:val="16"/>
                <w:lang w:eastAsia="en-AU"/>
              </w:rPr>
              <w:t>Total land, buildings, infrastructure, plant and equipment</w:t>
            </w:r>
          </w:p>
        </w:tc>
        <w:tc>
          <w:tcPr>
            <w:tcW w:w="141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2 658</w:t>
            </w:r>
          </w:p>
        </w:tc>
        <w:tc>
          <w:tcPr>
            <w:tcW w:w="113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21 812</w:t>
            </w:r>
          </w:p>
        </w:tc>
        <w:tc>
          <w:tcPr>
            <w:tcW w:w="113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15 304</w:t>
            </w:r>
          </w:p>
        </w:tc>
        <w:tc>
          <w:tcPr>
            <w:tcW w:w="1276"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w:t>
            </w:r>
          </w:p>
        </w:tc>
        <w:tc>
          <w:tcPr>
            <w:tcW w:w="1701"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48 581</w:t>
            </w:r>
          </w:p>
        </w:tc>
        <w:tc>
          <w:tcPr>
            <w:tcW w:w="1531"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25 900</w:t>
            </w:r>
          </w:p>
        </w:tc>
        <w:tc>
          <w:tcPr>
            <w:tcW w:w="113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114 254</w:t>
            </w:r>
          </w:p>
        </w:tc>
      </w:tr>
    </w:tbl>
    <w:p w:rsidR="00BB6F1F" w:rsidRDefault="00BB6F1F" w:rsidP="00AC68FF"/>
    <w:p w:rsidR="00BB6F1F" w:rsidRDefault="00BB6F1F" w:rsidP="00AC68FF"/>
    <w:p w:rsidR="00BB6F1F" w:rsidRDefault="00BB6F1F" w:rsidP="00AC68FF"/>
    <w:p w:rsidR="00BB6F1F" w:rsidRDefault="00BB6F1F" w:rsidP="00AC68FF">
      <w:pPr>
        <w:sectPr w:rsidR="00BB6F1F" w:rsidSect="00AC68FF">
          <w:headerReference w:type="even" r:id="rId64"/>
          <w:headerReference w:type="default" r:id="rId65"/>
          <w:footerReference w:type="even" r:id="rId66"/>
          <w:footerReference w:type="default" r:id="rId67"/>
          <w:pgSz w:w="16839" w:h="11907" w:orient="landscape" w:code="9"/>
          <w:pgMar w:top="1134" w:right="1134" w:bottom="1134" w:left="1134" w:header="624" w:footer="567" w:gutter="0"/>
          <w:cols w:sep="1" w:space="567"/>
          <w:docGrid w:linePitch="360"/>
        </w:sectPr>
      </w:pPr>
    </w:p>
    <w:p w:rsidR="00BB6F1F" w:rsidRDefault="00BB6F1F" w:rsidP="00BB6F1F">
      <w:pPr>
        <w:pStyle w:val="Heading2"/>
        <w:numPr>
          <w:ilvl w:val="1"/>
          <w:numId w:val="24"/>
        </w:numPr>
        <w:spacing w:before="0" w:after="120"/>
      </w:pPr>
      <w:bookmarkStart w:id="32" w:name="_Toc492984840"/>
      <w:r w:rsidRPr="00AF543C">
        <w:lastRenderedPageBreak/>
        <w:t>Other non-financial assets</w:t>
      </w:r>
      <w:bookmarkEnd w:id="32"/>
    </w:p>
    <w:p w:rsidR="00BB6F1F" w:rsidRPr="005A36FE" w:rsidRDefault="00BB6F1F" w:rsidP="00AC68FF">
      <w:pPr>
        <w:pStyle w:val="TableUnits"/>
        <w:rPr>
          <w:bCs/>
          <w:lang w:val="en-US"/>
        </w:rPr>
      </w:pPr>
      <w:r w:rsidRPr="00AF543C">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B933FD">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 xml:space="preserve">General </w:t>
            </w:r>
            <w:r w:rsidR="00B933FD">
              <w:rPr>
                <w:rFonts w:eastAsiaTheme="minorEastAsia" w:cs="Calibri"/>
                <w:iCs/>
                <w:color w:val="FFFFFF"/>
                <w:szCs w:val="16"/>
                <w:lang w:eastAsia="en-AU"/>
              </w:rPr>
              <w:br/>
            </w:r>
            <w:r w:rsidRPr="005A36FE">
              <w:rPr>
                <w:rFonts w:eastAsiaTheme="minorEastAsia" w:cs="Calibri"/>
                <w:iCs/>
                <w:color w:val="FFFFFF"/>
                <w:szCs w:val="16"/>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vertAlign w:val="superscript"/>
                <w:lang w:eastAsia="en-AU"/>
              </w:rPr>
            </w:pPr>
            <w:r w:rsidRPr="005A36FE">
              <w:rPr>
                <w:rFonts w:eastAsiaTheme="minorEastAsia" w:cs="Calibri"/>
                <w:color w:val="000000"/>
                <w:szCs w:val="16"/>
                <w:lang w:eastAsia="en-AU"/>
              </w:rPr>
              <w:t xml:space="preserve">Intangible produced assets </w:t>
            </w:r>
            <w:r w:rsidRPr="005A36FE">
              <w:rPr>
                <w:rFonts w:eastAsiaTheme="minorEastAsia" w:cs="Calibri"/>
                <w:color w:val="000000"/>
                <w:szCs w:val="16"/>
                <w:vertAlign w:val="superscript"/>
                <w:lang w:eastAsia="en-AU"/>
              </w:rPr>
              <w:t>(a)</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2 826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2 578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1 685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5A36FE">
              <w:rPr>
                <w:rFonts w:eastAsiaTheme="minorEastAsia" w:cs="Arial"/>
                <w:color w:val="000000"/>
                <w:szCs w:val="16"/>
                <w:lang w:eastAsia="en-AU"/>
              </w:rPr>
              <w:t>1 525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Accumulated depreciation</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(1 479)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(1 291)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(872)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(786)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 xml:space="preserve">Intangible non-produced assets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865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831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117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109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Accumulated amortisation</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(237)</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(211)</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(32)</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(36)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vertAlign w:val="superscript"/>
                <w:lang w:eastAsia="en-AU"/>
              </w:rPr>
            </w:pPr>
            <w:r w:rsidRPr="005A36FE">
              <w:rPr>
                <w:rFonts w:eastAsiaTheme="minorEastAsia" w:cs="Calibri"/>
                <w:b/>
                <w:bCs/>
                <w:color w:val="000000"/>
                <w:szCs w:val="16"/>
                <w:lang w:eastAsia="en-AU"/>
              </w:rPr>
              <w:t xml:space="preserve">Total intangibles </w:t>
            </w:r>
            <w:r w:rsidRPr="005A36FE">
              <w:rPr>
                <w:rFonts w:eastAsiaTheme="minorEastAsia" w:cs="Calibri"/>
                <w:b/>
                <w:bCs/>
                <w:color w:val="000000"/>
                <w:szCs w:val="16"/>
                <w:vertAlign w:val="superscript"/>
                <w:lang w:eastAsia="en-AU"/>
              </w:rPr>
              <w:t>(a)</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1 975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5A36FE">
              <w:rPr>
                <w:rFonts w:eastAsiaTheme="minorEastAsia" w:cs="Arial"/>
                <w:b/>
                <w:bCs/>
                <w:color w:val="000000"/>
                <w:szCs w:val="16"/>
                <w:lang w:eastAsia="en-AU"/>
              </w:rPr>
              <w:t>1 907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Pr>
                <w:rFonts w:eastAsiaTheme="minorEastAsia" w:cs="Arial"/>
                <w:b/>
                <w:bCs/>
                <w:color w:val="000000"/>
                <w:szCs w:val="16"/>
                <w:lang w:eastAsia="en-AU"/>
              </w:rPr>
              <w:t>898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Pr>
                <w:rFonts w:eastAsiaTheme="minorEastAsia" w:cs="Arial"/>
                <w:b/>
                <w:bCs/>
                <w:color w:val="000000"/>
                <w:szCs w:val="16"/>
                <w:lang w:eastAsia="en-AU"/>
              </w:rPr>
              <w:t>811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Investment properties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187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158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179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151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vertAlign w:val="superscript"/>
                <w:lang w:eastAsia="en-AU"/>
              </w:rPr>
            </w:pPr>
            <w:r w:rsidRPr="005A36FE">
              <w:rPr>
                <w:rFonts w:eastAsiaTheme="minorEastAsia" w:cs="Calibri"/>
                <w:color w:val="000000"/>
                <w:szCs w:val="16"/>
                <w:lang w:eastAsia="en-AU"/>
              </w:rPr>
              <w:t xml:space="preserve">Biological assets </w:t>
            </w:r>
            <w:r w:rsidRPr="005A36FE">
              <w:rPr>
                <w:rFonts w:eastAsiaTheme="minorEastAsia" w:cs="Calibri"/>
                <w:color w:val="000000"/>
                <w:szCs w:val="16"/>
                <w:vertAlign w:val="superscript"/>
                <w:lang w:eastAsia="en-AU"/>
              </w:rPr>
              <w:t>(b)</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56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61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Other assets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429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340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414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220</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6"/>
                <w:vertAlign w:val="superscript"/>
                <w:lang w:eastAsia="en-AU"/>
              </w:rPr>
            </w:pPr>
            <w:r w:rsidRPr="005A36FE">
              <w:rPr>
                <w:rFonts w:eastAsiaTheme="minorEastAsia" w:cs="Calibri"/>
                <w:bCs/>
                <w:color w:val="000000"/>
                <w:szCs w:val="16"/>
                <w:lang w:eastAsia="en-AU"/>
              </w:rPr>
              <w:t xml:space="preserve">Total other non-financial assets </w:t>
            </w:r>
            <w:r w:rsidRPr="005A36FE">
              <w:rPr>
                <w:rFonts w:eastAsiaTheme="minorEastAsia" w:cs="Calibri"/>
                <w:bCs/>
                <w:color w:val="000000"/>
                <w:szCs w:val="16"/>
                <w:vertAlign w:val="superscript"/>
                <w:lang w:eastAsia="en-AU"/>
              </w:rPr>
              <w:t>(a)</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Arial"/>
                <w:bCs/>
                <w:color w:val="000000"/>
                <w:szCs w:val="16"/>
                <w:lang w:eastAsia="en-AU"/>
              </w:rPr>
            </w:pPr>
            <w:r w:rsidRPr="005A36FE">
              <w:rPr>
                <w:rFonts w:eastAsiaTheme="minorEastAsia" w:cs="Arial"/>
                <w:bCs/>
                <w:color w:val="000000"/>
                <w:szCs w:val="16"/>
                <w:lang w:eastAsia="en-AU"/>
              </w:rPr>
              <w:t>2 648</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Arial"/>
                <w:bCs/>
                <w:color w:val="000000"/>
                <w:szCs w:val="16"/>
                <w:lang w:eastAsia="en-AU"/>
              </w:rPr>
            </w:pPr>
            <w:r w:rsidRPr="005A36FE">
              <w:rPr>
                <w:rFonts w:eastAsiaTheme="minorEastAsia" w:cs="Arial"/>
                <w:bCs/>
                <w:color w:val="000000"/>
                <w:szCs w:val="16"/>
                <w:lang w:eastAsia="en-AU"/>
              </w:rPr>
              <w:t>2 466</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Arial"/>
                <w:bCs/>
                <w:color w:val="000000"/>
                <w:szCs w:val="16"/>
                <w:lang w:eastAsia="en-AU"/>
              </w:rPr>
            </w:pPr>
            <w:r w:rsidRPr="005A36FE">
              <w:rPr>
                <w:rFonts w:eastAsiaTheme="minorEastAsia" w:cs="Arial"/>
                <w:bCs/>
                <w:color w:val="000000"/>
                <w:szCs w:val="16"/>
                <w:lang w:eastAsia="en-AU"/>
              </w:rPr>
              <w:t>1 494</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Arial"/>
                <w:bCs/>
                <w:color w:val="000000"/>
                <w:szCs w:val="16"/>
                <w:lang w:eastAsia="en-AU"/>
              </w:rPr>
            </w:pPr>
            <w:r w:rsidRPr="005A36FE">
              <w:rPr>
                <w:rFonts w:eastAsiaTheme="minorEastAsia" w:cs="Arial"/>
                <w:bCs/>
                <w:color w:val="000000"/>
                <w:szCs w:val="16"/>
                <w:lang w:eastAsia="en-AU"/>
              </w:rPr>
              <w:t>1 184</w:t>
            </w:r>
          </w:p>
        </w:tc>
      </w:tr>
    </w:tbl>
    <w:p w:rsidR="00BB6F1F" w:rsidRDefault="00BB6F1F" w:rsidP="00AC68FF">
      <w:pPr>
        <w:pStyle w:val="Note"/>
      </w:pPr>
      <w:r>
        <w:t>Notes:</w:t>
      </w:r>
    </w:p>
    <w:p w:rsidR="00BB6F1F" w:rsidRDefault="00BB6F1F" w:rsidP="00AC68FF">
      <w:pPr>
        <w:pStyle w:val="Note"/>
      </w:pPr>
      <w:r>
        <w:t>(a)</w:t>
      </w:r>
      <w:r>
        <w:tab/>
      </w:r>
      <w:r w:rsidRPr="00AF5DF9">
        <w:t xml:space="preserve">June 2016 comparative figures have been restated to reflect an adjustment to the Department of Environment, Land, Water and Planning's intangible produced assets due to the </w:t>
      </w:r>
      <w:r>
        <w:t xml:space="preserve">first-time </w:t>
      </w:r>
      <w:r w:rsidRPr="00AF5DF9">
        <w:t>recognition of Renewable Energy Certificates.  </w:t>
      </w:r>
    </w:p>
    <w:p w:rsidR="00BB6F1F" w:rsidRDefault="00BB6F1F" w:rsidP="00AC68FF">
      <w:pPr>
        <w:pStyle w:val="Note"/>
      </w:pPr>
      <w:r>
        <w:t>(b)</w:t>
      </w:r>
      <w:r>
        <w:tab/>
        <w:t>The majority of biological assets are commercial forests and also includes any living animal, plant or agricultural produce which is the harvested product of biological assets.</w:t>
      </w:r>
    </w:p>
    <w:p w:rsidR="00BB6F1F" w:rsidRDefault="00BB6F1F" w:rsidP="00AC68FF">
      <w:pPr>
        <w:pStyle w:val="Heading30"/>
        <w:pBdr>
          <w:bottom w:val="none" w:sz="0" w:space="0" w:color="auto"/>
        </w:pBdr>
      </w:pPr>
      <w:r w:rsidRPr="006C4C33">
        <w:t xml:space="preserve">Reconciliation of movement in intangibles, investment properties and biological assets </w:t>
      </w:r>
      <w:r w:rsidRPr="006C4C33">
        <w:rPr>
          <w:vertAlign w:val="superscript"/>
        </w:rPr>
        <w:t>(a)</w:t>
      </w:r>
    </w:p>
    <w:p w:rsidR="00BB6F1F" w:rsidRPr="005A36FE" w:rsidRDefault="00BB6F1F" w:rsidP="00AC68FF">
      <w:pPr>
        <w:pStyle w:val="TableUnits"/>
        <w:rPr>
          <w:bCs/>
          <w:lang w:val="en-US"/>
        </w:rPr>
      </w:pPr>
      <w:r w:rsidRPr="006C4C33">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szCs w:val="20"/>
                <w:lang w:eastAsia="en-AU"/>
              </w:rPr>
            </w:pPr>
            <w:r w:rsidRPr="005A36FE">
              <w:rPr>
                <w:rFonts w:eastAsiaTheme="minorEastAsia" w:cs="Calibri"/>
                <w:iCs/>
                <w:color w:val="FFFFFF"/>
                <w:szCs w:val="20"/>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B933FD">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 xml:space="preserve">General </w:t>
            </w:r>
            <w:r w:rsidR="00B933FD">
              <w:rPr>
                <w:rFonts w:eastAsiaTheme="minorEastAsia" w:cs="Calibri"/>
                <w:iCs/>
                <w:color w:val="FFFFFF"/>
                <w:szCs w:val="20"/>
                <w:lang w:eastAsia="en-AU"/>
              </w:rPr>
              <w:br/>
            </w:r>
            <w:r w:rsidRPr="005A36FE">
              <w:rPr>
                <w:rFonts w:eastAsiaTheme="minorEastAsia" w:cs="Calibri"/>
                <w:iCs/>
                <w:color w:val="FFFFFF"/>
                <w:szCs w:val="20"/>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szCs w:val="20"/>
                <w:lang w:eastAsia="en-AU"/>
              </w:rPr>
            </w:pPr>
            <w:r w:rsidRPr="005A36FE">
              <w:rPr>
                <w:rFonts w:eastAsiaTheme="minorEastAsia" w:cs="Calibri"/>
                <w:iCs/>
                <w:color w:val="FFFFFF"/>
                <w:szCs w:val="20"/>
                <w:lang w:eastAsia="en-AU"/>
              </w:rPr>
              <w:t xml:space="preserve"> </w:t>
            </w:r>
          </w:p>
        </w:tc>
        <w:tc>
          <w:tcPr>
            <w:tcW w:w="907" w:type="dxa"/>
            <w:tcBorders>
              <w:top w:val="nil"/>
              <w:left w:val="nil"/>
              <w:bottom w:val="single" w:sz="6" w:space="0" w:color="auto"/>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2017</w:t>
            </w:r>
          </w:p>
        </w:tc>
        <w:tc>
          <w:tcPr>
            <w:tcW w:w="907" w:type="dxa"/>
            <w:tcBorders>
              <w:top w:val="nil"/>
              <w:left w:val="nil"/>
              <w:bottom w:val="single" w:sz="6" w:space="0" w:color="auto"/>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2016</w:t>
            </w:r>
          </w:p>
        </w:tc>
        <w:tc>
          <w:tcPr>
            <w:tcW w:w="907" w:type="dxa"/>
            <w:tcBorders>
              <w:top w:val="nil"/>
              <w:left w:val="nil"/>
              <w:bottom w:val="single" w:sz="6" w:space="0" w:color="auto"/>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2017</w:t>
            </w:r>
          </w:p>
        </w:tc>
        <w:tc>
          <w:tcPr>
            <w:tcW w:w="907" w:type="dxa"/>
            <w:tcBorders>
              <w:top w:val="nil"/>
              <w:left w:val="nil"/>
              <w:bottom w:val="single" w:sz="6" w:space="0" w:color="auto"/>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vertAlign w:val="superscript"/>
                <w:lang w:eastAsia="en-AU"/>
              </w:rPr>
            </w:pPr>
            <w:r w:rsidRPr="005A36FE">
              <w:rPr>
                <w:rFonts w:eastAsiaTheme="minorEastAsia" w:cs="Calibri"/>
                <w:color w:val="000000"/>
                <w:szCs w:val="20"/>
                <w:lang w:eastAsia="en-AU"/>
              </w:rPr>
              <w:t xml:space="preserve">Opening balance </w:t>
            </w:r>
            <w:r w:rsidRPr="005A36FE">
              <w:rPr>
                <w:rFonts w:eastAsiaTheme="minorEastAsia" w:cs="Calibri"/>
                <w:color w:val="000000"/>
                <w:szCs w:val="20"/>
                <w:vertAlign w:val="superscript"/>
                <w:lang w:eastAsia="en-AU"/>
              </w:rPr>
              <w:t>(b)</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2 127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2 030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964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847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Acquisitions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 xml:space="preserve">Reclassification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Revaluation</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 xml:space="preserve">Disposals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Assets recognised for the first time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Impairment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vertAlign w:val="superscript"/>
                <w:lang w:eastAsia="en-AU"/>
              </w:rPr>
            </w:pPr>
            <w:r w:rsidRPr="005A36FE">
              <w:rPr>
                <w:rFonts w:eastAsiaTheme="minorEastAsia" w:cs="Calibri"/>
                <w:color w:val="000000"/>
                <w:szCs w:val="20"/>
                <w:lang w:eastAsia="en-AU"/>
              </w:rPr>
              <w:t>Amortisation and depreciation</w:t>
            </w:r>
            <w:r w:rsidRPr="005A36FE">
              <w:rPr>
                <w:rFonts w:eastAsiaTheme="minorEastAsia" w:cs="Calibri"/>
                <w:color w:val="000000"/>
                <w:szCs w:val="20"/>
                <w:vertAlign w:val="superscript"/>
                <w:lang w:eastAsia="en-AU"/>
              </w:rPr>
              <w:t xml:space="preserve"> (c)</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(128)</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BB6F1F" w:rsidRPr="005A36FE" w:rsidRDefault="00BB6F1F" w:rsidP="00AC68FF">
            <w:pPr>
              <w:keepLines w:val="0"/>
              <w:autoSpaceDE w:val="0"/>
              <w:autoSpaceDN w:val="0"/>
              <w:adjustRightInd w:val="0"/>
              <w:rPr>
                <w:rFonts w:eastAsiaTheme="minorEastAsia" w:cs="Calibri"/>
                <w:bCs/>
                <w:color w:val="000000"/>
                <w:szCs w:val="20"/>
                <w:lang w:eastAsia="en-AU"/>
              </w:rPr>
            </w:pPr>
            <w:r w:rsidRPr="005A36FE">
              <w:rPr>
                <w:rFonts w:eastAsiaTheme="minorEastAsia" w:cs="Calibri"/>
                <w:bCs/>
                <w:color w:val="000000"/>
                <w:szCs w:val="20"/>
                <w:lang w:eastAsia="en-AU"/>
              </w:rPr>
              <w:t>Closing balance</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2 219</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2 127</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1 080</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964</w:t>
            </w:r>
          </w:p>
        </w:tc>
      </w:tr>
    </w:tbl>
    <w:p w:rsidR="00BB6F1F" w:rsidRDefault="00BB6F1F" w:rsidP="00AC68FF">
      <w:pPr>
        <w:pStyle w:val="Note"/>
      </w:pPr>
      <w:r>
        <w:t>Notes:</w:t>
      </w:r>
    </w:p>
    <w:p w:rsidR="00BB6F1F" w:rsidRDefault="00BB6F1F" w:rsidP="00AC68FF">
      <w:pPr>
        <w:pStyle w:val="Note"/>
      </w:pPr>
      <w:r>
        <w:t>(a)</w:t>
      </w:r>
      <w:r>
        <w:tab/>
        <w:t>Reconciliation does not include movements in other assets.</w:t>
      </w:r>
    </w:p>
    <w:p w:rsidR="00BB6F1F" w:rsidRDefault="00BB6F1F" w:rsidP="00AC68FF">
      <w:pPr>
        <w:pStyle w:val="Note"/>
      </w:pPr>
      <w:r>
        <w:t>(b)</w:t>
      </w:r>
      <w:r>
        <w:tab/>
      </w:r>
      <w:r w:rsidRPr="00AF5DF9">
        <w:t xml:space="preserve">June 2016 comparative figures have been restated to reflect an adjustment to the Department of Environment, Land, Water and Planning's intangible produced assets due to </w:t>
      </w:r>
      <w:r>
        <w:t>the first-time</w:t>
      </w:r>
      <w:r w:rsidRPr="00AF5DF9">
        <w:t xml:space="preserve"> recognition of Renewable Energy Certificates.  </w:t>
      </w:r>
    </w:p>
    <w:p w:rsidR="00BB6F1F" w:rsidRDefault="00BB6F1F" w:rsidP="00AC68FF">
      <w:pPr>
        <w:pStyle w:val="Note"/>
      </w:pPr>
      <w:r>
        <w:t>(c)</w:t>
      </w:r>
      <w:r>
        <w:tab/>
        <w:t>For produced and non-produced intangible assets.</w:t>
      </w:r>
    </w:p>
    <w:p w:rsidR="00BB6F1F" w:rsidRDefault="00BB6F1F" w:rsidP="00AC68FF"/>
    <w:p w:rsidR="00BB6F1F" w:rsidRDefault="00BB6F1F" w:rsidP="00AC68FF">
      <w:pPr>
        <w:sectPr w:rsidR="00BB6F1F" w:rsidSect="00AC68FF">
          <w:headerReference w:type="even" r:id="rId68"/>
          <w:headerReference w:type="default" r:id="rId69"/>
          <w:footerReference w:type="even" r:id="rId70"/>
          <w:footerReference w:type="default" r:id="rId71"/>
          <w:pgSz w:w="11907" w:h="16839" w:code="9"/>
          <w:pgMar w:top="1134" w:right="1134" w:bottom="1134" w:left="1134" w:header="624" w:footer="567" w:gutter="0"/>
          <w:cols w:sep="1" w:space="567"/>
          <w:docGrid w:linePitch="360"/>
        </w:sectPr>
      </w:pPr>
    </w:p>
    <w:p w:rsidR="00BB6F1F" w:rsidRDefault="00BB6F1F" w:rsidP="00AC68FF">
      <w:r>
        <w:lastRenderedPageBreak/>
        <w:t xml:space="preserve">Purchased </w:t>
      </w:r>
      <w:r w:rsidRPr="00D54F49">
        <w:rPr>
          <w:b/>
        </w:rPr>
        <w:t>intangible assets</w:t>
      </w:r>
      <w:r>
        <w:t xml:space="preserve"> are initially recognised at cost. When the recognition criteria in </w:t>
      </w:r>
      <w:r w:rsidRPr="00D54F49">
        <w:rPr>
          <w:i/>
        </w:rPr>
        <w:t>AASB 138 Intangible Assets</w:t>
      </w:r>
      <w:r>
        <w:t xml:space="preserve"> is met, internally generated intangible assets are recognised at cost. Subsequently, intangible assets with finite useful lives are carried at cost less accumulated amortisation and accumulated impairment losses.</w:t>
      </w:r>
    </w:p>
    <w:p w:rsidR="00BB6F1F" w:rsidRDefault="00BB6F1F" w:rsidP="00AC68FF">
      <w:r w:rsidRPr="00D54F49">
        <w:rPr>
          <w:b/>
        </w:rPr>
        <w:t>Investment properties</w:t>
      </w:r>
      <w:r>
        <w:t xml:space="preserve"> represent properties held to earn rentals or for capital appreciation, or both. Investment properties exclude properties held to meet service delivery objectives of the State. Investment properties are initially recognised at cost. </w:t>
      </w:r>
    </w:p>
    <w:p w:rsidR="00BB6F1F" w:rsidRDefault="00BB6F1F" w:rsidP="00AC68FF">
      <w:r>
        <w:br w:type="column"/>
      </w:r>
      <w:r>
        <w:lastRenderedPageBreak/>
        <w:t>Costs incurred subsequent to initial acquisition are capitalised when it is probable that future economic benefits in excess of the originally assessed performance of the asset will flow to the State. Subsequent to initial recognition at cost, investment properties are revalued to fair value, with changes in the fair value recognised as other economic flows in the comprehensive operating statement in the period that they arise.</w:t>
      </w:r>
    </w:p>
    <w:p w:rsidR="00BB6F1F" w:rsidRDefault="00BB6F1F" w:rsidP="00AC68FF">
      <w:r>
        <w:t>Fair values are determined based on a market comparable approach that reflects recent transaction prices for similar properties.</w:t>
      </w:r>
    </w:p>
    <w:p w:rsidR="00BB6F1F" w:rsidRDefault="00BB6F1F" w:rsidP="00AC68FF">
      <w:r w:rsidRPr="00D54F49">
        <w:rPr>
          <w:b/>
        </w:rPr>
        <w:lastRenderedPageBreak/>
        <w:t>Biological assets</w:t>
      </w:r>
      <w:r>
        <w:t xml:space="preserve"> comprise productive trees in commercial native forests and any living animal (or breeding stock), plant or agricultural produce that is the harvested product of biological assets. These biological assets are measured at fair value less costs to sell and are revalued at 30 June each year. An increase or decrease in the fair value of these biological assets is recognised in the consolidated comprehensive operating statement as an ‘Other economic flow’.</w:t>
      </w:r>
    </w:p>
    <w:p w:rsidR="00BB6F1F" w:rsidRDefault="00BB6F1F" w:rsidP="00AC68FF">
      <w:r w:rsidRPr="00D54F49">
        <w:rPr>
          <w:b/>
        </w:rPr>
        <w:t>Other non-financial assets</w:t>
      </w:r>
      <w:r>
        <w:t xml:space="preserve"> include prepayments which represent payments in advance of receipt of goods or services or that part of expenditure made in one accounting period covering a term extending beyond that period.</w:t>
      </w:r>
    </w:p>
    <w:p w:rsidR="00BB6F1F" w:rsidRDefault="00BB6F1F" w:rsidP="00BB6F1F">
      <w:pPr>
        <w:pStyle w:val="Heading2"/>
        <w:numPr>
          <w:ilvl w:val="1"/>
          <w:numId w:val="24"/>
        </w:numPr>
      </w:pPr>
      <w:bookmarkStart w:id="33" w:name="_Toc492984841"/>
      <w:r>
        <w:t>Investments accounted for using the equity method and other joint operations</w:t>
      </w:r>
      <w:bookmarkEnd w:id="33"/>
    </w:p>
    <w:p w:rsidR="00BB6F1F" w:rsidRDefault="00BB6F1F" w:rsidP="00AC68FF">
      <w:r>
        <w:t xml:space="preserve">Investments are classified as either </w:t>
      </w:r>
      <w:r w:rsidRPr="00D54F49">
        <w:rPr>
          <w:b/>
        </w:rPr>
        <w:t>associates or joint arrangements</w:t>
      </w:r>
      <w:r>
        <w:t xml:space="preserve"> (joint ventures or joint operations). </w:t>
      </w:r>
    </w:p>
    <w:p w:rsidR="00BB6F1F" w:rsidRDefault="00BB6F1F" w:rsidP="00AC68FF">
      <w:r>
        <w:t>The classification depends on the contractual rights and obligations of each investor, rather than the legal structure of the joint arrangement.</w:t>
      </w:r>
    </w:p>
    <w:p w:rsidR="00BB6F1F" w:rsidRDefault="00BB6F1F" w:rsidP="00AC68FF">
      <w:r>
        <w:t xml:space="preserve">Joint arrangements are contractual arrangements between the State (or a subsidiary entity) and one or more other parties to undertake an economic activity that is subject to joint control. </w:t>
      </w:r>
    </w:p>
    <w:p w:rsidR="00BB6F1F" w:rsidRDefault="00BB6F1F" w:rsidP="00AC68FF">
      <w:r>
        <w:t>The investments accounted for using the equity method (associates and joint ventures) and other joint operations are disclosed below.</w:t>
      </w:r>
    </w:p>
    <w:p w:rsidR="00BB6F1F" w:rsidRDefault="00BB6F1F" w:rsidP="00BB6F1F">
      <w:pPr>
        <w:pStyle w:val="Heading3"/>
        <w:numPr>
          <w:ilvl w:val="2"/>
          <w:numId w:val="24"/>
        </w:numPr>
        <w:tabs>
          <w:tab w:val="right" w:pos="14572"/>
        </w:tabs>
        <w:spacing w:before="0"/>
        <w:ind w:left="851"/>
      </w:pPr>
      <w:r>
        <w:br w:type="column"/>
      </w:r>
      <w:r w:rsidRPr="00A11C34">
        <w:lastRenderedPageBreak/>
        <w:t>Investments</w:t>
      </w:r>
      <w:r>
        <w:t xml:space="preserve"> accounted for using the equity method</w:t>
      </w:r>
    </w:p>
    <w:p w:rsidR="00BB6F1F" w:rsidRDefault="00BB6F1F" w:rsidP="00AC68FF">
      <w:r>
        <w:t>Associates and joint ventures are accounted for using the equity method, after initially being recognised at cost in the consolidated balance sheet.</w:t>
      </w:r>
    </w:p>
    <w:p w:rsidR="00BB6F1F" w:rsidRPr="00D330A2" w:rsidRDefault="00BB6F1F" w:rsidP="00AC68FF">
      <w:pPr>
        <w:pStyle w:val="Heading4"/>
      </w:pPr>
      <w:r w:rsidRPr="00D330A2">
        <w:t>Associates</w:t>
      </w:r>
    </w:p>
    <w:p w:rsidR="00BB6F1F" w:rsidRDefault="00BB6F1F" w:rsidP="00AC68FF">
      <w:r>
        <w:t xml:space="preserve">Associates are those entities over which the State exercises significant influence, but not control. </w:t>
      </w:r>
    </w:p>
    <w:p w:rsidR="00BB6F1F" w:rsidRDefault="00BB6F1F" w:rsidP="00AC68FF">
      <w:r>
        <w:t>Investments in associates are accounted for in the consolidated financial statements using the equity method. Under this method, the State’s share of the post-acquisition profits or losses of associates is recognised in the net result as other economic flows. The share of post-acquisition movements in revaluation surpluses and any other reserves is recognised in both the comprehensive operating statement and the statement of changes in equity. The cumulative post acquisition movements are adjusted against the cost of the investment.</w:t>
      </w:r>
    </w:p>
    <w:p w:rsidR="00BB6F1F" w:rsidRPr="003D56A9" w:rsidRDefault="00BB6F1F" w:rsidP="00AC68FF">
      <w:pPr>
        <w:pStyle w:val="Heading4"/>
      </w:pPr>
      <w:r w:rsidRPr="003D56A9">
        <w:t>Joint ventures</w:t>
      </w:r>
    </w:p>
    <w:p w:rsidR="00BB6F1F" w:rsidRDefault="00BB6F1F" w:rsidP="00AC68FF">
      <w:r>
        <w:t>Joint ventures are joint arrangements whereby the State or a subsidiary entity and one or more other parties that have joint control of the arrangements have rights to the net assets of the arrangements. Joint control only exists when decisions about the relevant activity require the unanimous consent of the parties sharing control (the venturers).</w:t>
      </w:r>
    </w:p>
    <w:p w:rsidR="00BB6F1F" w:rsidRDefault="00BB6F1F" w:rsidP="00BB6F1F">
      <w:pPr>
        <w:pStyle w:val="Heading3"/>
        <w:numPr>
          <w:ilvl w:val="2"/>
          <w:numId w:val="24"/>
        </w:numPr>
        <w:pBdr>
          <w:bottom w:val="single" w:sz="6" w:space="1" w:color="auto"/>
        </w:pBdr>
        <w:tabs>
          <w:tab w:val="right" w:pos="14572"/>
        </w:tabs>
        <w:ind w:left="851"/>
        <w:sectPr w:rsidR="00BB6F1F" w:rsidSect="00AC68FF">
          <w:headerReference w:type="even" r:id="rId72"/>
          <w:type w:val="continuous"/>
          <w:pgSz w:w="11907" w:h="16839" w:code="9"/>
          <w:pgMar w:top="1134" w:right="1134" w:bottom="1134" w:left="1134" w:header="624" w:footer="567" w:gutter="0"/>
          <w:cols w:num="2" w:space="567"/>
          <w:docGrid w:linePitch="360"/>
        </w:sectPr>
      </w:pPr>
    </w:p>
    <w:p w:rsidR="00BB6F1F" w:rsidRDefault="00BB6F1F" w:rsidP="00AC68FF"/>
    <w:p w:rsidR="00BB6F1F" w:rsidRPr="00CF2DC1" w:rsidRDefault="00BB6F1F" w:rsidP="00BB6F1F">
      <w:pPr>
        <w:pStyle w:val="Heading3"/>
        <w:numPr>
          <w:ilvl w:val="2"/>
          <w:numId w:val="24"/>
        </w:numPr>
        <w:tabs>
          <w:tab w:val="right" w:pos="14572"/>
        </w:tabs>
        <w:ind w:left="851"/>
      </w:pPr>
      <w:r w:rsidRPr="00CF2DC1">
        <w:t>Investments accounted for using the equity method</w:t>
      </w:r>
    </w:p>
    <w:p w:rsidR="00BB6F1F" w:rsidRPr="005A36FE" w:rsidRDefault="00BB6F1F" w:rsidP="00AC68FF">
      <w:pPr>
        <w:pStyle w:val="TableUnits"/>
        <w:rPr>
          <w:bCs/>
          <w:lang w:val="en-US"/>
        </w:rPr>
      </w:pPr>
      <w:r>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single" w:sz="6" w:space="0" w:color="auto"/>
              <w:right w:val="nil"/>
            </w:tcBorders>
            <w:shd w:val="solid" w:color="000000" w:fill="auto"/>
          </w:tcPr>
          <w:p w:rsidR="00BB6F1F" w:rsidRPr="005A36FE" w:rsidRDefault="00BB6F1F" w:rsidP="00AC68FF">
            <w:pPr>
              <w:autoSpaceDE w:val="0"/>
              <w:autoSpaceDN w:val="0"/>
              <w:adjustRightInd w:val="0"/>
              <w:rPr>
                <w:rFonts w:eastAsiaTheme="minorEastAsia" w:cs="Calibri"/>
                <w:b/>
                <w:bCs/>
                <w:color w:val="FFFFFF"/>
                <w:lang w:eastAsia="en-AU"/>
              </w:rPr>
            </w:pPr>
            <w:r w:rsidRPr="005A36FE">
              <w:rPr>
                <w:rFonts w:eastAsiaTheme="minorEastAsia" w:cs="Calibri"/>
                <w:b/>
                <w:bCs/>
                <w:color w:val="FFFFFF"/>
                <w:lang w:eastAsia="en-AU"/>
              </w:rPr>
              <w:t xml:space="preserve"> </w:t>
            </w:r>
          </w:p>
        </w:tc>
        <w:tc>
          <w:tcPr>
            <w:tcW w:w="907" w:type="dxa"/>
            <w:tcBorders>
              <w:top w:val="nil"/>
              <w:left w:val="nil"/>
              <w:bottom w:val="single" w:sz="6" w:space="0" w:color="auto"/>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2017</w:t>
            </w:r>
          </w:p>
        </w:tc>
        <w:tc>
          <w:tcPr>
            <w:tcW w:w="907" w:type="dxa"/>
            <w:tcBorders>
              <w:top w:val="nil"/>
              <w:left w:val="nil"/>
              <w:bottom w:val="single" w:sz="6" w:space="0" w:color="auto"/>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The Australian Regenerative Medicine Institute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Property Exchange Australia Limited</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lang w:eastAsia="en-AU"/>
              </w:rPr>
            </w:pPr>
            <w:r w:rsidRPr="005A36FE">
              <w:rPr>
                <w:rFonts w:eastAsiaTheme="minorEastAsia" w:cs="Calibri"/>
                <w:b/>
                <w:bCs/>
                <w:color w:val="000000"/>
                <w:lang w:eastAsia="en-AU"/>
              </w:rPr>
              <w:t>Total general government sector</w:t>
            </w:r>
          </w:p>
        </w:tc>
        <w:tc>
          <w:tcPr>
            <w:tcW w:w="907" w:type="dxa"/>
            <w:tcBorders>
              <w:top w:val="single" w:sz="6" w:space="0" w:color="auto"/>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47</w:t>
            </w:r>
          </w:p>
        </w:tc>
        <w:tc>
          <w:tcPr>
            <w:tcW w:w="907" w:type="dxa"/>
            <w:tcBorders>
              <w:top w:val="single" w:sz="6" w:space="0" w:color="auto"/>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46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Snowy Hydro Limited</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2 139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1 872</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rsidR="00BB6F1F" w:rsidRPr="005A36FE" w:rsidRDefault="00BB6F1F" w:rsidP="00AC68FF">
            <w:pPr>
              <w:keepLines w:val="0"/>
              <w:autoSpaceDE w:val="0"/>
              <w:autoSpaceDN w:val="0"/>
              <w:adjustRightInd w:val="0"/>
              <w:rPr>
                <w:rFonts w:eastAsiaTheme="minorEastAsia" w:cs="Calibri"/>
                <w:bCs/>
                <w:color w:val="000000"/>
                <w:lang w:eastAsia="en-AU"/>
              </w:rPr>
            </w:pPr>
            <w:r w:rsidRPr="005A36FE">
              <w:rPr>
                <w:rFonts w:eastAsiaTheme="minorEastAsia" w:cs="Calibri"/>
                <w:bCs/>
                <w:color w:val="000000"/>
                <w:lang w:eastAsia="en-AU"/>
              </w:rPr>
              <w:t xml:space="preserve">Total investments </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2 187</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1 918</w:t>
            </w:r>
          </w:p>
        </w:tc>
      </w:tr>
    </w:tbl>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Default="00BB6F1F">
      <w:pPr>
        <w:keepLines w:val="0"/>
      </w:pPr>
      <w:r>
        <w:lastRenderedPageBreak/>
        <w:br w:type="page"/>
      </w:r>
    </w:p>
    <w:p w:rsidR="00BB6F1F" w:rsidRPr="003D56A9" w:rsidRDefault="00BB6F1F" w:rsidP="00AC68FF">
      <w:r w:rsidRPr="003D56A9">
        <w:lastRenderedPageBreak/>
        <w:t xml:space="preserve">The table below discloses further information on </w:t>
      </w:r>
      <w:r>
        <w:t xml:space="preserve">the </w:t>
      </w:r>
      <w:r w:rsidRPr="003D56A9">
        <w:t>material investment in Snowy Hydro Limited.</w:t>
      </w:r>
    </w:p>
    <w:p w:rsidR="00BB6F1F" w:rsidRDefault="00BB6F1F" w:rsidP="00AC68FF">
      <w:pPr>
        <w:pStyle w:val="TableHeading"/>
        <w:sectPr w:rsidR="00BB6F1F" w:rsidSect="00AC68FF">
          <w:type w:val="continuous"/>
          <w:pgSz w:w="11907" w:h="16839" w:code="9"/>
          <w:pgMar w:top="1134" w:right="1134" w:bottom="1134" w:left="1134" w:header="624" w:footer="567" w:gutter="0"/>
          <w:cols w:sep="1" w:space="567"/>
          <w:docGrid w:linePitch="360"/>
        </w:sectPr>
      </w:pPr>
    </w:p>
    <w:p w:rsidR="00BB6F1F" w:rsidRPr="005A36FE" w:rsidRDefault="00BB6F1F" w:rsidP="00AC68FF">
      <w:pPr>
        <w:pStyle w:val="TableHeading"/>
        <w:rPr>
          <w:bCs/>
          <w:lang w:val="en-US"/>
        </w:rPr>
      </w:pPr>
      <w:r w:rsidRPr="000744CF">
        <w:lastRenderedPageBreak/>
        <w:t>Movement in carrying amounts for investments accounted for using the equity method</w:t>
      </w:r>
      <w:r>
        <w:tab/>
      </w:r>
      <w:r w:rsidRPr="000744CF">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color w:val="FFFFFF"/>
                <w:lang w:eastAsia="en-AU"/>
              </w:rPr>
            </w:pPr>
            <w:r w:rsidRPr="005A36FE">
              <w:rPr>
                <w:rFonts w:eastAsiaTheme="minorEastAsia" w:cs="Calibri"/>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 xml:space="preserve">Snowy Hydro Limited </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single" w:sz="6" w:space="0" w:color="auto"/>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single" w:sz="6" w:space="0" w:color="auto"/>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2017</w:t>
            </w:r>
          </w:p>
        </w:tc>
        <w:tc>
          <w:tcPr>
            <w:tcW w:w="907" w:type="dxa"/>
            <w:tcBorders>
              <w:top w:val="nil"/>
              <w:left w:val="nil"/>
              <w:bottom w:val="single" w:sz="6" w:space="0" w:color="auto"/>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lang w:eastAsia="en-AU"/>
              </w:rPr>
            </w:pPr>
            <w:r w:rsidRPr="005A36FE">
              <w:rPr>
                <w:rFonts w:eastAsiaTheme="minorEastAsia" w:cs="Calibri"/>
                <w:b/>
                <w:bCs/>
                <w:color w:val="000000"/>
                <w:lang w:eastAsia="en-AU"/>
              </w:rPr>
              <w:t>Opening balance</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5A36FE">
              <w:rPr>
                <w:rFonts w:eastAsiaTheme="minorEastAsia" w:cs="Calibri"/>
                <w:b/>
                <w:bCs/>
                <w:color w:val="000000"/>
                <w:lang w:eastAsia="en-AU"/>
              </w:rPr>
              <w:t>1 872</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5A36FE">
              <w:rPr>
                <w:rFonts w:eastAsiaTheme="minorEastAsia" w:cs="Calibri"/>
                <w:b/>
                <w:bCs/>
                <w:color w:val="000000"/>
                <w:lang w:eastAsia="en-AU"/>
              </w:rPr>
              <w:t>1 976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 xml:space="preserve">   Share of profit/(loss) after income tax</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49</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 xml:space="preserve">   Dividends received/receivable</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(66)</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 xml:space="preserve">   Share of increment on revaluation of property, plant and equipment</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285</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rsidR="00BB6F1F" w:rsidRPr="005A36FE" w:rsidRDefault="00BB6F1F" w:rsidP="00AC68FF">
            <w:pPr>
              <w:keepLines w:val="0"/>
              <w:autoSpaceDE w:val="0"/>
              <w:autoSpaceDN w:val="0"/>
              <w:adjustRightInd w:val="0"/>
              <w:rPr>
                <w:rFonts w:eastAsiaTheme="minorEastAsia" w:cs="Calibri"/>
                <w:bCs/>
                <w:color w:val="000000"/>
                <w:lang w:eastAsia="en-AU"/>
              </w:rPr>
            </w:pPr>
            <w:r w:rsidRPr="005A36FE">
              <w:rPr>
                <w:rFonts w:eastAsiaTheme="minorEastAsia" w:cs="Calibri"/>
                <w:bCs/>
                <w:color w:val="000000"/>
                <w:lang w:eastAsia="en-AU"/>
              </w:rPr>
              <w:t>Closing balance</w:t>
            </w:r>
          </w:p>
        </w:tc>
        <w:tc>
          <w:tcPr>
            <w:tcW w:w="907" w:type="dxa"/>
            <w:tcBorders>
              <w:top w:val="single" w:sz="6" w:space="0" w:color="auto"/>
              <w:bottom w:val="single" w:sz="12" w:space="0" w:color="auto"/>
            </w:tcBorders>
            <w:shd w:val="solid" w:color="FFFFFF" w:fill="auto"/>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2 139</w:t>
            </w:r>
          </w:p>
        </w:tc>
        <w:tc>
          <w:tcPr>
            <w:tcW w:w="907" w:type="dxa"/>
            <w:tcBorders>
              <w:top w:val="single" w:sz="6" w:space="0" w:color="auto"/>
              <w:bottom w:val="single" w:sz="12" w:space="0" w:color="auto"/>
            </w:tcBorders>
            <w:shd w:val="solid" w:color="FFFFFF" w:fill="auto"/>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1 872</w:t>
            </w:r>
          </w:p>
        </w:tc>
      </w:tr>
    </w:tbl>
    <w:p w:rsidR="00BB6F1F" w:rsidRPr="00CE5C1C" w:rsidRDefault="00BB6F1F" w:rsidP="00AC68FF">
      <w:pPr>
        <w:sectPr w:rsidR="00BB6F1F" w:rsidRPr="00CE5C1C" w:rsidSect="00AC68FF">
          <w:type w:val="continuous"/>
          <w:pgSz w:w="11907" w:h="16839" w:code="9"/>
          <w:pgMar w:top="1134" w:right="1134" w:bottom="1134" w:left="1134" w:header="624" w:footer="567" w:gutter="0"/>
          <w:cols w:sep="1" w:space="567"/>
          <w:docGrid w:linePitch="360"/>
        </w:sectPr>
      </w:pPr>
    </w:p>
    <w:p w:rsidR="00BB6F1F" w:rsidRDefault="00BB6F1F" w:rsidP="00AC68FF">
      <w:pPr>
        <w:pStyle w:val="Note"/>
      </w:pPr>
    </w:p>
    <w:p w:rsidR="00BB6F1F" w:rsidRPr="00BF7CB1" w:rsidRDefault="00BB6F1F" w:rsidP="00AC68FF">
      <w:pPr>
        <w:pStyle w:val="Heading4"/>
      </w:pPr>
      <w:r w:rsidRPr="00BF7CB1">
        <w:t xml:space="preserve">The Australian </w:t>
      </w:r>
      <w:r w:rsidRPr="00D330A2">
        <w:t>Regenerative</w:t>
      </w:r>
      <w:r w:rsidRPr="00BF7CB1">
        <w:t xml:space="preserve"> Medicine Institute</w:t>
      </w:r>
    </w:p>
    <w:p w:rsidR="00BB6F1F" w:rsidRDefault="00BB6F1F" w:rsidP="00AC68FF">
      <w:r>
        <w:t>The Department of Health and Human Services has a joint venture interest with Monash University in the Australian Regenerative Medicine Institute (ARMI). ARMI was established to construct and operate a facility, which will promote Victoria as a global leader in regenerative medical research, foster and develop existing research collaboration on both domestic and overseas projects, and provide a major site for both undergraduate and post-graduate training programs.</w:t>
      </w:r>
    </w:p>
    <w:p w:rsidR="00BB6F1F" w:rsidRPr="0003431C" w:rsidRDefault="00BB6F1F" w:rsidP="0003431C">
      <w:pPr>
        <w:ind w:right="-284"/>
      </w:pPr>
      <w:r w:rsidRPr="0003431C">
        <w:t>The Victorian Government’s ownership interest of ARMI at 30 June 2017 was 20.0 per cent (20.0 per cent in 2016).</w:t>
      </w:r>
    </w:p>
    <w:p w:rsidR="00BB6F1F" w:rsidRPr="00BF7CB1" w:rsidRDefault="00BB6F1F" w:rsidP="00AC68FF">
      <w:pPr>
        <w:pStyle w:val="Heading4"/>
      </w:pPr>
      <w:r w:rsidRPr="00BF7CB1">
        <w:t xml:space="preserve">Property Exchange </w:t>
      </w:r>
      <w:r w:rsidRPr="00D330A2">
        <w:t>Australia</w:t>
      </w:r>
      <w:r w:rsidRPr="00BF7CB1">
        <w:t xml:space="preserve"> Limited</w:t>
      </w:r>
    </w:p>
    <w:p w:rsidR="00BB6F1F" w:rsidRDefault="00BB6F1F" w:rsidP="00AC68FF">
      <w:r>
        <w:t>The Department of Treasury and Finance has an investment in an associate entity, Property Exchange Australia Limited (PEXA). PEXA was established in January 2010 to develop a single national electronic conveyancing system for settling property transactions.</w:t>
      </w:r>
    </w:p>
    <w:p w:rsidR="00BB6F1F" w:rsidRDefault="00BB6F1F" w:rsidP="00AC68FF">
      <w:r>
        <w:t>The Victorian Government’s ownership interest of PEXA at 30 June 2017 was 7.7 per cent (9.0 per cent in 2016).</w:t>
      </w:r>
    </w:p>
    <w:p w:rsidR="00BB6F1F" w:rsidRDefault="00BB6F1F" w:rsidP="00AC68FF">
      <w:pPr>
        <w:pStyle w:val="Note"/>
      </w:pPr>
      <w:r>
        <w:br w:type="column"/>
      </w:r>
    </w:p>
    <w:p w:rsidR="00BB6F1F" w:rsidRPr="00BF7CB1" w:rsidRDefault="00BB6F1F" w:rsidP="00AC68FF">
      <w:pPr>
        <w:pStyle w:val="Heading4"/>
      </w:pPr>
      <w:r w:rsidRPr="00BF7CB1">
        <w:t>Snowy Hydro Limited</w:t>
      </w:r>
    </w:p>
    <w:p w:rsidR="00BB6F1F" w:rsidRDefault="00BB6F1F" w:rsidP="00AC68FF">
      <w:r>
        <w:t>Snowy Hydro Limited is a company jointly owned by the Commonwealth (13 per cent), New South Wales (58 per cent) and Victoria (29 per cent), which owns and operates the Snowy Mountains Hydro Electric Scheme as an independent electricity generator in the National Electricity Market.</w:t>
      </w:r>
    </w:p>
    <w:p w:rsidR="00BB6F1F" w:rsidRDefault="00BB6F1F" w:rsidP="00AC68FF">
      <w:r>
        <w:t>The Victorian Government’s ownership interest of Snowy Hydro Limited, which is held by the State Electricity Corporation of Victoria, was 29.0 per cent at 30 June 2017 (29.0 per cent in 2016). A summary of the State’s share of commitments is shown below.</w:t>
      </w:r>
    </w:p>
    <w:p w:rsidR="00BB6F1F" w:rsidRDefault="00BB6F1F" w:rsidP="00AC68FF">
      <w:pPr>
        <w:pStyle w:val="TableHeading"/>
      </w:pPr>
      <w:r>
        <w:t>Share of commitments in Snowy Hydro Limited</w:t>
      </w:r>
    </w:p>
    <w:p w:rsidR="00BB6F1F" w:rsidRPr="005A36FE" w:rsidRDefault="00BB6F1F" w:rsidP="00AC68FF">
      <w:pPr>
        <w:pStyle w:val="TableUnits"/>
        <w:rPr>
          <w:bCs/>
          <w:lang w:val="en-US"/>
        </w:rPr>
      </w:pPr>
      <w:r>
        <w:t>($ million)</w:t>
      </w:r>
    </w:p>
    <w:tbl>
      <w:tblPr>
        <w:tblStyle w:val="DTFTable"/>
        <w:tblW w:w="4535" w:type="dxa"/>
        <w:tblInd w:w="45" w:type="dxa"/>
        <w:tblLayout w:type="fixed"/>
        <w:tblCellMar>
          <w:left w:w="45" w:type="dxa"/>
          <w:right w:w="45" w:type="dxa"/>
        </w:tblCellMar>
        <w:tblLook w:val="06E0" w:firstRow="1" w:lastRow="1" w:firstColumn="1" w:lastColumn="0" w:noHBand="1" w:noVBand="1"/>
      </w:tblPr>
      <w:tblGrid>
        <w:gridCol w:w="2721"/>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single" w:sz="6" w:space="0" w:color="auto"/>
              <w:right w:val="nil"/>
            </w:tcBorders>
            <w:shd w:val="solid" w:color="000000" w:fill="auto"/>
          </w:tcPr>
          <w:p w:rsidR="00BB6F1F" w:rsidRPr="005A36FE" w:rsidRDefault="00BB6F1F" w:rsidP="00AC68FF">
            <w:pPr>
              <w:autoSpaceDE w:val="0"/>
              <w:autoSpaceDN w:val="0"/>
              <w:adjustRightInd w:val="0"/>
              <w:rPr>
                <w:rFonts w:eastAsiaTheme="minorEastAsia" w:cs="Calibri"/>
                <w:color w:val="FFFFFF"/>
                <w:lang w:eastAsia="en-AU"/>
              </w:rPr>
            </w:pPr>
            <w:r w:rsidRPr="005A36FE">
              <w:rPr>
                <w:rFonts w:eastAsiaTheme="minorEastAsia" w:cs="Calibri"/>
                <w:color w:val="FFFFFF"/>
                <w:lang w:eastAsia="en-AU"/>
              </w:rPr>
              <w:t>Commitments</w:t>
            </w:r>
          </w:p>
        </w:tc>
        <w:tc>
          <w:tcPr>
            <w:tcW w:w="907" w:type="dxa"/>
            <w:tcBorders>
              <w:top w:val="nil"/>
              <w:left w:val="nil"/>
              <w:bottom w:val="single" w:sz="6" w:space="0" w:color="auto"/>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2017</w:t>
            </w:r>
          </w:p>
        </w:tc>
        <w:tc>
          <w:tcPr>
            <w:tcW w:w="907" w:type="dxa"/>
            <w:tcBorders>
              <w:top w:val="nil"/>
              <w:left w:val="nil"/>
              <w:bottom w:val="single" w:sz="6" w:space="0" w:color="auto"/>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Capital expenditure commitments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Operating lease commitments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Other commitments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Borders>
              <w:top w:val="single" w:sz="6" w:space="0" w:color="auto"/>
              <w:bottom w:val="single" w:sz="12" w:space="0" w:color="auto"/>
            </w:tcBorders>
          </w:tcPr>
          <w:p w:rsidR="00BB6F1F" w:rsidRPr="005A36FE" w:rsidRDefault="00BB6F1F" w:rsidP="00AC68FF">
            <w:pPr>
              <w:keepLines w:val="0"/>
              <w:autoSpaceDE w:val="0"/>
              <w:autoSpaceDN w:val="0"/>
              <w:adjustRightInd w:val="0"/>
              <w:rPr>
                <w:rFonts w:eastAsiaTheme="minorEastAsia" w:cs="Calibri"/>
                <w:bCs/>
                <w:color w:val="000000"/>
                <w:lang w:eastAsia="en-AU"/>
              </w:rPr>
            </w:pPr>
            <w:r w:rsidRPr="005A36FE">
              <w:rPr>
                <w:rFonts w:eastAsiaTheme="minorEastAsia" w:cs="Calibri"/>
                <w:bCs/>
                <w:color w:val="000000"/>
                <w:lang w:eastAsia="en-AU"/>
              </w:rPr>
              <w:t>Total commitments</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77</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90</w:t>
            </w:r>
          </w:p>
        </w:tc>
      </w:tr>
    </w:tbl>
    <w:p w:rsidR="00BB6F1F" w:rsidRDefault="00BB6F1F" w:rsidP="00AC68FF"/>
    <w:p w:rsidR="00BB6F1F" w:rsidRDefault="00BB6F1F" w:rsidP="00AC68FF"/>
    <w:p w:rsidR="00BB6F1F" w:rsidRDefault="00BB6F1F" w:rsidP="00AC68FF"/>
    <w:p w:rsidR="00BB6F1F" w:rsidRDefault="00BB6F1F" w:rsidP="00AC68FF"/>
    <w:p w:rsidR="00BB6F1F" w:rsidRDefault="00BB6F1F" w:rsidP="00AC68FF">
      <w:pPr>
        <w:sectPr w:rsidR="00BB6F1F" w:rsidSect="00AC68FF">
          <w:type w:val="continuous"/>
          <w:pgSz w:w="11907" w:h="16839" w:code="9"/>
          <w:pgMar w:top="1134" w:right="1134" w:bottom="1134" w:left="1134" w:header="624" w:footer="567" w:gutter="0"/>
          <w:cols w:num="2" w:space="567"/>
          <w:docGrid w:linePitch="360"/>
        </w:sectPr>
      </w:pPr>
    </w:p>
    <w:p w:rsidR="00BB6F1F" w:rsidRDefault="00BB6F1F">
      <w:pPr>
        <w:keepLines w:val="0"/>
        <w:rPr>
          <w:rFonts w:asciiTheme="majorHAnsi" w:hAnsiTheme="majorHAnsi"/>
          <w:b/>
          <w:sz w:val="20"/>
          <w:szCs w:val="20"/>
        </w:rPr>
      </w:pPr>
      <w:r>
        <w:lastRenderedPageBreak/>
        <w:br w:type="page"/>
      </w:r>
    </w:p>
    <w:p w:rsidR="00BB6F1F" w:rsidRPr="005A36FE" w:rsidRDefault="00BB6F1F" w:rsidP="00AC68FF">
      <w:pPr>
        <w:pStyle w:val="TableHeading"/>
        <w:rPr>
          <w:bCs/>
          <w:lang w:val="en-US"/>
        </w:rPr>
      </w:pPr>
      <w:r w:rsidRPr="000744CF">
        <w:lastRenderedPageBreak/>
        <w:t>Summarised information for investments accounted for using the equity method</w:t>
      </w:r>
      <w:r w:rsidRPr="000744CF">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color w:val="FFFFFF"/>
                <w:lang w:eastAsia="en-AU"/>
              </w:rPr>
            </w:pPr>
            <w:r w:rsidRPr="005A36FE">
              <w:rPr>
                <w:rFonts w:eastAsiaTheme="minorEastAsia" w:cs="Calibri"/>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 xml:space="preserve">Snowy Hydro Limited </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single" w:sz="6" w:space="0" w:color="auto"/>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Summarised balance sheet as at 30 June</w:t>
            </w:r>
          </w:p>
        </w:tc>
        <w:tc>
          <w:tcPr>
            <w:tcW w:w="907" w:type="dxa"/>
            <w:tcBorders>
              <w:top w:val="nil"/>
              <w:left w:val="nil"/>
              <w:bottom w:val="single" w:sz="6" w:space="0" w:color="auto"/>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2017</w:t>
            </w:r>
          </w:p>
        </w:tc>
        <w:tc>
          <w:tcPr>
            <w:tcW w:w="907" w:type="dxa"/>
            <w:tcBorders>
              <w:top w:val="nil"/>
              <w:left w:val="nil"/>
              <w:bottom w:val="single" w:sz="6" w:space="0" w:color="auto"/>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lang w:eastAsia="en-AU"/>
              </w:rPr>
            </w:pPr>
            <w:r w:rsidRPr="005A36FE">
              <w:rPr>
                <w:rFonts w:eastAsiaTheme="minorEastAsia" w:cs="Calibri"/>
                <w:b/>
                <w:bCs/>
                <w:color w:val="000000"/>
                <w:lang w:eastAsia="en-AU"/>
              </w:rPr>
              <w:t>Current assets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 xml:space="preserve">   Cash and cash equivalent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 xml:space="preserve">   Other current assets (excluding cash)</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232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lang w:eastAsia="en-AU"/>
              </w:rPr>
            </w:pPr>
            <w:r w:rsidRPr="005A36FE">
              <w:rPr>
                <w:rFonts w:eastAsiaTheme="minorEastAsia" w:cs="Calibri"/>
                <w:b/>
                <w:bCs/>
                <w:color w:val="000000"/>
                <w:lang w:eastAsia="en-AU"/>
              </w:rPr>
              <w:t>Total current assets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242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lang w:eastAsia="en-AU"/>
              </w:rPr>
            </w:pPr>
            <w:r w:rsidRPr="005A36FE">
              <w:rPr>
                <w:rFonts w:eastAsiaTheme="minorEastAsia" w:cs="Calibri"/>
                <w:b/>
                <w:bCs/>
                <w:color w:val="000000"/>
                <w:lang w:eastAsia="en-AU"/>
              </w:rPr>
              <w:t>Non-current assets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2 260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2 078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left w:val="nil"/>
              <w:bottom w:val="single" w:sz="6" w:space="0" w:color="auto"/>
              <w:right w:val="nil"/>
            </w:tcBorders>
          </w:tcPr>
          <w:p w:rsidR="00BB6F1F" w:rsidRPr="005A36FE" w:rsidRDefault="00BB6F1F" w:rsidP="00AC68FF">
            <w:pPr>
              <w:keepLines w:val="0"/>
              <w:autoSpaceDE w:val="0"/>
              <w:autoSpaceDN w:val="0"/>
              <w:adjustRightInd w:val="0"/>
              <w:rPr>
                <w:rFonts w:eastAsiaTheme="minorEastAsia" w:cs="Calibri"/>
                <w:b/>
                <w:bCs/>
                <w:color w:val="000000"/>
                <w:lang w:eastAsia="en-AU"/>
              </w:rPr>
            </w:pPr>
            <w:r w:rsidRPr="005A36FE">
              <w:rPr>
                <w:rFonts w:eastAsiaTheme="minorEastAsia" w:cs="Calibri"/>
                <w:b/>
                <w:bCs/>
                <w:color w:val="000000"/>
                <w:lang w:eastAsia="en-AU"/>
              </w:rPr>
              <w:t>Total assets</w:t>
            </w:r>
          </w:p>
        </w:tc>
        <w:tc>
          <w:tcPr>
            <w:tcW w:w="907" w:type="dxa"/>
            <w:tcBorders>
              <w:top w:val="single" w:sz="6" w:space="0" w:color="auto"/>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5A36FE">
              <w:rPr>
                <w:rFonts w:eastAsiaTheme="minorEastAsia" w:cs="Calibri"/>
                <w:b/>
                <w:bCs/>
                <w:color w:val="000000"/>
                <w:lang w:eastAsia="en-AU"/>
              </w:rPr>
              <w:t>2 501</w:t>
            </w:r>
          </w:p>
        </w:tc>
        <w:tc>
          <w:tcPr>
            <w:tcW w:w="907" w:type="dxa"/>
            <w:tcBorders>
              <w:top w:val="single" w:sz="6" w:space="0" w:color="auto"/>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5A36FE">
              <w:rPr>
                <w:rFonts w:eastAsiaTheme="minorEastAsia" w:cs="Calibri"/>
                <w:b/>
                <w:bCs/>
                <w:color w:val="000000"/>
                <w:lang w:eastAsia="en-AU"/>
              </w:rPr>
              <w:t>2 334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lang w:eastAsia="en-AU"/>
              </w:rPr>
            </w:pPr>
            <w:r w:rsidRPr="005A36FE">
              <w:rPr>
                <w:rFonts w:eastAsiaTheme="minorEastAsia" w:cs="Calibri"/>
                <w:b/>
                <w:bCs/>
                <w:color w:val="000000"/>
                <w:lang w:eastAsia="en-AU"/>
              </w:rPr>
              <w:t>Current liabilities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 xml:space="preserve">   Financial liabilities (excluding payables, provisions)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135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161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 xml:space="preserve">   Other non-financial liabilities (including payables, provisions)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lang w:eastAsia="en-AU"/>
              </w:rPr>
            </w:pPr>
            <w:r w:rsidRPr="005A36FE">
              <w:rPr>
                <w:rFonts w:eastAsiaTheme="minorEastAsia" w:cs="Calibri"/>
                <w:b/>
                <w:bCs/>
                <w:color w:val="000000"/>
                <w:lang w:eastAsia="en-AU"/>
              </w:rPr>
              <w:t>Total current liabilities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167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161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lang w:eastAsia="en-AU"/>
              </w:rPr>
            </w:pPr>
            <w:r w:rsidRPr="005A36FE">
              <w:rPr>
                <w:rFonts w:eastAsiaTheme="minorEastAsia" w:cs="Calibri"/>
                <w:b/>
                <w:bCs/>
                <w:color w:val="000000"/>
                <w:lang w:eastAsia="en-AU"/>
              </w:rPr>
              <w:t>Non-current liabilities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 xml:space="preserve">   Financial liabilities (excluding payables, provisions)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178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 xml:space="preserve">   Other non-financial liabilities (including payables, provisions)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293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lang w:eastAsia="en-AU"/>
              </w:rPr>
            </w:pPr>
            <w:r w:rsidRPr="005A36FE">
              <w:rPr>
                <w:rFonts w:eastAsiaTheme="minorEastAsia" w:cs="Calibri"/>
                <w:b/>
                <w:bCs/>
                <w:color w:val="000000"/>
                <w:lang w:eastAsia="en-AU"/>
              </w:rPr>
              <w:t>Total non-current liabilities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194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301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left w:val="nil"/>
              <w:bottom w:val="single" w:sz="6" w:space="0" w:color="auto"/>
              <w:right w:val="nil"/>
            </w:tcBorders>
          </w:tcPr>
          <w:p w:rsidR="00BB6F1F" w:rsidRPr="005A36FE" w:rsidRDefault="00BB6F1F" w:rsidP="00AC68FF">
            <w:pPr>
              <w:keepLines w:val="0"/>
              <w:autoSpaceDE w:val="0"/>
              <w:autoSpaceDN w:val="0"/>
              <w:adjustRightInd w:val="0"/>
              <w:rPr>
                <w:rFonts w:eastAsiaTheme="minorEastAsia" w:cs="Calibri"/>
                <w:b/>
                <w:bCs/>
                <w:color w:val="000000"/>
                <w:lang w:eastAsia="en-AU"/>
              </w:rPr>
            </w:pPr>
            <w:r w:rsidRPr="005A36FE">
              <w:rPr>
                <w:rFonts w:eastAsiaTheme="minorEastAsia" w:cs="Calibri"/>
                <w:b/>
                <w:bCs/>
                <w:color w:val="000000"/>
                <w:lang w:eastAsia="en-AU"/>
              </w:rPr>
              <w:t>Total liabilities</w:t>
            </w:r>
          </w:p>
        </w:tc>
        <w:tc>
          <w:tcPr>
            <w:tcW w:w="907" w:type="dxa"/>
            <w:tcBorders>
              <w:top w:val="single" w:sz="6" w:space="0" w:color="auto"/>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362</w:t>
            </w:r>
          </w:p>
        </w:tc>
        <w:tc>
          <w:tcPr>
            <w:tcW w:w="907" w:type="dxa"/>
            <w:tcBorders>
              <w:top w:val="single" w:sz="6" w:space="0" w:color="auto"/>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462</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rsidR="00BB6F1F" w:rsidRPr="005A36FE" w:rsidRDefault="00BB6F1F" w:rsidP="00AC68FF">
            <w:pPr>
              <w:keepLines w:val="0"/>
              <w:autoSpaceDE w:val="0"/>
              <w:autoSpaceDN w:val="0"/>
              <w:adjustRightInd w:val="0"/>
              <w:rPr>
                <w:rFonts w:eastAsiaTheme="minorEastAsia" w:cs="Calibri"/>
                <w:bCs/>
                <w:color w:val="000000"/>
                <w:lang w:eastAsia="en-AU"/>
              </w:rPr>
            </w:pPr>
            <w:r w:rsidRPr="005A36FE">
              <w:rPr>
                <w:rFonts w:eastAsiaTheme="minorEastAsia" w:cs="Calibri"/>
                <w:bCs/>
                <w:color w:val="000000"/>
                <w:lang w:eastAsia="en-AU"/>
              </w:rPr>
              <w:t>Net assets</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2 139</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1 872</w:t>
            </w:r>
          </w:p>
        </w:tc>
      </w:tr>
    </w:tbl>
    <w:p w:rsidR="00BB6F1F" w:rsidRPr="005A36FE" w:rsidRDefault="00BB6F1F" w:rsidP="00AC68FF">
      <w:pPr>
        <w:rPr>
          <w:b/>
          <w:bCs/>
          <w:lang w:val="en-US"/>
        </w:rPr>
      </w:pP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BB6F1F" w:rsidRPr="005A36FE" w:rsidTr="005962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Summarised operating statement for the financial year ended 30 June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 xml:space="preserve"> </w:t>
            </w:r>
          </w:p>
        </w:tc>
      </w:tr>
      <w:tr w:rsidR="00BB6F1F" w:rsidRPr="005A36FE" w:rsidTr="0059621E">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Revenue from transactions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lang w:eastAsia="en-AU"/>
              </w:rPr>
            </w:pPr>
            <w:r w:rsidRPr="005A36FE">
              <w:rPr>
                <w:rFonts w:eastAsiaTheme="minorEastAsia" w:cs="Calibri"/>
                <w:b/>
                <w:bCs/>
                <w:color w:val="000000"/>
                <w:lang w:eastAsia="en-AU"/>
              </w:rPr>
              <w:t>Net result from transactions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49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(78)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Net result from continuing operation</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left w:val="nil"/>
              <w:bottom w:val="single" w:sz="12" w:space="0" w:color="auto"/>
              <w:right w:val="nil"/>
            </w:tcBorders>
          </w:tcPr>
          <w:p w:rsidR="00BB6F1F" w:rsidRPr="005A36FE" w:rsidRDefault="00BB6F1F" w:rsidP="00AC68FF">
            <w:pPr>
              <w:keepLines w:val="0"/>
              <w:autoSpaceDE w:val="0"/>
              <w:autoSpaceDN w:val="0"/>
              <w:adjustRightInd w:val="0"/>
              <w:rPr>
                <w:rFonts w:eastAsiaTheme="minorEastAsia" w:cs="Calibri"/>
                <w:b/>
                <w:bCs/>
                <w:color w:val="000000"/>
                <w:lang w:eastAsia="en-AU"/>
              </w:rPr>
            </w:pPr>
            <w:r w:rsidRPr="005A36FE">
              <w:rPr>
                <w:rFonts w:eastAsiaTheme="minorEastAsia" w:cs="Calibri"/>
                <w:b/>
                <w:bCs/>
                <w:color w:val="000000"/>
                <w:lang w:eastAsia="en-AU"/>
              </w:rPr>
              <w:t>Net result</w:t>
            </w:r>
          </w:p>
        </w:tc>
        <w:tc>
          <w:tcPr>
            <w:tcW w:w="907" w:type="dxa"/>
            <w:tcBorders>
              <w:top w:val="single" w:sz="6" w:space="0" w:color="auto"/>
              <w:left w:val="nil"/>
              <w:bottom w:val="single" w:sz="12"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49</w:t>
            </w:r>
          </w:p>
        </w:tc>
        <w:tc>
          <w:tcPr>
            <w:tcW w:w="907" w:type="dxa"/>
            <w:tcBorders>
              <w:top w:val="single" w:sz="6" w:space="0" w:color="auto"/>
              <w:left w:val="nil"/>
              <w:bottom w:val="single" w:sz="12"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(78)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Other economic flows – other comprehensive income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285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Dividends received from associate during the year</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(52)</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rsidR="00BB6F1F" w:rsidRPr="005A36FE" w:rsidRDefault="00BB6F1F" w:rsidP="00AC68FF">
            <w:pPr>
              <w:keepLines w:val="0"/>
              <w:autoSpaceDE w:val="0"/>
              <w:autoSpaceDN w:val="0"/>
              <w:adjustRightInd w:val="0"/>
              <w:rPr>
                <w:rFonts w:eastAsiaTheme="minorEastAsia" w:cs="Calibri"/>
                <w:bCs/>
                <w:color w:val="000000"/>
                <w:lang w:eastAsia="en-AU"/>
              </w:rPr>
            </w:pPr>
            <w:r w:rsidRPr="005A36FE">
              <w:rPr>
                <w:rFonts w:eastAsiaTheme="minorEastAsia" w:cs="Calibri"/>
                <w:bCs/>
                <w:color w:val="000000"/>
                <w:lang w:eastAsia="en-AU"/>
              </w:rPr>
              <w:t>Total comprehensive income</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268</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(104)</w:t>
            </w:r>
          </w:p>
        </w:tc>
      </w:tr>
    </w:tbl>
    <w:p w:rsidR="00BB6F1F" w:rsidRDefault="00BB6F1F" w:rsidP="00AC68FF"/>
    <w:p w:rsidR="00BB6F1F" w:rsidRDefault="00BB6F1F" w:rsidP="00BB6F1F">
      <w:pPr>
        <w:pStyle w:val="Heading3"/>
        <w:numPr>
          <w:ilvl w:val="2"/>
          <w:numId w:val="24"/>
        </w:numPr>
        <w:pBdr>
          <w:bottom w:val="single" w:sz="6" w:space="1" w:color="auto"/>
        </w:pBdr>
        <w:tabs>
          <w:tab w:val="right" w:pos="14572"/>
        </w:tabs>
        <w:ind w:left="851"/>
        <w:sectPr w:rsidR="00BB6F1F" w:rsidSect="00AC68FF">
          <w:type w:val="continuous"/>
          <w:pgSz w:w="11907" w:h="16839" w:code="9"/>
          <w:pgMar w:top="1134" w:right="1134" w:bottom="1134" w:left="1134" w:header="624" w:footer="567" w:gutter="0"/>
          <w:cols w:sep="1" w:space="567"/>
          <w:docGrid w:linePitch="360"/>
        </w:sectPr>
      </w:pPr>
    </w:p>
    <w:p w:rsidR="00BB6F1F" w:rsidRPr="0003431C" w:rsidRDefault="00BB6F1F" w:rsidP="00BB6F1F">
      <w:pPr>
        <w:pStyle w:val="Heading3"/>
      </w:pPr>
      <w:r w:rsidRPr="0003431C">
        <w:lastRenderedPageBreak/>
        <w:t>Joint operations</w:t>
      </w:r>
    </w:p>
    <w:p w:rsidR="00BB6F1F" w:rsidRDefault="00BB6F1F" w:rsidP="00AC68FF">
      <w:r>
        <w:t xml:space="preserve">The State recognises, in its financial statements: </w:t>
      </w:r>
    </w:p>
    <w:p w:rsidR="00BB6F1F" w:rsidRDefault="00BB6F1F" w:rsidP="00AC68FF">
      <w:pPr>
        <w:pStyle w:val="ListBullet"/>
      </w:pPr>
      <w:r>
        <w:t xml:space="preserve">its direct right to the assets, liabilities, revenues and expenses; and </w:t>
      </w:r>
    </w:p>
    <w:p w:rsidR="00BB6F1F" w:rsidRDefault="00BB6F1F" w:rsidP="00AC68FF">
      <w:pPr>
        <w:pStyle w:val="ListBullet"/>
      </w:pPr>
      <w:r>
        <w:t>its share of any jointly held or incurred assets, liabilities, revenues and expenses.</w:t>
      </w:r>
    </w:p>
    <w:p w:rsidR="00BB6F1F" w:rsidRDefault="00BB6F1F" w:rsidP="00AC68FF">
      <w:r>
        <w:t xml:space="preserve">The State has classified the following arrangements as joint operations, based on the rights and obligations of each investor to the arrangement. </w:t>
      </w:r>
    </w:p>
    <w:p w:rsidR="00BB6F1F" w:rsidRPr="00BF7CB1" w:rsidRDefault="00BB6F1F" w:rsidP="00D91EF6">
      <w:pPr>
        <w:pStyle w:val="Heading4"/>
        <w:spacing w:before="120"/>
      </w:pPr>
      <w:r>
        <w:br w:type="column"/>
      </w:r>
      <w:r w:rsidRPr="00BF7CB1">
        <w:lastRenderedPageBreak/>
        <w:t xml:space="preserve">Royal Melbourne </w:t>
      </w:r>
      <w:r w:rsidRPr="00D330A2">
        <w:t>Showgrounds</w:t>
      </w:r>
    </w:p>
    <w:p w:rsidR="00BB6F1F" w:rsidRDefault="00BB6F1F" w:rsidP="00AC68FF">
      <w:r>
        <w:t>The State entered into a joint venture agreement with the Royal Agricultural Society of Victoria in October 2003 to redevelop the Royal Melbourne Showgrounds.</w:t>
      </w:r>
    </w:p>
    <w:p w:rsidR="00BB6F1F" w:rsidRDefault="00BB6F1F" w:rsidP="00AC68FF">
      <w:r>
        <w:t xml:space="preserve">The State of Victoria’s interest in the unincorporated joint venture at 30 June 2017 was 50.0 per cent (50.0 per cent in 2016). </w:t>
      </w:r>
    </w:p>
    <w:p w:rsidR="00BB6F1F" w:rsidRDefault="00BB6F1F">
      <w:pPr>
        <w:keepLines w:val="0"/>
        <w:rPr>
          <w:rFonts w:asciiTheme="majorHAnsi" w:eastAsiaTheme="majorEastAsia" w:hAnsiTheme="majorHAnsi" w:cstheme="majorBidi"/>
          <w:i/>
          <w:iCs/>
          <w:sz w:val="23"/>
          <w:szCs w:val="26"/>
        </w:rPr>
      </w:pPr>
      <w:r>
        <w:br w:type="page"/>
      </w:r>
    </w:p>
    <w:p w:rsidR="00BB6F1F" w:rsidRPr="00BF7CB1" w:rsidRDefault="00BB6F1F" w:rsidP="00AC68FF">
      <w:pPr>
        <w:pStyle w:val="Heading4"/>
      </w:pPr>
      <w:proofErr w:type="spellStart"/>
      <w:r w:rsidRPr="00BF7CB1">
        <w:lastRenderedPageBreak/>
        <w:t>AgriBio</w:t>
      </w:r>
      <w:proofErr w:type="spellEnd"/>
      <w:r w:rsidRPr="00BF7CB1">
        <w:t xml:space="preserve"> Project</w:t>
      </w:r>
    </w:p>
    <w:p w:rsidR="00BB6F1F" w:rsidRDefault="00BB6F1F" w:rsidP="00AC68FF">
      <w:r>
        <w:t xml:space="preserve">In April 2008, the State entered into a joint venture agreement with La Trobe University to establish a world class research facility on the university’s campus in Bundoora. </w:t>
      </w:r>
    </w:p>
    <w:p w:rsidR="00BB6F1F" w:rsidRDefault="00BB6F1F" w:rsidP="00AC68FF">
      <w:r>
        <w:t>The State of Victoria’s interest in the unincorporated joint venture at 30 June 2017 was 75.0 per cent (75.0 per cent in 2016).</w:t>
      </w:r>
    </w:p>
    <w:p w:rsidR="00BB6F1F" w:rsidRPr="00BF7CB1" w:rsidRDefault="00BB6F1F" w:rsidP="00AC68FF">
      <w:pPr>
        <w:pStyle w:val="Heading4"/>
      </w:pPr>
      <w:r w:rsidRPr="00BF7CB1">
        <w:t>Murray Darling Basin Authority</w:t>
      </w:r>
    </w:p>
    <w:p w:rsidR="00BB6F1F" w:rsidRDefault="00BB6F1F" w:rsidP="00AC68FF">
      <w:r>
        <w:t xml:space="preserve">The Commonwealth and the basin states – New South Wales, Victoria, Queensland, South Australia and the Australian Capital Territory – entered into the intergovernmental agreement for the Murray Darling Basin Reform. The Murray Darling Basin Authority (MDBA) was created by the </w:t>
      </w:r>
      <w:r w:rsidRPr="00715E6B">
        <w:rPr>
          <w:i/>
        </w:rPr>
        <w:t>Wate</w:t>
      </w:r>
      <w:r>
        <w:rPr>
          <w:i/>
        </w:rPr>
        <w:t xml:space="preserve">r Act </w:t>
      </w:r>
      <w:r w:rsidRPr="00715E6B">
        <w:rPr>
          <w:i/>
        </w:rPr>
        <w:t>2007</w:t>
      </w:r>
      <w:r>
        <w:t xml:space="preserve"> (</w:t>
      </w:r>
      <w:proofErr w:type="spellStart"/>
      <w:r>
        <w:t>Cth</w:t>
      </w:r>
      <w:proofErr w:type="spellEnd"/>
      <w:r>
        <w:t>) and was established on 3 July 2008, and the participants have a joint interest in the infrastructure assets and water rights.</w:t>
      </w:r>
    </w:p>
    <w:p w:rsidR="00BB6F1F" w:rsidRDefault="00BB6F1F" w:rsidP="00AC68FF">
      <w:r>
        <w:lastRenderedPageBreak/>
        <w:t>The MDBA undertakes activities that support the sustainable and integrated management of the water resources of the Murray-Darling Basin in a way that best meets the social, economic and environmental needs of the Basin and its communities.</w:t>
      </w:r>
    </w:p>
    <w:p w:rsidR="00BB6F1F" w:rsidRDefault="00BB6F1F" w:rsidP="00AC68FF">
      <w:r>
        <w:t xml:space="preserve">The share in the individually controlled assets was transferred at transition in the original proportions of the share of the entity held by the individual jurisdictions as follows: </w:t>
      </w:r>
    </w:p>
    <w:p w:rsidR="00BB6F1F" w:rsidRDefault="00BB6F1F" w:rsidP="00AC68FF">
      <w:pPr>
        <w:pStyle w:val="ListBullet"/>
      </w:pPr>
      <w:r>
        <w:t xml:space="preserve">New South Wales: 26.7 per cent; </w:t>
      </w:r>
    </w:p>
    <w:p w:rsidR="00BB6F1F" w:rsidRDefault="00BB6F1F" w:rsidP="00AC68FF">
      <w:pPr>
        <w:pStyle w:val="ListBullet"/>
      </w:pPr>
      <w:r>
        <w:t xml:space="preserve">South Australia: 26.7 per cent; </w:t>
      </w:r>
    </w:p>
    <w:p w:rsidR="00BB6F1F" w:rsidRDefault="00BB6F1F" w:rsidP="00AC68FF">
      <w:pPr>
        <w:pStyle w:val="ListBullet"/>
      </w:pPr>
      <w:r>
        <w:t>Victoria: 26.7 per cent; and</w:t>
      </w:r>
    </w:p>
    <w:p w:rsidR="00BB6F1F" w:rsidRDefault="00BB6F1F" w:rsidP="00AC68FF">
      <w:pPr>
        <w:pStyle w:val="ListBullet"/>
      </w:pPr>
      <w:r>
        <w:t>the Commonwealth government: 20.0 per cent.</w:t>
      </w:r>
    </w:p>
    <w:p w:rsidR="00BB6F1F" w:rsidRDefault="00BB6F1F" w:rsidP="00AC68FF"/>
    <w:p w:rsidR="00BB6F1F" w:rsidRDefault="00BB6F1F" w:rsidP="00AC68FF"/>
    <w:p w:rsidR="00BB6F1F" w:rsidRDefault="00BB6F1F" w:rsidP="00AC68FF">
      <w:pPr>
        <w:sectPr w:rsidR="00BB6F1F" w:rsidSect="00AC68FF">
          <w:type w:val="continuous"/>
          <w:pgSz w:w="11907" w:h="16839" w:code="9"/>
          <w:pgMar w:top="1134" w:right="1134" w:bottom="1134" w:left="1134" w:header="624" w:footer="567" w:gutter="0"/>
          <w:cols w:num="2" w:space="567"/>
          <w:docGrid w:linePitch="360"/>
        </w:sectPr>
      </w:pPr>
    </w:p>
    <w:p w:rsidR="00BB6F1F" w:rsidRDefault="00BB6F1F" w:rsidP="00AC68FF"/>
    <w:p w:rsidR="00BB6F1F" w:rsidRDefault="00BB6F1F" w:rsidP="00AC68FF"/>
    <w:p w:rsidR="00BB6F1F" w:rsidRDefault="00BB6F1F" w:rsidP="00AC68FF"/>
    <w:p w:rsidR="00BB6F1F" w:rsidRDefault="00BB6F1F" w:rsidP="00AC68FF"/>
    <w:bookmarkEnd w:id="30"/>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BB6F1F">
      <w:pPr>
        <w:pStyle w:val="Heading1"/>
        <w:numPr>
          <w:ilvl w:val="0"/>
          <w:numId w:val="24"/>
        </w:numPr>
        <w:pBdr>
          <w:bottom w:val="none" w:sz="0" w:space="0" w:color="auto"/>
        </w:pBdr>
        <w:sectPr w:rsidR="00BB6F1F" w:rsidSect="00AC68FF">
          <w:headerReference w:type="even" r:id="rId73"/>
          <w:pgSz w:w="11907" w:h="16839" w:code="9"/>
          <w:pgMar w:top="1134" w:right="1134" w:bottom="1134" w:left="1134" w:header="624" w:footer="567" w:gutter="0"/>
          <w:cols w:sep="1" w:space="567"/>
          <w:docGrid w:linePitch="360"/>
        </w:sectPr>
      </w:pPr>
      <w:bookmarkStart w:id="34" w:name="_Toc492985876"/>
      <w:bookmarkStart w:id="35" w:name="Section_05"/>
      <w:r>
        <w:lastRenderedPageBreak/>
        <w:t>Financing state operations</w:t>
      </w:r>
      <w:bookmarkEnd w:id="34"/>
    </w:p>
    <w:p w:rsidR="00BB6F1F" w:rsidRDefault="00BB6F1F" w:rsidP="00AC68FF">
      <w:pPr>
        <w:pStyle w:val="Heading30"/>
      </w:pPr>
      <w:r>
        <w:lastRenderedPageBreak/>
        <w:t>Introduction</w:t>
      </w:r>
    </w:p>
    <w:p w:rsidR="00BB6F1F" w:rsidRDefault="00BB6F1F" w:rsidP="00AC68FF">
      <w:r>
        <w:t>State operations are financed through a variety of means. Recurrent operations are generally financed from cash flows from operating activities (see consolidated cash flow statement). Asset investment operations are generally financed from a combination of surplus cash flows from operating activities, asset sales, advances and borrowings.</w:t>
      </w:r>
    </w:p>
    <w:p w:rsidR="00BB6F1F" w:rsidRDefault="00BB6F1F" w:rsidP="00AC68FF">
      <w:r>
        <w:t>This section provides information on the balances related to the financing of the State and general government sector’s operations, including financial commitments at year-end.</w:t>
      </w:r>
    </w:p>
    <w:p w:rsidR="00BB6F1F" w:rsidRDefault="00BB6F1F" w:rsidP="00AC68FF">
      <w:pPr>
        <w:pStyle w:val="Heading30"/>
      </w:pPr>
      <w:r>
        <w:br w:type="column"/>
      </w:r>
      <w:r>
        <w:lastRenderedPageBreak/>
        <w:t>Structure</w:t>
      </w:r>
    </w:p>
    <w:p w:rsidR="00BB6F1F" w:rsidRDefault="00BB6F1F">
      <w:pPr>
        <w:pStyle w:val="TOC9"/>
        <w:rPr>
          <w:rFonts w:eastAsiaTheme="minorEastAsia"/>
          <w:noProof/>
          <w:spacing w:val="0"/>
          <w:lang w:eastAsia="en-AU"/>
        </w:rPr>
      </w:pPr>
      <w:r>
        <w:fldChar w:fldCharType="begin"/>
      </w:r>
      <w:r>
        <w:instrText xml:space="preserve"> TOC \h \z \t "Heading 2 (#),9" \b Section_05 \* MERGEFORMAT </w:instrText>
      </w:r>
      <w:r>
        <w:fldChar w:fldCharType="separate"/>
      </w:r>
      <w:hyperlink w:anchor="_Toc492984849" w:history="1">
        <w:r w:rsidRPr="00A178CD">
          <w:rPr>
            <w:rStyle w:val="Hyperlink"/>
            <w:noProof/>
          </w:rPr>
          <w:t>5.1</w:t>
        </w:r>
        <w:r>
          <w:rPr>
            <w:rFonts w:eastAsiaTheme="minorEastAsia"/>
            <w:noProof/>
            <w:spacing w:val="0"/>
            <w:lang w:eastAsia="en-AU"/>
          </w:rPr>
          <w:tab/>
        </w:r>
        <w:r w:rsidRPr="00A178CD">
          <w:rPr>
            <w:rStyle w:val="Hyperlink"/>
            <w:noProof/>
          </w:rPr>
          <w:t>Borrowings</w:t>
        </w:r>
        <w:r>
          <w:rPr>
            <w:noProof/>
            <w:webHidden/>
          </w:rPr>
          <w:tab/>
        </w:r>
        <w:r>
          <w:rPr>
            <w:noProof/>
            <w:webHidden/>
          </w:rPr>
          <w:fldChar w:fldCharType="begin"/>
        </w:r>
        <w:r>
          <w:rPr>
            <w:noProof/>
            <w:webHidden/>
          </w:rPr>
          <w:instrText xml:space="preserve"> PAGEREF _Toc492984849 \h </w:instrText>
        </w:r>
        <w:r>
          <w:rPr>
            <w:noProof/>
            <w:webHidden/>
          </w:rPr>
        </w:r>
        <w:r>
          <w:rPr>
            <w:noProof/>
            <w:webHidden/>
          </w:rPr>
          <w:fldChar w:fldCharType="separate"/>
        </w:r>
        <w:r w:rsidR="002C7F26">
          <w:rPr>
            <w:noProof/>
            <w:webHidden/>
          </w:rPr>
          <w:t>60</w:t>
        </w:r>
        <w:r>
          <w:rPr>
            <w:noProof/>
            <w:webHidden/>
          </w:rPr>
          <w:fldChar w:fldCharType="end"/>
        </w:r>
      </w:hyperlink>
    </w:p>
    <w:p w:rsidR="00BB6F1F" w:rsidRDefault="00E73501">
      <w:pPr>
        <w:pStyle w:val="TOC9"/>
        <w:rPr>
          <w:rFonts w:eastAsiaTheme="minorEastAsia"/>
          <w:noProof/>
          <w:spacing w:val="0"/>
          <w:lang w:eastAsia="en-AU"/>
        </w:rPr>
      </w:pPr>
      <w:hyperlink w:anchor="_Toc492984850" w:history="1">
        <w:r w:rsidR="00BB6F1F" w:rsidRPr="00A178CD">
          <w:rPr>
            <w:rStyle w:val="Hyperlink"/>
            <w:noProof/>
          </w:rPr>
          <w:t>5.2</w:t>
        </w:r>
        <w:r w:rsidR="00BB6F1F">
          <w:rPr>
            <w:rFonts w:eastAsiaTheme="minorEastAsia"/>
            <w:noProof/>
            <w:spacing w:val="0"/>
            <w:lang w:eastAsia="en-AU"/>
          </w:rPr>
          <w:tab/>
        </w:r>
        <w:r w:rsidR="00BB6F1F" w:rsidRPr="00A178CD">
          <w:rPr>
            <w:rStyle w:val="Hyperlink"/>
            <w:noProof/>
          </w:rPr>
          <w:t>Deposits held and advances received</w:t>
        </w:r>
        <w:r w:rsidR="00BB6F1F">
          <w:rPr>
            <w:noProof/>
            <w:webHidden/>
          </w:rPr>
          <w:tab/>
        </w:r>
        <w:r w:rsidR="00BB6F1F">
          <w:rPr>
            <w:noProof/>
            <w:webHidden/>
          </w:rPr>
          <w:fldChar w:fldCharType="begin"/>
        </w:r>
        <w:r w:rsidR="00BB6F1F">
          <w:rPr>
            <w:noProof/>
            <w:webHidden/>
          </w:rPr>
          <w:instrText xml:space="preserve"> PAGEREF _Toc492984850 \h </w:instrText>
        </w:r>
        <w:r w:rsidR="00BB6F1F">
          <w:rPr>
            <w:noProof/>
            <w:webHidden/>
          </w:rPr>
        </w:r>
        <w:r w:rsidR="00BB6F1F">
          <w:rPr>
            <w:noProof/>
            <w:webHidden/>
          </w:rPr>
          <w:fldChar w:fldCharType="separate"/>
        </w:r>
        <w:r w:rsidR="002C7F26">
          <w:rPr>
            <w:noProof/>
            <w:webHidden/>
          </w:rPr>
          <w:t>61</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851" w:history="1">
        <w:r w:rsidR="00BB6F1F" w:rsidRPr="00A178CD">
          <w:rPr>
            <w:rStyle w:val="Hyperlink"/>
            <w:noProof/>
          </w:rPr>
          <w:t>5.3</w:t>
        </w:r>
        <w:r w:rsidR="00BB6F1F">
          <w:rPr>
            <w:rFonts w:eastAsiaTheme="minorEastAsia"/>
            <w:noProof/>
            <w:spacing w:val="0"/>
            <w:lang w:eastAsia="en-AU"/>
          </w:rPr>
          <w:tab/>
        </w:r>
        <w:r w:rsidR="00BB6F1F" w:rsidRPr="00A178CD">
          <w:rPr>
            <w:rStyle w:val="Hyperlink"/>
            <w:noProof/>
          </w:rPr>
          <w:t>Cash flow information and balances</w:t>
        </w:r>
        <w:r w:rsidR="00BB6F1F">
          <w:rPr>
            <w:noProof/>
            <w:webHidden/>
          </w:rPr>
          <w:tab/>
        </w:r>
        <w:r w:rsidR="00BB6F1F">
          <w:rPr>
            <w:noProof/>
            <w:webHidden/>
          </w:rPr>
          <w:fldChar w:fldCharType="begin"/>
        </w:r>
        <w:r w:rsidR="00BB6F1F">
          <w:rPr>
            <w:noProof/>
            <w:webHidden/>
          </w:rPr>
          <w:instrText xml:space="preserve"> PAGEREF _Toc492984851 \h </w:instrText>
        </w:r>
        <w:r w:rsidR="00BB6F1F">
          <w:rPr>
            <w:noProof/>
            <w:webHidden/>
          </w:rPr>
        </w:r>
        <w:r w:rsidR="00BB6F1F">
          <w:rPr>
            <w:noProof/>
            <w:webHidden/>
          </w:rPr>
          <w:fldChar w:fldCharType="separate"/>
        </w:r>
        <w:r w:rsidR="002C7F26">
          <w:rPr>
            <w:noProof/>
            <w:webHidden/>
          </w:rPr>
          <w:t>61</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852" w:history="1">
        <w:r w:rsidR="00BB6F1F" w:rsidRPr="00A178CD">
          <w:rPr>
            <w:rStyle w:val="Hyperlink"/>
            <w:noProof/>
          </w:rPr>
          <w:t>5.4</w:t>
        </w:r>
        <w:r w:rsidR="00BB6F1F">
          <w:rPr>
            <w:rFonts w:eastAsiaTheme="minorEastAsia"/>
            <w:noProof/>
            <w:spacing w:val="0"/>
            <w:lang w:eastAsia="en-AU"/>
          </w:rPr>
          <w:tab/>
        </w:r>
        <w:r w:rsidR="00BB6F1F" w:rsidRPr="00A178CD">
          <w:rPr>
            <w:rStyle w:val="Hyperlink"/>
            <w:noProof/>
          </w:rPr>
          <w:t xml:space="preserve">Advances paid and investments, loans </w:t>
        </w:r>
        <w:r w:rsidR="00B933FD">
          <w:rPr>
            <w:rStyle w:val="Hyperlink"/>
            <w:noProof/>
          </w:rPr>
          <w:br/>
        </w:r>
        <w:r w:rsidR="00BB6F1F" w:rsidRPr="00A178CD">
          <w:rPr>
            <w:rStyle w:val="Hyperlink"/>
            <w:noProof/>
          </w:rPr>
          <w:t>and placements</w:t>
        </w:r>
        <w:r w:rsidR="00BB6F1F">
          <w:rPr>
            <w:noProof/>
            <w:webHidden/>
          </w:rPr>
          <w:tab/>
        </w:r>
        <w:r w:rsidR="00BB6F1F">
          <w:rPr>
            <w:noProof/>
            <w:webHidden/>
          </w:rPr>
          <w:fldChar w:fldCharType="begin"/>
        </w:r>
        <w:r w:rsidR="00BB6F1F">
          <w:rPr>
            <w:noProof/>
            <w:webHidden/>
          </w:rPr>
          <w:instrText xml:space="preserve"> PAGEREF _Toc492984852 \h </w:instrText>
        </w:r>
        <w:r w:rsidR="00BB6F1F">
          <w:rPr>
            <w:noProof/>
            <w:webHidden/>
          </w:rPr>
        </w:r>
        <w:r w:rsidR="00BB6F1F">
          <w:rPr>
            <w:noProof/>
            <w:webHidden/>
          </w:rPr>
          <w:fldChar w:fldCharType="separate"/>
        </w:r>
        <w:r w:rsidR="002C7F26">
          <w:rPr>
            <w:noProof/>
            <w:webHidden/>
          </w:rPr>
          <w:t>63</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853" w:history="1">
        <w:r w:rsidR="00BB6F1F" w:rsidRPr="00A178CD">
          <w:rPr>
            <w:rStyle w:val="Hyperlink"/>
            <w:noProof/>
          </w:rPr>
          <w:t>5.5</w:t>
        </w:r>
        <w:r w:rsidR="00BB6F1F">
          <w:rPr>
            <w:rFonts w:eastAsiaTheme="minorEastAsia"/>
            <w:noProof/>
            <w:spacing w:val="0"/>
            <w:lang w:eastAsia="en-AU"/>
          </w:rPr>
          <w:tab/>
        </w:r>
        <w:r w:rsidR="00BB6F1F" w:rsidRPr="00A178CD">
          <w:rPr>
            <w:rStyle w:val="Hyperlink"/>
            <w:noProof/>
          </w:rPr>
          <w:t>Interest expense</w:t>
        </w:r>
        <w:r w:rsidR="00BB6F1F">
          <w:rPr>
            <w:noProof/>
            <w:webHidden/>
          </w:rPr>
          <w:tab/>
        </w:r>
        <w:r w:rsidR="00BB6F1F">
          <w:rPr>
            <w:noProof/>
            <w:webHidden/>
          </w:rPr>
          <w:fldChar w:fldCharType="begin"/>
        </w:r>
        <w:r w:rsidR="00BB6F1F">
          <w:rPr>
            <w:noProof/>
            <w:webHidden/>
          </w:rPr>
          <w:instrText xml:space="preserve"> PAGEREF _Toc492984853 \h </w:instrText>
        </w:r>
        <w:r w:rsidR="00BB6F1F">
          <w:rPr>
            <w:noProof/>
            <w:webHidden/>
          </w:rPr>
        </w:r>
        <w:r w:rsidR="00BB6F1F">
          <w:rPr>
            <w:noProof/>
            <w:webHidden/>
          </w:rPr>
          <w:fldChar w:fldCharType="separate"/>
        </w:r>
        <w:r w:rsidR="002C7F26">
          <w:rPr>
            <w:noProof/>
            <w:webHidden/>
          </w:rPr>
          <w:t>63</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854" w:history="1">
        <w:r w:rsidR="00BB6F1F" w:rsidRPr="00A178CD">
          <w:rPr>
            <w:rStyle w:val="Hyperlink"/>
            <w:noProof/>
          </w:rPr>
          <w:t>5.6</w:t>
        </w:r>
        <w:r w:rsidR="00BB6F1F">
          <w:rPr>
            <w:rFonts w:eastAsiaTheme="minorEastAsia"/>
            <w:noProof/>
            <w:spacing w:val="0"/>
            <w:lang w:eastAsia="en-AU"/>
          </w:rPr>
          <w:tab/>
        </w:r>
        <w:r w:rsidR="00BB6F1F" w:rsidRPr="00A178CD">
          <w:rPr>
            <w:rStyle w:val="Hyperlink"/>
            <w:noProof/>
          </w:rPr>
          <w:t xml:space="preserve">Public private partnership </w:t>
        </w:r>
        <w:r w:rsidR="00B933FD">
          <w:rPr>
            <w:rStyle w:val="Hyperlink"/>
            <w:noProof/>
          </w:rPr>
          <w:br/>
        </w:r>
        <w:r w:rsidR="00BB6F1F" w:rsidRPr="00A178CD">
          <w:rPr>
            <w:rStyle w:val="Hyperlink"/>
            <w:noProof/>
          </w:rPr>
          <w:t>(service concession arrangements)</w:t>
        </w:r>
        <w:r w:rsidR="00BB6F1F">
          <w:rPr>
            <w:noProof/>
            <w:webHidden/>
          </w:rPr>
          <w:tab/>
        </w:r>
        <w:r w:rsidR="00BB6F1F">
          <w:rPr>
            <w:noProof/>
            <w:webHidden/>
          </w:rPr>
          <w:fldChar w:fldCharType="begin"/>
        </w:r>
        <w:r w:rsidR="00BB6F1F">
          <w:rPr>
            <w:noProof/>
            <w:webHidden/>
          </w:rPr>
          <w:instrText xml:space="preserve"> PAGEREF _Toc492984854 \h </w:instrText>
        </w:r>
        <w:r w:rsidR="00BB6F1F">
          <w:rPr>
            <w:noProof/>
            <w:webHidden/>
          </w:rPr>
        </w:r>
        <w:r w:rsidR="00BB6F1F">
          <w:rPr>
            <w:noProof/>
            <w:webHidden/>
          </w:rPr>
          <w:fldChar w:fldCharType="separate"/>
        </w:r>
        <w:r w:rsidR="002C7F26">
          <w:rPr>
            <w:noProof/>
            <w:webHidden/>
          </w:rPr>
          <w:t>64</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855" w:history="1">
        <w:r w:rsidR="00BB6F1F" w:rsidRPr="00A178CD">
          <w:rPr>
            <w:rStyle w:val="Hyperlink"/>
            <w:noProof/>
          </w:rPr>
          <w:t>5.7</w:t>
        </w:r>
        <w:r w:rsidR="00BB6F1F">
          <w:rPr>
            <w:rFonts w:eastAsiaTheme="minorEastAsia"/>
            <w:noProof/>
            <w:spacing w:val="0"/>
            <w:lang w:eastAsia="en-AU"/>
          </w:rPr>
          <w:tab/>
        </w:r>
        <w:r w:rsidR="00BB6F1F" w:rsidRPr="00A178CD">
          <w:rPr>
            <w:rStyle w:val="Hyperlink"/>
            <w:noProof/>
          </w:rPr>
          <w:t>Other commitments</w:t>
        </w:r>
        <w:r w:rsidR="00BB6F1F">
          <w:rPr>
            <w:noProof/>
            <w:webHidden/>
          </w:rPr>
          <w:tab/>
        </w:r>
        <w:r w:rsidR="00BB6F1F">
          <w:rPr>
            <w:noProof/>
            <w:webHidden/>
          </w:rPr>
          <w:fldChar w:fldCharType="begin"/>
        </w:r>
        <w:r w:rsidR="00BB6F1F">
          <w:rPr>
            <w:noProof/>
            <w:webHidden/>
          </w:rPr>
          <w:instrText xml:space="preserve"> PAGEREF _Toc492984855 \h </w:instrText>
        </w:r>
        <w:r w:rsidR="00BB6F1F">
          <w:rPr>
            <w:noProof/>
            <w:webHidden/>
          </w:rPr>
        </w:r>
        <w:r w:rsidR="00BB6F1F">
          <w:rPr>
            <w:noProof/>
            <w:webHidden/>
          </w:rPr>
          <w:fldChar w:fldCharType="separate"/>
        </w:r>
        <w:r w:rsidR="002C7F26">
          <w:rPr>
            <w:noProof/>
            <w:webHidden/>
          </w:rPr>
          <w:t>67</w:t>
        </w:r>
        <w:r w:rsidR="00BB6F1F">
          <w:rPr>
            <w:noProof/>
            <w:webHidden/>
          </w:rPr>
          <w:fldChar w:fldCharType="end"/>
        </w:r>
      </w:hyperlink>
    </w:p>
    <w:p w:rsidR="00BB6F1F" w:rsidRDefault="00BB6F1F" w:rsidP="00AC68FF">
      <w:pPr>
        <w:sectPr w:rsidR="00BB6F1F" w:rsidSect="00AC68FF">
          <w:type w:val="continuous"/>
          <w:pgSz w:w="11907" w:h="16839" w:code="9"/>
          <w:pgMar w:top="1134" w:right="1134" w:bottom="1134" w:left="1134" w:header="624" w:footer="567" w:gutter="0"/>
          <w:cols w:num="2" w:space="567"/>
          <w:docGrid w:linePitch="360"/>
        </w:sectPr>
      </w:pPr>
      <w:r>
        <w:fldChar w:fldCharType="end"/>
      </w:r>
    </w:p>
    <w:p w:rsidR="00BB6F1F" w:rsidRDefault="00BB6F1F" w:rsidP="00BB6F1F">
      <w:pPr>
        <w:pStyle w:val="Heading2"/>
        <w:numPr>
          <w:ilvl w:val="1"/>
          <w:numId w:val="24"/>
        </w:numPr>
        <w:spacing w:after="120"/>
      </w:pPr>
      <w:bookmarkStart w:id="36" w:name="_Toc492984849"/>
      <w:r>
        <w:lastRenderedPageBreak/>
        <w:t>Borrowings</w:t>
      </w:r>
      <w:bookmarkEnd w:id="36"/>
    </w:p>
    <w:p w:rsidR="00BB6F1F" w:rsidRPr="005A36FE" w:rsidRDefault="00BB6F1F" w:rsidP="00AC68FF">
      <w:pPr>
        <w:pStyle w:val="TableUnits"/>
        <w:rPr>
          <w:bCs/>
          <w:lang w:val="en-US"/>
        </w:rPr>
      </w:pPr>
      <w:r>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5A36FE">
              <w:rPr>
                <w:rFonts w:eastAsiaTheme="minorEastAsia" w:cs="Calibri"/>
                <w:iCs/>
                <w:color w:val="FFFFFF"/>
                <w:szCs w:val="18"/>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Current borrowings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Domestic borrowings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3 491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5 095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752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3 132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Foreign currency borrowings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vertAlign w:val="superscript"/>
                <w:lang w:eastAsia="en-AU"/>
              </w:rPr>
            </w:pPr>
            <w:r w:rsidRPr="005A36FE">
              <w:rPr>
                <w:rFonts w:eastAsiaTheme="minorEastAsia" w:cs="Calibri"/>
                <w:color w:val="000000"/>
                <w:szCs w:val="16"/>
                <w:lang w:eastAsia="en-AU"/>
              </w:rPr>
              <w:t xml:space="preserve">Finance lease liabilities </w:t>
            </w:r>
            <w:r w:rsidRPr="005A36FE">
              <w:rPr>
                <w:rFonts w:eastAsiaTheme="minorEastAsia" w:cs="Calibri"/>
                <w:color w:val="000000"/>
                <w:szCs w:val="16"/>
                <w:vertAlign w:val="superscript"/>
                <w:lang w:eastAsia="en-AU"/>
              </w:rPr>
              <w:t>(a)</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361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Derivative financial instruments</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119</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258</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Total current borrowings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3 971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5 642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989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3 288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Non-current borrowings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Domestic borrowings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34 795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37 778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18 574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21 520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Foreign currency borrowings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vertAlign w:val="superscript"/>
                <w:lang w:eastAsia="en-AU"/>
              </w:rPr>
            </w:pPr>
            <w:r w:rsidRPr="005A36FE">
              <w:rPr>
                <w:rFonts w:eastAsiaTheme="minorEastAsia" w:cs="Calibri"/>
                <w:color w:val="000000"/>
                <w:szCs w:val="16"/>
                <w:lang w:eastAsia="en-AU"/>
              </w:rPr>
              <w:t xml:space="preserve">Finance lease liabilities </w:t>
            </w:r>
            <w:r w:rsidRPr="005A36FE">
              <w:rPr>
                <w:rFonts w:eastAsiaTheme="minorEastAsia" w:cs="Calibri"/>
                <w:color w:val="000000"/>
                <w:szCs w:val="16"/>
                <w:vertAlign w:val="superscript"/>
                <w:lang w:eastAsia="en-AU"/>
              </w:rPr>
              <w:t>(a)</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9 585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9 433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9 153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8 872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Derivative financial instruments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369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947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Total non-current borrowings</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44 876</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48 317</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27 827</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30 522</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6"/>
                <w:lang w:eastAsia="en-AU"/>
              </w:rPr>
            </w:pPr>
            <w:r w:rsidRPr="005A36FE">
              <w:rPr>
                <w:rFonts w:eastAsiaTheme="minorEastAsia" w:cs="Calibri"/>
                <w:bCs/>
                <w:color w:val="000000"/>
                <w:szCs w:val="16"/>
                <w:lang w:eastAsia="en-AU"/>
              </w:rPr>
              <w:t>Total borrowings</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48 847</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53 959</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28 816</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33 811</w:t>
            </w:r>
          </w:p>
        </w:tc>
      </w:tr>
    </w:tbl>
    <w:p w:rsidR="00BB6F1F" w:rsidRDefault="00BB6F1F" w:rsidP="00AC68FF">
      <w:pPr>
        <w:pStyle w:val="Note"/>
      </w:pPr>
      <w:r>
        <w:t>Note:</w:t>
      </w:r>
    </w:p>
    <w:p w:rsidR="00BB6F1F" w:rsidRDefault="00BB6F1F" w:rsidP="00AC68FF">
      <w:pPr>
        <w:pStyle w:val="Note"/>
      </w:pPr>
      <w:r>
        <w:t>(a)</w:t>
      </w:r>
      <w:r>
        <w:tab/>
        <w:t>The accounting treatment of the finance lease liability is explained and disclosed in Note 9.7.1.</w:t>
      </w:r>
    </w:p>
    <w:p w:rsidR="00BB6F1F" w:rsidRDefault="00BB6F1F" w:rsidP="00AC68FF"/>
    <w:p w:rsidR="00BB6F1F" w:rsidRDefault="00BB6F1F" w:rsidP="00AC68FF">
      <w:pPr>
        <w:rPr>
          <w:b/>
        </w:rPr>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AC68FF">
      <w:r w:rsidRPr="004920D6">
        <w:rPr>
          <w:b/>
        </w:rPr>
        <w:lastRenderedPageBreak/>
        <w:t>Borrowings</w:t>
      </w:r>
      <w:r>
        <w:t xml:space="preserve"> refer to interest bearing liabilities mainly raised from public borrowings raised through the Treasury Corporation of Victoria (TCV) and finance leases and other interest bearing arrangements.</w:t>
      </w:r>
    </w:p>
    <w:p w:rsidR="00BB6F1F" w:rsidRDefault="00BB6F1F" w:rsidP="00AC68FF">
      <w:r>
        <w:t>Borrowings exclude liabilities raised from other government entities, which are classified as ‘deposits held and advances received’.</w:t>
      </w:r>
    </w:p>
    <w:p w:rsidR="00BB6F1F" w:rsidRDefault="00BB6F1F" w:rsidP="00AC68FF">
      <w:r>
        <w:t xml:space="preserve">Borrowings are classified as financial instruments (Note 7.1). All interest bearing liabilities are initially recognised at the fair value of the consideration received less directly attributable transaction costs. The measurement basis subsequent to initial recognition depends on whether the State has </w:t>
      </w:r>
    </w:p>
    <w:p w:rsidR="00BB6F1F" w:rsidRDefault="00BB6F1F" w:rsidP="00AC68FF">
      <w:r>
        <w:lastRenderedPageBreak/>
        <w:t>categorised its interest bearing liabilities as either ‘financial liabilities designated at fair value through profit or loss’, or financial liabilities at ‘amortised cost’. The classification depends on the nature and purpose of the interest bearing liabilities. The State determines the classification of its interest bearing liabilities at initial recognition.</w:t>
      </w:r>
    </w:p>
    <w:p w:rsidR="00BB6F1F" w:rsidRDefault="00BB6F1F" w:rsidP="00AC68FF">
      <w:r>
        <w:t>The State’s public borrowings are designated at fair value through profit or loss on trade date on the basis that the financial liability forms a group of financial liabilities which are managed on a fair value basis in accordance with documented risk strategies.</w:t>
      </w:r>
    </w:p>
    <w:p w:rsidR="00BB6F1F" w:rsidRDefault="00BB6F1F">
      <w:pPr>
        <w:keepLines w:val="0"/>
        <w:rPr>
          <w:b/>
        </w:rPr>
      </w:pPr>
      <w:r>
        <w:rPr>
          <w:b/>
        </w:rPr>
        <w:br w:type="page"/>
      </w:r>
    </w:p>
    <w:p w:rsidR="00BB6F1F" w:rsidRDefault="00BB6F1F" w:rsidP="00AC68FF">
      <w:r w:rsidRPr="004920D6">
        <w:rPr>
          <w:b/>
        </w:rPr>
        <w:lastRenderedPageBreak/>
        <w:t>Derivative financial instruments</w:t>
      </w:r>
      <w:r>
        <w:t xml:space="preserve"> are classified as held for trading financial assets and liabilities, except for derivatives held by insurance entities which are designated at fair value. </w:t>
      </w:r>
    </w:p>
    <w:p w:rsidR="00BB6F1F" w:rsidRDefault="00BB6F1F" w:rsidP="00AC68FF">
      <w:r>
        <w:t>They are initially recognised at fair value on the date on which a derivative contract is entered into. Any gains or losses arising from changes in the fair value of derivatives after initial recognition, are recognised in the consolidated comprehensive operating statement as an ‘other economic flow’ included in the net result.</w:t>
      </w:r>
    </w:p>
    <w:p w:rsidR="00BB6F1F" w:rsidRDefault="00BB6F1F" w:rsidP="00BB6F1F">
      <w:pPr>
        <w:pStyle w:val="Heading2"/>
        <w:numPr>
          <w:ilvl w:val="1"/>
          <w:numId w:val="24"/>
        </w:numPr>
      </w:pPr>
      <w:bookmarkStart w:id="37" w:name="_Toc492984850"/>
      <w:r>
        <w:t>Deposits held and advances received</w:t>
      </w:r>
      <w:bookmarkEnd w:id="37"/>
    </w:p>
    <w:p w:rsidR="00BB6F1F" w:rsidRDefault="00BB6F1F" w:rsidP="00AC68FF">
      <w:r>
        <w:t>Deposits held include deposits, security deposits, and trust fund balances held on behalf of public or private sector bodies. Advances received include loans and other repayable funds from public sector bodies for policy purposes.</w:t>
      </w:r>
    </w:p>
    <w:p w:rsidR="00BB6F1F" w:rsidRDefault="00BB6F1F" w:rsidP="00AC68FF">
      <w:r>
        <w:t>Deposits held and advances received are categorised as financial liabilities at amortised cost.</w:t>
      </w:r>
    </w:p>
    <w:p w:rsidR="00BB6F1F" w:rsidRDefault="00BB6F1F" w:rsidP="00BB6F1F">
      <w:pPr>
        <w:pStyle w:val="Heading2"/>
        <w:numPr>
          <w:ilvl w:val="1"/>
          <w:numId w:val="24"/>
        </w:numPr>
        <w:spacing w:before="0"/>
      </w:pPr>
      <w:r>
        <w:br w:type="column"/>
      </w:r>
      <w:bookmarkStart w:id="38" w:name="_Toc492984851"/>
      <w:r>
        <w:lastRenderedPageBreak/>
        <w:t>Cash flow information and balances</w:t>
      </w:r>
      <w:bookmarkEnd w:id="38"/>
    </w:p>
    <w:p w:rsidR="00BB6F1F" w:rsidRDefault="00BB6F1F" w:rsidP="00AC68FF">
      <w:r>
        <w:t xml:space="preserve">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 </w:t>
      </w:r>
    </w:p>
    <w:p w:rsidR="00BB6F1F" w:rsidRDefault="00BB6F1F" w:rsidP="00AC68FF">
      <w:r>
        <w:t>For cash flow statement presentation purposes, cash and cash equivalents include bank overdrafts, which are included as current borrowings on the balance sheet.</w:t>
      </w:r>
    </w:p>
    <w:p w:rsidR="00BB6F1F" w:rsidRDefault="00BB6F1F" w:rsidP="00AC68FF">
      <w:pPr>
        <w:pStyle w:val="TableHeading"/>
        <w:sectPr w:rsidR="00BB6F1F" w:rsidSect="00AC68FF">
          <w:headerReference w:type="even" r:id="rId74"/>
          <w:type w:val="continuous"/>
          <w:pgSz w:w="11907" w:h="16839" w:code="9"/>
          <w:pgMar w:top="1134" w:right="1134" w:bottom="1134" w:left="1134" w:header="624" w:footer="567" w:gutter="0"/>
          <w:cols w:num="2" w:space="567"/>
          <w:docGrid w:linePitch="360"/>
        </w:sectPr>
      </w:pPr>
    </w:p>
    <w:p w:rsidR="00D91EF6" w:rsidRDefault="00D91EF6" w:rsidP="00D91EF6"/>
    <w:p w:rsidR="00BB6F1F" w:rsidRPr="00C91ACB" w:rsidRDefault="00BB6F1F" w:rsidP="00AC68FF">
      <w:pPr>
        <w:pStyle w:val="TableHeading"/>
        <w:rPr>
          <w:bCs/>
          <w:lang w:val="en-US"/>
        </w:rPr>
      </w:pPr>
      <w:r>
        <w:t>Reconciliation of cash and cash equivalents</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C91ACB"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C91ACB" w:rsidRDefault="00BB6F1F" w:rsidP="00AC68FF">
            <w:pPr>
              <w:autoSpaceDE w:val="0"/>
              <w:autoSpaceDN w:val="0"/>
              <w:adjustRightInd w:val="0"/>
              <w:rPr>
                <w:rFonts w:eastAsiaTheme="minorEastAsia" w:cs="Calibri"/>
                <w:iCs/>
                <w:color w:val="FFFFFF"/>
                <w:lang w:eastAsia="en-AU"/>
              </w:rPr>
            </w:pPr>
            <w:r w:rsidRPr="00C91ACB">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C91ACB"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91ACB">
              <w:rPr>
                <w:rFonts w:eastAsiaTheme="minorEastAsia" w:cs="Calibri"/>
                <w:iCs/>
                <w:color w:val="FFFFFF"/>
                <w:lang w:eastAsia="en-AU"/>
              </w:rPr>
              <w:t>State of Victoria</w:t>
            </w:r>
          </w:p>
        </w:tc>
        <w:tc>
          <w:tcPr>
            <w:tcW w:w="1814" w:type="dxa"/>
            <w:gridSpan w:val="2"/>
            <w:tcBorders>
              <w:top w:val="nil"/>
              <w:left w:val="nil"/>
              <w:bottom w:val="nil"/>
              <w:right w:val="nil"/>
            </w:tcBorders>
            <w:shd w:val="solid" w:color="000000" w:fill="auto"/>
          </w:tcPr>
          <w:p w:rsidR="00BB6F1F" w:rsidRPr="00C91ACB" w:rsidRDefault="00BB6F1F" w:rsidP="00B933FD">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91ACB">
              <w:rPr>
                <w:rFonts w:eastAsiaTheme="minorEastAsia" w:cs="Calibri"/>
                <w:iCs/>
                <w:color w:val="FFFFFF"/>
                <w:lang w:eastAsia="en-AU"/>
              </w:rPr>
              <w:t xml:space="preserve">General </w:t>
            </w:r>
            <w:r w:rsidR="00B933FD">
              <w:rPr>
                <w:rFonts w:eastAsiaTheme="minorEastAsia" w:cs="Calibri"/>
                <w:iCs/>
                <w:color w:val="FFFFFF"/>
                <w:lang w:eastAsia="en-AU"/>
              </w:rPr>
              <w:br/>
            </w:r>
            <w:r w:rsidRPr="00C91ACB">
              <w:rPr>
                <w:rFonts w:eastAsiaTheme="minorEastAsia" w:cs="Calibri"/>
                <w:iCs/>
                <w:color w:val="FFFFFF"/>
                <w:lang w:eastAsia="en-AU"/>
              </w:rPr>
              <w:t>government sector</w:t>
            </w:r>
          </w:p>
        </w:tc>
      </w:tr>
      <w:tr w:rsidR="00BB6F1F" w:rsidRPr="00C91ACB"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C91ACB" w:rsidRDefault="00BB6F1F" w:rsidP="00AC68FF">
            <w:pPr>
              <w:keepLines w:val="0"/>
              <w:autoSpaceDE w:val="0"/>
              <w:autoSpaceDN w:val="0"/>
              <w:adjustRightInd w:val="0"/>
              <w:rPr>
                <w:rFonts w:eastAsiaTheme="minorEastAsia" w:cs="Calibri"/>
                <w:iCs/>
                <w:color w:val="FFFFFF"/>
                <w:lang w:eastAsia="en-AU"/>
              </w:rPr>
            </w:pPr>
            <w:r w:rsidRPr="00C91ACB">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C91ACB"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91ACB">
              <w:rPr>
                <w:rFonts w:eastAsiaTheme="minorEastAsia" w:cs="Calibri"/>
                <w:iCs/>
                <w:color w:val="FFFFFF"/>
                <w:lang w:eastAsia="en-AU"/>
              </w:rPr>
              <w:t>2017</w:t>
            </w:r>
          </w:p>
        </w:tc>
        <w:tc>
          <w:tcPr>
            <w:tcW w:w="907" w:type="dxa"/>
            <w:tcBorders>
              <w:top w:val="nil"/>
              <w:left w:val="nil"/>
              <w:bottom w:val="nil"/>
              <w:right w:val="nil"/>
            </w:tcBorders>
            <w:shd w:val="solid" w:color="000000" w:fill="auto"/>
          </w:tcPr>
          <w:p w:rsidR="00BB6F1F" w:rsidRPr="00C91ACB"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91ACB">
              <w:rPr>
                <w:rFonts w:eastAsiaTheme="minorEastAsia" w:cs="Calibri"/>
                <w:iCs/>
                <w:color w:val="FFFFFF"/>
                <w:lang w:eastAsia="en-AU"/>
              </w:rPr>
              <w:t>2016</w:t>
            </w:r>
          </w:p>
        </w:tc>
        <w:tc>
          <w:tcPr>
            <w:tcW w:w="907" w:type="dxa"/>
            <w:tcBorders>
              <w:top w:val="nil"/>
              <w:left w:val="nil"/>
              <w:bottom w:val="nil"/>
              <w:right w:val="nil"/>
            </w:tcBorders>
            <w:shd w:val="solid" w:color="000000" w:fill="auto"/>
          </w:tcPr>
          <w:p w:rsidR="00BB6F1F" w:rsidRPr="00C91ACB"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91ACB">
              <w:rPr>
                <w:rFonts w:eastAsiaTheme="minorEastAsia" w:cs="Calibri"/>
                <w:iCs/>
                <w:color w:val="FFFFFF"/>
                <w:lang w:eastAsia="en-AU"/>
              </w:rPr>
              <w:t>2017</w:t>
            </w:r>
          </w:p>
        </w:tc>
        <w:tc>
          <w:tcPr>
            <w:tcW w:w="907" w:type="dxa"/>
            <w:tcBorders>
              <w:top w:val="nil"/>
              <w:left w:val="nil"/>
              <w:bottom w:val="nil"/>
              <w:right w:val="nil"/>
            </w:tcBorders>
            <w:shd w:val="solid" w:color="000000" w:fill="auto"/>
          </w:tcPr>
          <w:p w:rsidR="00BB6F1F" w:rsidRPr="00C91ACB"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91ACB">
              <w:rPr>
                <w:rFonts w:eastAsiaTheme="minorEastAsia" w:cs="Calibri"/>
                <w:iCs/>
                <w:color w:val="FFFFFF"/>
                <w:lang w:eastAsia="en-AU"/>
              </w:rPr>
              <w:t>2016</w:t>
            </w:r>
          </w:p>
        </w:tc>
      </w:tr>
      <w:tr w:rsidR="00BB6F1F" w:rsidRPr="00C91ACB"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C91ACB" w:rsidRDefault="00BB6F1F" w:rsidP="00AC68FF">
            <w:pPr>
              <w:keepLines w:val="0"/>
              <w:autoSpaceDE w:val="0"/>
              <w:autoSpaceDN w:val="0"/>
              <w:adjustRightInd w:val="0"/>
              <w:rPr>
                <w:rFonts w:eastAsiaTheme="minorEastAsia" w:cs="Calibri"/>
                <w:color w:val="000000"/>
                <w:lang w:eastAsia="en-AU"/>
              </w:rPr>
            </w:pPr>
            <w:r w:rsidRPr="00C91ACB">
              <w:rPr>
                <w:rFonts w:eastAsiaTheme="minorEastAsia" w:cs="Calibri"/>
                <w:color w:val="000000"/>
                <w:lang w:eastAsia="en-AU"/>
              </w:rPr>
              <w:t>Cash</w:t>
            </w:r>
          </w:p>
        </w:tc>
        <w:tc>
          <w:tcPr>
            <w:tcW w:w="907"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91ACB">
              <w:rPr>
                <w:rFonts w:eastAsiaTheme="minorEastAsia" w:cs="Calibri"/>
                <w:color w:val="000000"/>
                <w:lang w:eastAsia="en-AU"/>
              </w:rPr>
              <w:t>1 607</w:t>
            </w:r>
          </w:p>
        </w:tc>
        <w:tc>
          <w:tcPr>
            <w:tcW w:w="907"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91ACB">
              <w:rPr>
                <w:rFonts w:eastAsiaTheme="minorEastAsia" w:cs="Calibri"/>
                <w:color w:val="000000"/>
                <w:lang w:eastAsia="en-AU"/>
              </w:rPr>
              <w:t>1 552</w:t>
            </w:r>
          </w:p>
        </w:tc>
        <w:tc>
          <w:tcPr>
            <w:tcW w:w="907"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91ACB">
              <w:rPr>
                <w:rFonts w:eastAsiaTheme="minorEastAsia" w:cs="Calibri"/>
                <w:color w:val="000000"/>
                <w:lang w:eastAsia="en-AU"/>
              </w:rPr>
              <w:t>1 211</w:t>
            </w:r>
          </w:p>
        </w:tc>
        <w:tc>
          <w:tcPr>
            <w:tcW w:w="907"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91ACB">
              <w:rPr>
                <w:rFonts w:eastAsiaTheme="minorEastAsia" w:cs="Calibri"/>
                <w:color w:val="000000"/>
                <w:lang w:eastAsia="en-AU"/>
              </w:rPr>
              <w:t>1 174</w:t>
            </w:r>
          </w:p>
        </w:tc>
      </w:tr>
      <w:tr w:rsidR="00BB6F1F" w:rsidRPr="00C91ACB"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C91ACB" w:rsidRDefault="00BB6F1F" w:rsidP="00AC68FF">
            <w:pPr>
              <w:keepLines w:val="0"/>
              <w:autoSpaceDE w:val="0"/>
              <w:autoSpaceDN w:val="0"/>
              <w:adjustRightInd w:val="0"/>
              <w:rPr>
                <w:rFonts w:eastAsiaTheme="minorEastAsia" w:cs="Calibri"/>
                <w:color w:val="000000"/>
                <w:lang w:eastAsia="en-AU"/>
              </w:rPr>
            </w:pPr>
            <w:r w:rsidRPr="00C91ACB">
              <w:rPr>
                <w:rFonts w:eastAsiaTheme="minorEastAsia" w:cs="Calibri"/>
                <w:color w:val="000000"/>
                <w:lang w:eastAsia="en-AU"/>
              </w:rPr>
              <w:t>Deposits at call</w:t>
            </w:r>
          </w:p>
        </w:tc>
        <w:tc>
          <w:tcPr>
            <w:tcW w:w="907"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91ACB">
              <w:rPr>
                <w:rFonts w:eastAsiaTheme="minorEastAsia" w:cs="Calibri"/>
                <w:color w:val="000000"/>
                <w:lang w:eastAsia="en-AU"/>
              </w:rPr>
              <w:t>4 262</w:t>
            </w:r>
          </w:p>
        </w:tc>
        <w:tc>
          <w:tcPr>
            <w:tcW w:w="907"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91ACB">
              <w:rPr>
                <w:rFonts w:eastAsiaTheme="minorEastAsia" w:cs="Calibri"/>
                <w:color w:val="000000"/>
                <w:lang w:eastAsia="en-AU"/>
              </w:rPr>
              <w:t>5 124</w:t>
            </w:r>
          </w:p>
        </w:tc>
        <w:tc>
          <w:tcPr>
            <w:tcW w:w="907"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91ACB">
              <w:rPr>
                <w:rFonts w:eastAsiaTheme="minorEastAsia" w:cs="Calibri"/>
                <w:color w:val="000000"/>
                <w:lang w:eastAsia="en-AU"/>
              </w:rPr>
              <w:t>4 318</w:t>
            </w:r>
          </w:p>
        </w:tc>
        <w:tc>
          <w:tcPr>
            <w:tcW w:w="907"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91ACB">
              <w:rPr>
                <w:rFonts w:eastAsiaTheme="minorEastAsia" w:cs="Calibri"/>
                <w:color w:val="000000"/>
                <w:lang w:eastAsia="en-AU"/>
              </w:rPr>
              <w:t>3 598</w:t>
            </w:r>
          </w:p>
        </w:tc>
      </w:tr>
      <w:tr w:rsidR="00BB6F1F" w:rsidRPr="00C91ACB" w:rsidTr="00AC68FF">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left w:val="nil"/>
              <w:bottom w:val="nil"/>
              <w:right w:val="nil"/>
            </w:tcBorders>
          </w:tcPr>
          <w:p w:rsidR="00BB6F1F" w:rsidRPr="00C91ACB" w:rsidRDefault="00BB6F1F" w:rsidP="00AC68FF">
            <w:pPr>
              <w:keepLines w:val="0"/>
              <w:autoSpaceDE w:val="0"/>
              <w:autoSpaceDN w:val="0"/>
              <w:adjustRightInd w:val="0"/>
              <w:rPr>
                <w:rFonts w:eastAsiaTheme="minorEastAsia" w:cs="Calibri"/>
                <w:b/>
                <w:bCs/>
                <w:color w:val="000000"/>
                <w:lang w:eastAsia="en-AU"/>
              </w:rPr>
            </w:pPr>
            <w:r w:rsidRPr="00C91ACB">
              <w:rPr>
                <w:rFonts w:eastAsiaTheme="minorEastAsia" w:cs="Calibri"/>
                <w:b/>
                <w:bCs/>
                <w:color w:val="000000"/>
                <w:lang w:eastAsia="en-AU"/>
              </w:rPr>
              <w:t xml:space="preserve">Cash and cash equivalents </w:t>
            </w:r>
          </w:p>
        </w:tc>
        <w:tc>
          <w:tcPr>
            <w:tcW w:w="907" w:type="dxa"/>
            <w:tcBorders>
              <w:top w:val="single" w:sz="6" w:space="0" w:color="auto"/>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91ACB">
              <w:rPr>
                <w:rFonts w:eastAsiaTheme="minorEastAsia" w:cs="Calibri"/>
                <w:b/>
                <w:bCs/>
                <w:color w:val="000000"/>
                <w:lang w:eastAsia="en-AU"/>
              </w:rPr>
              <w:t>5 869</w:t>
            </w:r>
          </w:p>
        </w:tc>
        <w:tc>
          <w:tcPr>
            <w:tcW w:w="907" w:type="dxa"/>
            <w:tcBorders>
              <w:top w:val="single" w:sz="6" w:space="0" w:color="auto"/>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91ACB">
              <w:rPr>
                <w:rFonts w:eastAsiaTheme="minorEastAsia" w:cs="Calibri"/>
                <w:b/>
                <w:bCs/>
                <w:color w:val="000000"/>
                <w:lang w:eastAsia="en-AU"/>
              </w:rPr>
              <w:t>6 676</w:t>
            </w:r>
          </w:p>
        </w:tc>
        <w:tc>
          <w:tcPr>
            <w:tcW w:w="907" w:type="dxa"/>
            <w:tcBorders>
              <w:top w:val="single" w:sz="6" w:space="0" w:color="auto"/>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91ACB">
              <w:rPr>
                <w:rFonts w:eastAsiaTheme="minorEastAsia" w:cs="Calibri"/>
                <w:b/>
                <w:bCs/>
                <w:color w:val="000000"/>
                <w:lang w:eastAsia="en-AU"/>
              </w:rPr>
              <w:t>5 530</w:t>
            </w:r>
          </w:p>
        </w:tc>
        <w:tc>
          <w:tcPr>
            <w:tcW w:w="907" w:type="dxa"/>
            <w:tcBorders>
              <w:top w:val="single" w:sz="6" w:space="0" w:color="auto"/>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91ACB">
              <w:rPr>
                <w:rFonts w:eastAsiaTheme="minorEastAsia" w:cs="Calibri"/>
                <w:b/>
                <w:bCs/>
                <w:color w:val="000000"/>
                <w:lang w:eastAsia="en-AU"/>
              </w:rPr>
              <w:t>4 772</w:t>
            </w:r>
          </w:p>
        </w:tc>
      </w:tr>
      <w:tr w:rsidR="00BB6F1F" w:rsidRPr="00C91ACB"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auto"/>
              <w:right w:val="nil"/>
            </w:tcBorders>
          </w:tcPr>
          <w:p w:rsidR="00BB6F1F" w:rsidRPr="00C91ACB" w:rsidRDefault="00BB6F1F" w:rsidP="00AC68FF">
            <w:pPr>
              <w:keepLines w:val="0"/>
              <w:autoSpaceDE w:val="0"/>
              <w:autoSpaceDN w:val="0"/>
              <w:adjustRightInd w:val="0"/>
              <w:rPr>
                <w:rFonts w:eastAsiaTheme="minorEastAsia" w:cs="Calibri"/>
                <w:color w:val="000000"/>
                <w:lang w:eastAsia="en-AU"/>
              </w:rPr>
            </w:pPr>
            <w:r w:rsidRPr="00C91ACB">
              <w:rPr>
                <w:rFonts w:eastAsiaTheme="minorEastAsia" w:cs="Calibri"/>
                <w:color w:val="000000"/>
                <w:lang w:eastAsia="en-AU"/>
              </w:rPr>
              <w:t>Bank overdraft</w:t>
            </w:r>
          </w:p>
        </w:tc>
        <w:tc>
          <w:tcPr>
            <w:tcW w:w="907"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907"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907"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91ACB">
              <w:rPr>
                <w:rFonts w:eastAsiaTheme="minorEastAsia" w:cs="Calibri"/>
                <w:color w:val="000000"/>
                <w:lang w:eastAsia="en-AU"/>
              </w:rPr>
              <w:t>..</w:t>
            </w:r>
          </w:p>
        </w:tc>
        <w:tc>
          <w:tcPr>
            <w:tcW w:w="907"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91ACB">
              <w:rPr>
                <w:rFonts w:eastAsiaTheme="minorEastAsia" w:cs="Calibri"/>
                <w:color w:val="000000"/>
                <w:lang w:eastAsia="en-AU"/>
              </w:rPr>
              <w:t>..</w:t>
            </w:r>
          </w:p>
        </w:tc>
      </w:tr>
      <w:tr w:rsidR="00BB6F1F" w:rsidRPr="00C91ACB"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BB6F1F" w:rsidRPr="00C91ACB" w:rsidRDefault="00BB6F1F" w:rsidP="00AC68FF">
            <w:pPr>
              <w:keepLines w:val="0"/>
              <w:autoSpaceDE w:val="0"/>
              <w:autoSpaceDN w:val="0"/>
              <w:adjustRightInd w:val="0"/>
              <w:rPr>
                <w:rFonts w:eastAsiaTheme="minorEastAsia" w:cs="Calibri"/>
                <w:bCs/>
                <w:color w:val="000000"/>
                <w:lang w:eastAsia="en-AU"/>
              </w:rPr>
            </w:pPr>
            <w:r w:rsidRPr="00C91ACB">
              <w:rPr>
                <w:rFonts w:eastAsiaTheme="minorEastAsia" w:cs="Calibri"/>
                <w:bCs/>
                <w:color w:val="000000"/>
                <w:lang w:eastAsia="en-AU"/>
              </w:rPr>
              <w:t>Balances as per cash flow statement</w:t>
            </w:r>
          </w:p>
        </w:tc>
        <w:tc>
          <w:tcPr>
            <w:tcW w:w="907" w:type="dxa"/>
            <w:tcBorders>
              <w:top w:val="single" w:sz="6" w:space="0" w:color="auto"/>
              <w:bottom w:val="single" w:sz="12" w:space="0" w:color="auto"/>
            </w:tcBorders>
          </w:tcPr>
          <w:p w:rsidR="00BB6F1F" w:rsidRPr="00C91AC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91ACB">
              <w:rPr>
                <w:rFonts w:eastAsiaTheme="minorEastAsia" w:cs="Calibri"/>
                <w:bCs/>
                <w:color w:val="000000"/>
                <w:lang w:eastAsia="en-AU"/>
              </w:rPr>
              <w:t>5 868</w:t>
            </w:r>
          </w:p>
        </w:tc>
        <w:tc>
          <w:tcPr>
            <w:tcW w:w="907" w:type="dxa"/>
            <w:tcBorders>
              <w:top w:val="single" w:sz="6" w:space="0" w:color="auto"/>
              <w:bottom w:val="single" w:sz="12" w:space="0" w:color="auto"/>
            </w:tcBorders>
          </w:tcPr>
          <w:p w:rsidR="00BB6F1F" w:rsidRPr="00C91AC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91ACB">
              <w:rPr>
                <w:rFonts w:eastAsiaTheme="minorEastAsia" w:cs="Calibri"/>
                <w:bCs/>
                <w:color w:val="000000"/>
                <w:lang w:eastAsia="en-AU"/>
              </w:rPr>
              <w:t>6 676</w:t>
            </w:r>
          </w:p>
        </w:tc>
        <w:tc>
          <w:tcPr>
            <w:tcW w:w="907" w:type="dxa"/>
            <w:tcBorders>
              <w:top w:val="single" w:sz="6" w:space="0" w:color="auto"/>
              <w:bottom w:val="single" w:sz="12" w:space="0" w:color="auto"/>
            </w:tcBorders>
          </w:tcPr>
          <w:p w:rsidR="00BB6F1F" w:rsidRPr="00C91AC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91ACB">
              <w:rPr>
                <w:rFonts w:eastAsiaTheme="minorEastAsia" w:cs="Calibri"/>
                <w:bCs/>
                <w:color w:val="000000"/>
                <w:lang w:eastAsia="en-AU"/>
              </w:rPr>
              <w:t>5 530</w:t>
            </w:r>
          </w:p>
        </w:tc>
        <w:tc>
          <w:tcPr>
            <w:tcW w:w="907" w:type="dxa"/>
            <w:tcBorders>
              <w:top w:val="single" w:sz="6" w:space="0" w:color="auto"/>
              <w:bottom w:val="single" w:sz="12" w:space="0" w:color="auto"/>
            </w:tcBorders>
          </w:tcPr>
          <w:p w:rsidR="00BB6F1F" w:rsidRPr="00C91AC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91ACB">
              <w:rPr>
                <w:rFonts w:eastAsiaTheme="minorEastAsia" w:cs="Calibri"/>
                <w:bCs/>
                <w:color w:val="000000"/>
                <w:lang w:eastAsia="en-AU"/>
              </w:rPr>
              <w:t>4 772</w:t>
            </w:r>
          </w:p>
        </w:tc>
      </w:tr>
    </w:tbl>
    <w:p w:rsidR="00BB6F1F" w:rsidRDefault="00BB6F1F" w:rsidP="00AC68FF"/>
    <w:p w:rsidR="00BB6F1F" w:rsidRDefault="00BB6F1F">
      <w:pPr>
        <w:keepLines w:val="0"/>
        <w:rPr>
          <w:rFonts w:asciiTheme="majorHAnsi" w:hAnsiTheme="majorHAnsi"/>
          <w:b/>
          <w:sz w:val="20"/>
          <w:szCs w:val="20"/>
        </w:rPr>
      </w:pPr>
      <w:r>
        <w:br w:type="page"/>
      </w:r>
    </w:p>
    <w:p w:rsidR="00BB6F1F" w:rsidRPr="005A36FE" w:rsidRDefault="00BB6F1F" w:rsidP="00AC68FF">
      <w:pPr>
        <w:pStyle w:val="TableHeading"/>
        <w:rPr>
          <w:bCs/>
          <w:lang w:val="en-US"/>
        </w:rPr>
      </w:pPr>
      <w:r w:rsidRPr="000744CF">
        <w:lastRenderedPageBreak/>
        <w:t>Reconciliation of net result to net cash flows from operating activities</w:t>
      </w:r>
      <w:r w:rsidRPr="000744CF">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B933FD">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 xml:space="preserve">General </w:t>
            </w:r>
            <w:r w:rsidR="00B933FD">
              <w:rPr>
                <w:rFonts w:eastAsiaTheme="minorEastAsia" w:cs="Calibri"/>
                <w:iCs/>
                <w:color w:val="FFFFFF"/>
                <w:lang w:eastAsia="en-AU"/>
              </w:rPr>
              <w:br/>
            </w:r>
            <w:r w:rsidRPr="005A36FE">
              <w:rPr>
                <w:rFonts w:eastAsiaTheme="minorEastAsia" w:cs="Calibri"/>
                <w:iCs/>
                <w:color w:val="FFFFFF"/>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lang w:eastAsia="en-AU"/>
              </w:rPr>
            </w:pPr>
            <w:r w:rsidRPr="005A36FE">
              <w:rPr>
                <w:rFonts w:eastAsiaTheme="minorEastAsia" w:cs="Calibri"/>
                <w:b/>
                <w:bCs/>
                <w:color w:val="000000"/>
                <w:lang w:eastAsia="en-AU"/>
              </w:rPr>
              <w:t>Net result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5A36FE">
              <w:rPr>
                <w:rFonts w:eastAsiaTheme="minorEastAsia" w:cs="Calibri"/>
                <w:b/>
                <w:bCs/>
                <w:color w:val="000000"/>
                <w:lang w:eastAsia="en-AU"/>
              </w:rPr>
              <w:t>6 570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5A36FE">
              <w:rPr>
                <w:rFonts w:eastAsiaTheme="minorEastAsia" w:cs="Calibri"/>
                <w:b/>
                <w:bCs/>
                <w:color w:val="000000"/>
                <w:lang w:eastAsia="en-AU"/>
              </w:rPr>
              <w:t>(1 640)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5A36FE">
              <w:rPr>
                <w:rFonts w:eastAsiaTheme="minorEastAsia" w:cs="Calibri"/>
                <w:b/>
                <w:bCs/>
                <w:color w:val="000000"/>
                <w:lang w:eastAsia="en-AU"/>
              </w:rPr>
              <w:t>2 559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5A36FE">
              <w:rPr>
                <w:rFonts w:eastAsiaTheme="minorEastAsia" w:cs="Calibri"/>
                <w:b/>
                <w:bCs/>
                <w:color w:val="000000"/>
                <w:lang w:eastAsia="en-AU"/>
              </w:rPr>
              <w:t>1 817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lang w:eastAsia="en-AU"/>
              </w:rPr>
            </w:pPr>
            <w:r w:rsidRPr="005A36FE">
              <w:rPr>
                <w:rFonts w:eastAsiaTheme="minorEastAsia" w:cs="Calibri"/>
                <w:b/>
                <w:bCs/>
                <w:color w:val="000000"/>
                <w:lang w:eastAsia="en-AU"/>
              </w:rPr>
              <w:t>Non-cash movements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Depreciation and amortisation</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4 909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4 743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2 622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2 507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Revaluation of investments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(1 580)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451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Assets (received)/provided free of charge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(151)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Assets not previously/no longer recognised</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Revaluation of assets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164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227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185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Discount/premium on other financial assets/borrowings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(186)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(110)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Foreign currency dealings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Unrealised (gains)/losses on borrowings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(1 797)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1 174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lang w:eastAsia="en-AU"/>
              </w:rPr>
            </w:pPr>
            <w:r w:rsidRPr="005A36FE">
              <w:rPr>
                <w:rFonts w:eastAsiaTheme="minorEastAsia" w:cs="Calibri"/>
                <w:b/>
                <w:bCs/>
                <w:color w:val="000000"/>
                <w:lang w:eastAsia="en-AU"/>
              </w:rPr>
              <w:t>Movements included in investing and financing activities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Net gain/loss from sale of investments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(873)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(132)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Net gain/loss from sale of plant and equipment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Realised gains/losses on borrowings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lang w:eastAsia="en-AU"/>
              </w:rPr>
            </w:pPr>
            <w:r w:rsidRPr="005A36FE">
              <w:rPr>
                <w:rFonts w:eastAsiaTheme="minorEastAsia" w:cs="Calibri"/>
                <w:b/>
                <w:bCs/>
                <w:color w:val="000000"/>
                <w:lang w:eastAsia="en-AU"/>
              </w:rPr>
              <w:t>Movements in assets and liabilities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Increase/(decrease) in provision for doubtful debts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Increase/(decrease) in payables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9 178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401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Increase/(decrease) in employee benefits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387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571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369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532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Increase/(decrease) in superannuation</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Increase/(decrease) in other provisions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618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5A36FE">
              <w:rPr>
                <w:rFonts w:eastAsiaTheme="minorEastAsia" w:cs="Calibri"/>
                <w:color w:val="000000"/>
                <w:lang w:eastAsia="en-AU"/>
              </w:rPr>
              <w:t>2 806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608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(Increase)/decrease in receivables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(337)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(703)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(Increase)/decrease in other non-financial assets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(183)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43</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BB6F1F" w:rsidRPr="005A36FE" w:rsidRDefault="00BB6F1F" w:rsidP="00AC68FF">
            <w:pPr>
              <w:keepLines w:val="0"/>
              <w:autoSpaceDE w:val="0"/>
              <w:autoSpaceDN w:val="0"/>
              <w:adjustRightInd w:val="0"/>
              <w:rPr>
                <w:rFonts w:eastAsiaTheme="minorEastAsia" w:cs="Calibri"/>
                <w:bCs/>
                <w:color w:val="000000"/>
                <w:lang w:eastAsia="en-AU"/>
              </w:rPr>
            </w:pPr>
            <w:r w:rsidRPr="005A36FE">
              <w:rPr>
                <w:rFonts w:eastAsiaTheme="minorEastAsia" w:cs="Calibri"/>
                <w:bCs/>
                <w:color w:val="000000"/>
                <w:lang w:eastAsia="en-AU"/>
              </w:rPr>
              <w:t>Net cash flows from operating activities</w:t>
            </w:r>
          </w:p>
        </w:tc>
        <w:tc>
          <w:tcPr>
            <w:tcW w:w="907" w:type="dxa"/>
            <w:tcBorders>
              <w:top w:val="single" w:sz="6" w:space="0" w:color="auto"/>
              <w:bottom w:val="single" w:sz="12" w:space="0" w:color="auto"/>
            </w:tcBorders>
            <w:shd w:val="solid" w:color="FFFFFF" w:fill="auto"/>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17 039</w:t>
            </w:r>
          </w:p>
        </w:tc>
        <w:tc>
          <w:tcPr>
            <w:tcW w:w="907" w:type="dxa"/>
            <w:tcBorders>
              <w:top w:val="single" w:sz="6" w:space="0" w:color="auto"/>
              <w:bottom w:val="single" w:sz="12" w:space="0" w:color="auto"/>
            </w:tcBorders>
            <w:shd w:val="solid" w:color="FFFFFF" w:fill="auto"/>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7 936</w:t>
            </w:r>
          </w:p>
        </w:tc>
        <w:tc>
          <w:tcPr>
            <w:tcW w:w="907" w:type="dxa"/>
            <w:tcBorders>
              <w:top w:val="single" w:sz="6" w:space="0" w:color="auto"/>
              <w:bottom w:val="single" w:sz="12" w:space="0" w:color="auto"/>
            </w:tcBorders>
            <w:shd w:val="solid" w:color="FFFFFF" w:fill="auto"/>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5 524</w:t>
            </w:r>
          </w:p>
        </w:tc>
        <w:tc>
          <w:tcPr>
            <w:tcW w:w="907" w:type="dxa"/>
            <w:tcBorders>
              <w:top w:val="single" w:sz="6" w:space="0" w:color="auto"/>
              <w:bottom w:val="single" w:sz="12" w:space="0" w:color="auto"/>
            </w:tcBorders>
            <w:shd w:val="solid" w:color="FFFFFF" w:fill="auto"/>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5A36FE">
              <w:rPr>
                <w:rFonts w:eastAsiaTheme="minorEastAsia" w:cs="Calibri"/>
                <w:bCs/>
                <w:color w:val="000000"/>
                <w:lang w:eastAsia="en-AU"/>
              </w:rPr>
              <w:t>5 359</w:t>
            </w:r>
          </w:p>
        </w:tc>
      </w:tr>
    </w:tbl>
    <w:p w:rsidR="00BB6F1F" w:rsidRDefault="00BB6F1F" w:rsidP="00AC68FF"/>
    <w:p w:rsidR="00BB6F1F" w:rsidRDefault="00BB6F1F" w:rsidP="00AC68FF">
      <w:pPr>
        <w:rPr>
          <w:rFonts w:asciiTheme="majorHAnsi" w:eastAsiaTheme="majorEastAsia" w:hAnsiTheme="majorHAnsi" w:cstheme="majorBidi"/>
          <w:spacing w:val="-2"/>
          <w:sz w:val="26"/>
          <w:szCs w:val="26"/>
        </w:rPr>
      </w:pPr>
      <w:r>
        <w:br w:type="page"/>
      </w:r>
    </w:p>
    <w:p w:rsidR="00BB6F1F" w:rsidRDefault="00BB6F1F" w:rsidP="00BB6F1F">
      <w:pPr>
        <w:pStyle w:val="Heading2"/>
        <w:numPr>
          <w:ilvl w:val="1"/>
          <w:numId w:val="24"/>
        </w:numPr>
      </w:pPr>
      <w:bookmarkStart w:id="39" w:name="_Toc492984852"/>
      <w:r w:rsidRPr="000744CF">
        <w:lastRenderedPageBreak/>
        <w:t>Advances paid and investments, loans and placements</w:t>
      </w:r>
      <w:bookmarkEnd w:id="39"/>
    </w:p>
    <w:p w:rsidR="00BB6F1F" w:rsidRPr="005A36FE" w:rsidRDefault="00BB6F1F" w:rsidP="00AC68FF">
      <w:pPr>
        <w:pStyle w:val="TableUnits"/>
        <w:rPr>
          <w:bCs/>
          <w:lang w:val="en-US"/>
        </w:rPr>
      </w:pPr>
      <w:r w:rsidRPr="000744CF">
        <w:t>($ million)</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5A36FE">
              <w:rPr>
                <w:rFonts w:eastAsiaTheme="minorEastAsia" w:cs="Calibri"/>
                <w:iCs/>
                <w:color w:val="FFFFFF"/>
                <w:szCs w:val="18"/>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Current advances paid and investments, loans and placements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Loans and advances paid</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2 709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 xml:space="preserve">Equities and managed investment schemes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1 539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1 541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1 085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1 028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Australian dollar term deposits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5 140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1 400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933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Debt securities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3 860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5 547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Derivative financial instruments</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540</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326</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w:t>
            </w:r>
          </w:p>
        </w:tc>
        <w:tc>
          <w:tcPr>
            <w:tcW w:w="907" w:type="dxa"/>
            <w:tcBorders>
              <w:top w:val="nil"/>
              <w:left w:val="nil"/>
              <w:bottom w:val="single" w:sz="6"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Total current advances paid and investments, loans and placements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11 099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7 666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5 201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2 019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Non-current advances paid and investments, loans and placements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Loans and advances paid</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261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10 230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4 529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 xml:space="preserve">Equities and managed investment schemes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27 294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22 875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332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279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Australian dollar term deposits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1 334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814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528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Debt securities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2 577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3 937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Derivative financial instruments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521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797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Total non-current advances paid and investments, loans and placements</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31 987</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28 021</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11 411</w:t>
            </w:r>
          </w:p>
        </w:tc>
        <w:tc>
          <w:tcPr>
            <w:tcW w:w="907" w:type="dxa"/>
            <w:tcBorders>
              <w:top w:val="single" w:sz="6" w:space="0" w:color="000000"/>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5 417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Total advances paid and investments, loans and placements</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43 086</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35 687</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16 612</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7 436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Represented by:</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Advances paid</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12 939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4 582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12" w:space="0" w:color="000000"/>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Investments, loans and placements</w:t>
            </w:r>
          </w:p>
        </w:tc>
        <w:tc>
          <w:tcPr>
            <w:tcW w:w="907" w:type="dxa"/>
            <w:tcBorders>
              <w:top w:val="nil"/>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42 806</w:t>
            </w:r>
          </w:p>
        </w:tc>
        <w:tc>
          <w:tcPr>
            <w:tcW w:w="907" w:type="dxa"/>
            <w:tcBorders>
              <w:top w:val="nil"/>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35 534</w:t>
            </w:r>
          </w:p>
        </w:tc>
        <w:tc>
          <w:tcPr>
            <w:tcW w:w="907" w:type="dxa"/>
            <w:tcBorders>
              <w:top w:val="nil"/>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3 673</w:t>
            </w:r>
          </w:p>
        </w:tc>
        <w:tc>
          <w:tcPr>
            <w:tcW w:w="907" w:type="dxa"/>
            <w:tcBorders>
              <w:top w:val="nil"/>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2 853</w:t>
            </w:r>
          </w:p>
        </w:tc>
      </w:tr>
    </w:tbl>
    <w:p w:rsidR="00BB6F1F" w:rsidRDefault="00BB6F1F" w:rsidP="00AC68FF"/>
    <w:p w:rsidR="00BB6F1F" w:rsidRDefault="00BB6F1F" w:rsidP="00AC68FF">
      <w:pPr>
        <w:sectPr w:rsidR="00BB6F1F" w:rsidSect="00AC68FF">
          <w:headerReference w:type="even" r:id="rId75"/>
          <w:type w:val="continuous"/>
          <w:pgSz w:w="11907" w:h="16839" w:code="9"/>
          <w:pgMar w:top="1134" w:right="1134" w:bottom="1134" w:left="1134" w:header="624" w:footer="567" w:gutter="0"/>
          <w:cols w:sep="1" w:space="567"/>
          <w:docGrid w:linePitch="360"/>
        </w:sectPr>
      </w:pPr>
    </w:p>
    <w:p w:rsidR="00BB6F1F" w:rsidRDefault="00BB6F1F" w:rsidP="00AC68FF">
      <w:r>
        <w:lastRenderedPageBreak/>
        <w:t xml:space="preserve">The items in the table above are financial instruments (Note 7.1) that have been classified into financial instrument categories, depending on the purpose for which the investments were acquired. Management determines the classification of its investments at initial recognition. </w:t>
      </w:r>
    </w:p>
    <w:p w:rsidR="00BB6F1F" w:rsidRDefault="00BB6F1F" w:rsidP="00AC68FF">
      <w:r>
        <w:t xml:space="preserve">Any dividend or interest earned on these financial assets is recognised in the consolidated comprehensive operating statement as a revenue transaction. </w:t>
      </w:r>
    </w:p>
    <w:p w:rsidR="00BB6F1F" w:rsidRDefault="00BB6F1F" w:rsidP="00AC68FF">
      <w:r w:rsidRPr="004920D6">
        <w:rPr>
          <w:b/>
        </w:rPr>
        <w:lastRenderedPageBreak/>
        <w:t>Advances paid</w:t>
      </w:r>
      <w:r>
        <w:t xml:space="preserve"> include long and short term loans, non-marketable debentures and long and short term promissory agreements (bonds and bills) mainly issued to the PNFC and PFC sectors, for policy rather than liquidity management purposes. Advances are initially measured at fair value and subsequently measured at amortised cost. They exclude equity contributions and are eliminated on consolidation of the State’s position.</w:t>
      </w:r>
    </w:p>
    <w:p w:rsidR="00BB6F1F" w:rsidRDefault="00BB6F1F" w:rsidP="00BB6F1F">
      <w:pPr>
        <w:pStyle w:val="Heading2"/>
        <w:numPr>
          <w:ilvl w:val="1"/>
          <w:numId w:val="24"/>
        </w:numPr>
        <w:spacing w:after="120"/>
        <w:sectPr w:rsidR="00BB6F1F" w:rsidSect="00AC68FF">
          <w:type w:val="continuous"/>
          <w:pgSz w:w="11907" w:h="16839" w:code="9"/>
          <w:pgMar w:top="1134" w:right="1134" w:bottom="1134" w:left="1134" w:header="624" w:footer="567" w:gutter="0"/>
          <w:cols w:num="2" w:space="567"/>
          <w:docGrid w:linePitch="360"/>
        </w:sectPr>
      </w:pPr>
    </w:p>
    <w:p w:rsidR="00D91EF6" w:rsidRDefault="00D91EF6" w:rsidP="00D91EF6">
      <w:bookmarkStart w:id="40" w:name="_Toc492984853"/>
    </w:p>
    <w:p w:rsidR="00BB6F1F" w:rsidRDefault="00BB6F1F" w:rsidP="00BB6F1F">
      <w:pPr>
        <w:pStyle w:val="Heading2"/>
        <w:numPr>
          <w:ilvl w:val="1"/>
          <w:numId w:val="24"/>
        </w:numPr>
        <w:spacing w:after="120"/>
      </w:pPr>
      <w:r>
        <w:t>Interest expense</w:t>
      </w:r>
      <w:bookmarkEnd w:id="40"/>
    </w:p>
    <w:p w:rsidR="00BB6F1F" w:rsidRPr="005A36FE" w:rsidRDefault="00BB6F1F" w:rsidP="00AC68FF">
      <w:pPr>
        <w:pStyle w:val="TableUnits"/>
        <w:rPr>
          <w:bCs/>
          <w:lang w:val="en-US"/>
        </w:rPr>
      </w:pPr>
      <w:r w:rsidRPr="000744CF">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5A36FE">
              <w:rPr>
                <w:rFonts w:eastAsiaTheme="minorEastAsia" w:cs="Calibri"/>
                <w:iCs/>
                <w:color w:val="FFFFFF"/>
                <w:szCs w:val="18"/>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Interest on interest-bearing liabilities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1 799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1 882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1 161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1 272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Finance charges on finance leases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887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828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832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766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vertAlign w:val="superscript"/>
                <w:lang w:eastAsia="en-AU"/>
              </w:rPr>
            </w:pPr>
            <w:r w:rsidRPr="005A36FE">
              <w:rPr>
                <w:rFonts w:eastAsiaTheme="minorEastAsia" w:cs="Calibri"/>
                <w:color w:val="000000"/>
                <w:szCs w:val="16"/>
                <w:lang w:eastAsia="en-AU"/>
              </w:rPr>
              <w:t xml:space="preserve">Discount interest on payables </w:t>
            </w:r>
            <w:r w:rsidRPr="005A36FE">
              <w:rPr>
                <w:rFonts w:eastAsiaTheme="minorEastAsia" w:cs="Calibri"/>
                <w:color w:val="000000"/>
                <w:szCs w:val="16"/>
                <w:vertAlign w:val="superscript"/>
                <w:lang w:eastAsia="en-AU"/>
              </w:rPr>
              <w:t>(a)</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38</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6"/>
                <w:vertAlign w:val="superscript"/>
                <w:lang w:eastAsia="en-AU"/>
              </w:rPr>
            </w:pPr>
            <w:r w:rsidRPr="005A36FE">
              <w:rPr>
                <w:rFonts w:eastAsiaTheme="minorEastAsia" w:cs="Calibri"/>
                <w:bCs/>
                <w:color w:val="000000"/>
                <w:szCs w:val="16"/>
                <w:lang w:eastAsia="en-AU"/>
              </w:rPr>
              <w:t xml:space="preserve">Total interest expense </w:t>
            </w:r>
            <w:r w:rsidRPr="005A36FE">
              <w:rPr>
                <w:rFonts w:eastAsiaTheme="minorEastAsia" w:cs="Calibri"/>
                <w:bCs/>
                <w:color w:val="000000"/>
                <w:szCs w:val="16"/>
                <w:vertAlign w:val="superscript"/>
                <w:lang w:eastAsia="en-AU"/>
              </w:rPr>
              <w:t>(a)</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2 729</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2 802</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2 028</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5A36FE">
              <w:rPr>
                <w:rFonts w:eastAsiaTheme="minorEastAsia" w:cs="Calibri"/>
                <w:bCs/>
                <w:color w:val="000000"/>
                <w:szCs w:val="18"/>
                <w:lang w:eastAsia="en-AU"/>
              </w:rPr>
              <w:t>2 076</w:t>
            </w:r>
          </w:p>
        </w:tc>
      </w:tr>
    </w:tbl>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AC68FF">
      <w:pPr>
        <w:pStyle w:val="Note"/>
      </w:pPr>
      <w:r>
        <w:lastRenderedPageBreak/>
        <w:t>Note:</w:t>
      </w:r>
    </w:p>
    <w:p w:rsidR="00BB6F1F" w:rsidRPr="004E06C4" w:rsidRDefault="00BB6F1F" w:rsidP="00AC68FF">
      <w:pPr>
        <w:pStyle w:val="Note"/>
      </w:pPr>
      <w:r>
        <w:t>(a)</w:t>
      </w:r>
      <w:r>
        <w:tab/>
      </w:r>
      <w:r w:rsidRPr="008B5089">
        <w:t>June 2016 comparative figures have been restated to reflect the reclassification of borrowings</w:t>
      </w:r>
      <w:r>
        <w:t xml:space="preserve"> and investments </w:t>
      </w:r>
      <w:r w:rsidRPr="008B5089">
        <w:t>sold at a premium</w:t>
      </w:r>
      <w:r>
        <w:t xml:space="preserve">/discount </w:t>
      </w:r>
      <w:r w:rsidRPr="008B5089">
        <w:t xml:space="preserve">from interest expense to interest revenue.  </w:t>
      </w:r>
    </w:p>
    <w:p w:rsidR="00BB6F1F" w:rsidRDefault="00BB6F1F" w:rsidP="00AC68FF">
      <w:pPr>
        <w:pStyle w:val="Note"/>
        <w:sectPr w:rsidR="00BB6F1F" w:rsidSect="00AC68FF">
          <w:type w:val="continuous"/>
          <w:pgSz w:w="11907" w:h="16839" w:code="9"/>
          <w:pgMar w:top="1134" w:right="1134" w:bottom="1134" w:left="1134" w:header="624" w:footer="567" w:gutter="0"/>
          <w:cols w:space="567"/>
          <w:docGrid w:linePitch="360"/>
        </w:sectPr>
      </w:pPr>
    </w:p>
    <w:p w:rsidR="00BB6F1F" w:rsidRDefault="00BB6F1F" w:rsidP="00AC68FF">
      <w:pPr>
        <w:pStyle w:val="Note"/>
      </w:pPr>
    </w:p>
    <w:p w:rsidR="00BB6F1F" w:rsidRDefault="00BB6F1F" w:rsidP="00AC68FF">
      <w:r>
        <w:t>Interest expense represents costs incurred in relation to borrowings. It includes interest on advances, loans, overdrafts, bonds and bills, deposits, interest components of finance lease repayments, and amortisation of discounts or premiums in relation to borrowings.</w:t>
      </w:r>
    </w:p>
    <w:p w:rsidR="00BB6F1F" w:rsidRDefault="00BB6F1F" w:rsidP="00AC68FF">
      <w:pPr>
        <w:pStyle w:val="Note"/>
        <w:spacing w:before="0"/>
      </w:pPr>
      <w:r>
        <w:br w:type="column"/>
      </w:r>
    </w:p>
    <w:p w:rsidR="00BB6F1F" w:rsidRDefault="00BB6F1F" w:rsidP="00AC68FF">
      <w:r>
        <w:t xml:space="preserve">The State recognises borrowing costs immediately as an expense, even where they are directly attributable to the acquisition, construction or production of a qualifying asset. </w:t>
      </w:r>
    </w:p>
    <w:p w:rsidR="00BB6F1F" w:rsidRDefault="00BB6F1F">
      <w:pPr>
        <w:keepLines w:val="0"/>
        <w:rPr>
          <w:rFonts w:asciiTheme="majorHAnsi" w:eastAsiaTheme="majorEastAsia" w:hAnsiTheme="majorHAnsi" w:cstheme="majorBidi"/>
          <w:b/>
          <w:spacing w:val="-2"/>
          <w:sz w:val="26"/>
          <w:szCs w:val="26"/>
        </w:rPr>
      </w:pPr>
      <w:r>
        <w:br w:type="page"/>
      </w:r>
    </w:p>
    <w:p w:rsidR="00BB6F1F" w:rsidRDefault="00BB6F1F" w:rsidP="00BB6F1F">
      <w:pPr>
        <w:pStyle w:val="Heading2"/>
        <w:numPr>
          <w:ilvl w:val="1"/>
          <w:numId w:val="24"/>
        </w:numPr>
      </w:pPr>
      <w:bookmarkStart w:id="41" w:name="_Toc492984854"/>
      <w:r>
        <w:lastRenderedPageBreak/>
        <w:t xml:space="preserve">Public private partnership </w:t>
      </w:r>
      <w:r w:rsidR="00B933FD">
        <w:br/>
      </w:r>
      <w:r>
        <w:t>(service concession arrangements)</w:t>
      </w:r>
      <w:bookmarkEnd w:id="41"/>
      <w:r>
        <w:t xml:space="preserve"> </w:t>
      </w:r>
    </w:p>
    <w:p w:rsidR="00BB6F1F" w:rsidRDefault="00BB6F1F" w:rsidP="00AC68FF">
      <w:r>
        <w:t xml:space="preserve">The State from time to time enters into certain arrangements with private sector participants to design and construct or upgrade assets used to provide public services. These arrangements usually include the provision of operational and maintenance services for a specified period of time. </w:t>
      </w:r>
    </w:p>
    <w:p w:rsidR="00BB6F1F" w:rsidRDefault="00BB6F1F" w:rsidP="00AC68FF">
      <w:r>
        <w:t xml:space="preserve">These arrangements are often referred to as either public private partnerships (PPPs) or service concession arrangements (SCAs). </w:t>
      </w:r>
    </w:p>
    <w:p w:rsidR="00BB6F1F" w:rsidRDefault="00BB6F1F" w:rsidP="00AC68FF">
      <w:r>
        <w:t xml:space="preserve">These SCAs usually take one of two main forms. In the more common form, the State pays the operator over the arrangement period,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a lease payment in accordance with the leases accounting policy. </w:t>
      </w:r>
    </w:p>
    <w:p w:rsidR="00BB6F1F" w:rsidRDefault="00BB6F1F" w:rsidP="00AC68FF">
      <w:r>
        <w:lastRenderedPageBreak/>
        <w:t>The remaining components are accounted for as commitments for operating costs which are expensed in the comprehensive operating statement as they are incurred.</w:t>
      </w:r>
    </w:p>
    <w:p w:rsidR="00BB6F1F" w:rsidRDefault="00BB6F1F" w:rsidP="00AC68FF">
      <w:r>
        <w:t>The other, less common form of SCA, is one in which the State grants to an operator, for a specified period of time, the right to collect fees from users of the SCA asset, in return for which the operator constructs the asset and has the obligation to supply agreed upon services, including maintenance of the asset for the period of the concession. These private sector entities typically lease land, and sometimes State works, from the State and construct infrastructure. At the end of the concession period, the land and state works, together with the constructed facilities, will be returned to the State.</w:t>
      </w:r>
    </w:p>
    <w:p w:rsidR="00BB6F1F" w:rsidRDefault="00BB6F1F" w:rsidP="00AC68FF">
      <w:pPr>
        <w:sectPr w:rsidR="00BB6F1F" w:rsidSect="00AC68FF">
          <w:type w:val="continuous"/>
          <w:pgSz w:w="11907" w:h="16839" w:code="9"/>
          <w:pgMar w:top="1134" w:right="1134" w:bottom="1134" w:left="1134" w:header="624" w:footer="567" w:gutter="0"/>
          <w:cols w:num="2" w:space="567"/>
          <w:docGrid w:linePitch="360"/>
        </w:sectPr>
      </w:pPr>
      <w:r w:rsidRPr="00B365C3">
        <w:t xml:space="preserve">The Australian Accounting Standards Board has recently issued AASB 1059 </w:t>
      </w:r>
      <w:r w:rsidRPr="00B365C3">
        <w:rPr>
          <w:i/>
        </w:rPr>
        <w:t>Service Concession Arrangements: Grantors</w:t>
      </w:r>
      <w:r w:rsidRPr="00B365C3">
        <w:t xml:space="preserve">, operative for reporting periods commencing 1 January 2019. For the </w:t>
      </w:r>
      <w:r>
        <w:br/>
      </w:r>
      <w:r w:rsidRPr="00B365C3">
        <w:t>2016-17 reporting period, the State has not early adopted AASB 1059, and has continued its existing accounting policy to not recognise the right to receive assets from such concession arrangements on its balance sheet. Refer to note 9.7.3 for further details.</w:t>
      </w:r>
    </w:p>
    <w:p w:rsidR="00BB6F1F" w:rsidRDefault="00BB6F1F" w:rsidP="00AC68FF"/>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Pr="001B69DB" w:rsidRDefault="00BB6F1F" w:rsidP="00AC68FF">
      <w:pPr>
        <w:pStyle w:val="TableHeading"/>
        <w:spacing w:before="0"/>
        <w:rPr>
          <w:bCs/>
          <w:lang w:val="en-US"/>
        </w:rPr>
      </w:pPr>
      <w:r w:rsidRPr="000744CF">
        <w:lastRenderedPageBreak/>
        <w:t xml:space="preserve">Public private partnership commitments </w:t>
      </w:r>
      <w:r w:rsidRPr="000744CF">
        <w:rPr>
          <w:vertAlign w:val="superscript"/>
        </w:rPr>
        <w:t>(a)(b)</w:t>
      </w:r>
      <w:r w:rsidRPr="000744CF">
        <w:tab/>
      </w:r>
      <w:r w:rsidRPr="000744CF">
        <w:tab/>
        <w:t>($ million)</w:t>
      </w:r>
    </w:p>
    <w:tbl>
      <w:tblPr>
        <w:tblStyle w:val="DTFTable"/>
        <w:tblW w:w="14572" w:type="dxa"/>
        <w:tblInd w:w="45" w:type="dxa"/>
        <w:tblLayout w:type="fixed"/>
        <w:tblCellMar>
          <w:left w:w="45" w:type="dxa"/>
          <w:right w:w="45" w:type="dxa"/>
        </w:tblCellMar>
        <w:tblLook w:val="06E0" w:firstRow="1" w:lastRow="1" w:firstColumn="1" w:lastColumn="0" w:noHBand="1" w:noVBand="1"/>
      </w:tblPr>
      <w:tblGrid>
        <w:gridCol w:w="2214"/>
        <w:gridCol w:w="110"/>
        <w:gridCol w:w="89"/>
        <w:gridCol w:w="978"/>
        <w:gridCol w:w="1079"/>
        <w:gridCol w:w="1079"/>
        <w:gridCol w:w="131"/>
        <w:gridCol w:w="756"/>
        <w:gridCol w:w="1021"/>
        <w:gridCol w:w="1068"/>
        <w:gridCol w:w="137"/>
        <w:gridCol w:w="760"/>
        <w:gridCol w:w="1068"/>
        <w:gridCol w:w="1079"/>
        <w:gridCol w:w="110"/>
        <w:gridCol w:w="781"/>
        <w:gridCol w:w="1056"/>
        <w:gridCol w:w="1056"/>
      </w:tblGrid>
      <w:tr w:rsidR="00BB6F1F" w:rsidRPr="00E44122" w:rsidTr="00840C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shd w:val="solid" w:color="000000" w:fill="auto"/>
          </w:tcPr>
          <w:p w:rsidR="00BB6F1F" w:rsidRPr="00E44122" w:rsidRDefault="00BB6F1F" w:rsidP="00AC68FF">
            <w:pPr>
              <w:autoSpaceDE w:val="0"/>
              <w:autoSpaceDN w:val="0"/>
              <w:adjustRightInd w:val="0"/>
              <w:rPr>
                <w:rFonts w:eastAsiaTheme="minorEastAsia" w:cs="Calibri"/>
                <w:iCs/>
                <w:color w:val="FFFFFF"/>
                <w:sz w:val="16"/>
                <w:szCs w:val="16"/>
                <w:lang w:eastAsia="en-AU"/>
              </w:rPr>
            </w:pPr>
            <w:r w:rsidRPr="00E44122">
              <w:rPr>
                <w:rFonts w:eastAsiaTheme="minorEastAsia" w:cs="Calibri"/>
                <w:iCs/>
                <w:color w:val="FFFFFF"/>
                <w:sz w:val="16"/>
                <w:szCs w:val="16"/>
                <w:lang w:eastAsia="en-AU"/>
              </w:rPr>
              <w:t xml:space="preserve"> </w:t>
            </w:r>
          </w:p>
        </w:tc>
        <w:tc>
          <w:tcPr>
            <w:tcW w:w="3329" w:type="dxa"/>
            <w:gridSpan w:val="5"/>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State of Victoria</w:t>
            </w:r>
          </w:p>
        </w:tc>
        <w:tc>
          <w:tcPr>
            <w:tcW w:w="2971" w:type="dxa"/>
            <w:gridSpan w:val="4"/>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General government sector</w:t>
            </w:r>
          </w:p>
        </w:tc>
        <w:tc>
          <w:tcPr>
            <w:tcW w:w="3039" w:type="dxa"/>
            <w:gridSpan w:val="4"/>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State of Victoria</w:t>
            </w:r>
          </w:p>
        </w:tc>
        <w:tc>
          <w:tcPr>
            <w:tcW w:w="2998" w:type="dxa"/>
            <w:gridSpan w:val="4"/>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General government sector</w:t>
            </w:r>
          </w:p>
        </w:tc>
      </w:tr>
      <w:tr w:rsidR="00BB6F1F" w:rsidRPr="00E44122" w:rsidTr="00840C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rPr>
                <w:rFonts w:eastAsiaTheme="minorEastAsia" w:cs="Calibri"/>
                <w:iCs/>
                <w:color w:val="FFFFFF"/>
                <w:sz w:val="16"/>
                <w:szCs w:val="16"/>
                <w:lang w:eastAsia="en-AU"/>
              </w:rPr>
            </w:pPr>
            <w:r w:rsidRPr="00E44122">
              <w:rPr>
                <w:rFonts w:eastAsiaTheme="minorEastAsia" w:cs="Calibri"/>
                <w:iCs/>
                <w:color w:val="FFFFFF"/>
                <w:sz w:val="16"/>
                <w:szCs w:val="16"/>
                <w:lang w:eastAsia="en-AU"/>
              </w:rPr>
              <w:t xml:space="preserve"> </w:t>
            </w:r>
          </w:p>
        </w:tc>
        <w:tc>
          <w:tcPr>
            <w:tcW w:w="3329" w:type="dxa"/>
            <w:gridSpan w:val="5"/>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2017</w:t>
            </w:r>
          </w:p>
        </w:tc>
        <w:tc>
          <w:tcPr>
            <w:tcW w:w="2971" w:type="dxa"/>
            <w:gridSpan w:val="4"/>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2017</w:t>
            </w:r>
          </w:p>
        </w:tc>
        <w:tc>
          <w:tcPr>
            <w:tcW w:w="3039" w:type="dxa"/>
            <w:gridSpan w:val="4"/>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2016</w:t>
            </w:r>
          </w:p>
        </w:tc>
        <w:tc>
          <w:tcPr>
            <w:tcW w:w="2998" w:type="dxa"/>
            <w:gridSpan w:val="4"/>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2016</w:t>
            </w:r>
          </w:p>
        </w:tc>
      </w:tr>
      <w:tr w:rsidR="00E73501" w:rsidRPr="00E44122" w:rsidTr="00840C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shd w:val="solid" w:color="000000" w:fill="auto"/>
          </w:tcPr>
          <w:p w:rsidR="00BB6F1F" w:rsidRPr="001B69DB" w:rsidRDefault="00BB6F1F" w:rsidP="00AC68FF">
            <w:pPr>
              <w:keepLines w:val="0"/>
              <w:autoSpaceDE w:val="0"/>
              <w:autoSpaceDN w:val="0"/>
              <w:adjustRightInd w:val="0"/>
              <w:rPr>
                <w:rFonts w:eastAsiaTheme="minorEastAsia" w:cs="Calibri"/>
                <w:iCs/>
                <w:color w:val="FFFFFF"/>
                <w:sz w:val="16"/>
                <w:szCs w:val="16"/>
                <w:lang w:eastAsia="en-AU"/>
              </w:rPr>
            </w:pPr>
            <w:r w:rsidRPr="001B69DB">
              <w:rPr>
                <w:rFonts w:eastAsiaTheme="minorEastAsia" w:cs="Calibri"/>
                <w:iCs/>
                <w:color w:val="FFFFFF"/>
                <w:sz w:val="16"/>
                <w:szCs w:val="16"/>
                <w:lang w:eastAsia="en-AU"/>
              </w:rPr>
              <w:t xml:space="preserve"> </w:t>
            </w:r>
          </w:p>
        </w:tc>
        <w:tc>
          <w:tcPr>
            <w:tcW w:w="110" w:type="dxa"/>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ind w:left="57" w:right="57"/>
              <w:jc w:val="center"/>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 w:val="16"/>
                <w:szCs w:val="16"/>
                <w:lang w:eastAsia="en-AU"/>
              </w:rPr>
            </w:pPr>
          </w:p>
        </w:tc>
        <w:tc>
          <w:tcPr>
            <w:tcW w:w="3219" w:type="dxa"/>
            <w:gridSpan w:val="4"/>
            <w:tcBorders>
              <w:top w:val="nil"/>
              <w:left w:val="nil"/>
              <w:bottom w:val="single" w:sz="6" w:space="0" w:color="FFFFFF" w:themeColor="background1"/>
              <w:right w:val="nil"/>
            </w:tcBorders>
            <w:shd w:val="solid" w:color="000000" w:fill="auto"/>
          </w:tcPr>
          <w:p w:rsidR="00BB6F1F" w:rsidRPr="001B69DB" w:rsidRDefault="00BB6F1F" w:rsidP="00AC68FF">
            <w:pPr>
              <w:keepLines w:val="0"/>
              <w:autoSpaceDE w:val="0"/>
              <w:autoSpaceDN w:val="0"/>
              <w:adjustRightInd w:val="0"/>
              <w:ind w:left="57" w:right="57"/>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B69DB">
              <w:rPr>
                <w:rFonts w:eastAsiaTheme="minorEastAsia" w:cs="Calibri"/>
                <w:iCs/>
                <w:color w:val="FFFFFF"/>
                <w:sz w:val="16"/>
                <w:szCs w:val="16"/>
                <w:lang w:eastAsia="en-AU"/>
              </w:rPr>
              <w:t>Other commitments</w:t>
            </w:r>
          </w:p>
        </w:tc>
        <w:tc>
          <w:tcPr>
            <w:tcW w:w="131" w:type="dxa"/>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ind w:left="57" w:right="57"/>
              <w:jc w:val="center"/>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 w:val="16"/>
                <w:szCs w:val="16"/>
                <w:lang w:eastAsia="en-AU"/>
              </w:rPr>
            </w:pPr>
          </w:p>
        </w:tc>
        <w:tc>
          <w:tcPr>
            <w:tcW w:w="2840" w:type="dxa"/>
            <w:gridSpan w:val="3"/>
            <w:tcBorders>
              <w:top w:val="nil"/>
              <w:left w:val="nil"/>
              <w:bottom w:val="single" w:sz="6" w:space="0" w:color="FFFFFF" w:themeColor="background1"/>
              <w:right w:val="nil"/>
            </w:tcBorders>
            <w:shd w:val="solid" w:color="000000" w:fill="auto"/>
          </w:tcPr>
          <w:p w:rsidR="00BB6F1F" w:rsidRPr="001B69DB" w:rsidRDefault="00BB6F1F" w:rsidP="00AC68FF">
            <w:pPr>
              <w:keepLines w:val="0"/>
              <w:autoSpaceDE w:val="0"/>
              <w:autoSpaceDN w:val="0"/>
              <w:adjustRightInd w:val="0"/>
              <w:ind w:left="57" w:right="57"/>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B69DB">
              <w:rPr>
                <w:rFonts w:eastAsiaTheme="minorEastAsia" w:cs="Calibri"/>
                <w:iCs/>
                <w:color w:val="FFFFFF"/>
                <w:sz w:val="16"/>
                <w:szCs w:val="16"/>
                <w:lang w:eastAsia="en-AU"/>
              </w:rPr>
              <w:t>Other commitments</w:t>
            </w:r>
          </w:p>
        </w:tc>
        <w:tc>
          <w:tcPr>
            <w:tcW w:w="137" w:type="dxa"/>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ind w:left="57" w:right="57"/>
              <w:jc w:val="center"/>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 w:val="16"/>
                <w:szCs w:val="16"/>
                <w:lang w:eastAsia="en-AU"/>
              </w:rPr>
            </w:pPr>
          </w:p>
        </w:tc>
        <w:tc>
          <w:tcPr>
            <w:tcW w:w="2902" w:type="dxa"/>
            <w:gridSpan w:val="3"/>
            <w:tcBorders>
              <w:top w:val="nil"/>
              <w:left w:val="nil"/>
              <w:bottom w:val="single" w:sz="6" w:space="0" w:color="FFFFFF" w:themeColor="background1"/>
              <w:right w:val="nil"/>
            </w:tcBorders>
            <w:shd w:val="solid" w:color="000000" w:fill="auto"/>
          </w:tcPr>
          <w:p w:rsidR="00BB6F1F" w:rsidRPr="001B69DB" w:rsidRDefault="00BB6F1F" w:rsidP="00AC68FF">
            <w:pPr>
              <w:keepLines w:val="0"/>
              <w:autoSpaceDE w:val="0"/>
              <w:autoSpaceDN w:val="0"/>
              <w:adjustRightInd w:val="0"/>
              <w:ind w:left="57" w:right="57"/>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B69DB">
              <w:rPr>
                <w:rFonts w:eastAsiaTheme="minorEastAsia" w:cs="Calibri"/>
                <w:iCs/>
                <w:color w:val="FFFFFF"/>
                <w:sz w:val="16"/>
                <w:szCs w:val="16"/>
                <w:lang w:eastAsia="en-AU"/>
              </w:rPr>
              <w:t>Other commitments</w:t>
            </w:r>
          </w:p>
        </w:tc>
        <w:tc>
          <w:tcPr>
            <w:tcW w:w="110" w:type="dxa"/>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ind w:left="57" w:right="57"/>
              <w:jc w:val="center"/>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 w:val="16"/>
                <w:szCs w:val="16"/>
                <w:lang w:eastAsia="en-AU"/>
              </w:rPr>
            </w:pPr>
          </w:p>
        </w:tc>
        <w:tc>
          <w:tcPr>
            <w:tcW w:w="2888" w:type="dxa"/>
            <w:gridSpan w:val="3"/>
            <w:tcBorders>
              <w:top w:val="nil"/>
              <w:left w:val="nil"/>
              <w:bottom w:val="single" w:sz="6" w:space="0" w:color="FFFFFF" w:themeColor="background1"/>
              <w:right w:val="nil"/>
            </w:tcBorders>
            <w:shd w:val="solid" w:color="000000" w:fill="auto"/>
          </w:tcPr>
          <w:p w:rsidR="00BB6F1F" w:rsidRPr="001B69DB" w:rsidRDefault="00BB6F1F" w:rsidP="00AC68FF">
            <w:pPr>
              <w:keepLines w:val="0"/>
              <w:autoSpaceDE w:val="0"/>
              <w:autoSpaceDN w:val="0"/>
              <w:adjustRightInd w:val="0"/>
              <w:ind w:left="57" w:right="57"/>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B69DB">
              <w:rPr>
                <w:rFonts w:eastAsiaTheme="minorEastAsia" w:cs="Calibri"/>
                <w:iCs/>
                <w:color w:val="FFFFFF"/>
                <w:sz w:val="16"/>
                <w:szCs w:val="16"/>
                <w:lang w:eastAsia="en-AU"/>
              </w:rPr>
              <w:t>Other commitments</w:t>
            </w:r>
          </w:p>
        </w:tc>
      </w:tr>
      <w:tr w:rsidR="00BB6F1F" w:rsidRPr="00E44122" w:rsidTr="00840C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shd w:val="solid" w:color="000000" w:fill="auto"/>
          </w:tcPr>
          <w:p w:rsidR="00BB6F1F" w:rsidRPr="001B69DB" w:rsidRDefault="00BB6F1F" w:rsidP="00AC68FF">
            <w:pPr>
              <w:keepLines w:val="0"/>
              <w:autoSpaceDE w:val="0"/>
              <w:autoSpaceDN w:val="0"/>
              <w:adjustRightInd w:val="0"/>
              <w:jc w:val="right"/>
              <w:rPr>
                <w:rFonts w:eastAsiaTheme="minorEastAsia" w:cs="Calibri"/>
                <w:iCs/>
                <w:color w:val="FFFFFF"/>
                <w:sz w:val="16"/>
                <w:szCs w:val="16"/>
                <w:lang w:eastAsia="en-AU"/>
              </w:rPr>
            </w:pPr>
            <w:r w:rsidRPr="001B69DB">
              <w:rPr>
                <w:rFonts w:eastAsiaTheme="minorEastAsia" w:cs="Calibri"/>
                <w:iCs/>
                <w:color w:val="FFFFFF"/>
                <w:sz w:val="16"/>
                <w:szCs w:val="16"/>
                <w:lang w:eastAsia="en-AU"/>
              </w:rPr>
              <w:t xml:space="preserve"> </w:t>
            </w:r>
          </w:p>
        </w:tc>
        <w:tc>
          <w:tcPr>
            <w:tcW w:w="1175" w:type="dxa"/>
            <w:gridSpan w:val="3"/>
            <w:tcBorders>
              <w:top w:val="nil"/>
              <w:left w:val="nil"/>
              <w:bottom w:val="nil"/>
              <w:right w:val="nil"/>
            </w:tcBorders>
            <w:shd w:val="solid" w:color="000000" w:fill="auto"/>
          </w:tcPr>
          <w:p w:rsidR="00BB6F1F" w:rsidRPr="001B69DB"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B69DB">
              <w:rPr>
                <w:rFonts w:eastAsiaTheme="minorEastAsia" w:cs="Calibri"/>
                <w:iCs/>
                <w:color w:val="FFFFFF"/>
                <w:sz w:val="16"/>
                <w:szCs w:val="16"/>
                <w:lang w:eastAsia="en-AU"/>
              </w:rPr>
              <w:t xml:space="preserve"> </w:t>
            </w:r>
          </w:p>
        </w:tc>
        <w:tc>
          <w:tcPr>
            <w:tcW w:w="1077" w:type="dxa"/>
            <w:tcBorders>
              <w:top w:val="nil"/>
              <w:left w:val="nil"/>
              <w:bottom w:val="nil"/>
              <w:right w:val="nil"/>
            </w:tcBorders>
            <w:shd w:val="solid" w:color="000000" w:fill="auto"/>
          </w:tcPr>
          <w:p w:rsidR="00BB6F1F" w:rsidRPr="001B69DB" w:rsidRDefault="00BB6F1F" w:rsidP="00B933F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B69DB">
              <w:rPr>
                <w:rFonts w:eastAsiaTheme="minorEastAsia" w:cs="Calibri"/>
                <w:iCs/>
                <w:color w:val="FFFFFF"/>
                <w:sz w:val="16"/>
                <w:szCs w:val="16"/>
                <w:lang w:eastAsia="en-AU"/>
              </w:rPr>
              <w:t>Present</w:t>
            </w:r>
            <w:r w:rsidR="00B933FD">
              <w:rPr>
                <w:rFonts w:eastAsiaTheme="minorEastAsia" w:cs="Calibri"/>
                <w:iCs/>
                <w:color w:val="FFFFFF"/>
                <w:sz w:val="16"/>
                <w:szCs w:val="16"/>
                <w:lang w:eastAsia="en-AU"/>
              </w:rPr>
              <w:br/>
            </w:r>
            <w:r w:rsidRPr="001B69DB">
              <w:rPr>
                <w:rFonts w:eastAsiaTheme="minorEastAsia" w:cs="Calibri"/>
                <w:iCs/>
                <w:color w:val="FFFFFF"/>
                <w:sz w:val="16"/>
                <w:szCs w:val="16"/>
                <w:lang w:eastAsia="en-AU"/>
              </w:rPr>
              <w:t>value</w:t>
            </w:r>
          </w:p>
        </w:tc>
        <w:tc>
          <w:tcPr>
            <w:tcW w:w="1077" w:type="dxa"/>
            <w:tcBorders>
              <w:top w:val="nil"/>
              <w:left w:val="nil"/>
              <w:bottom w:val="nil"/>
              <w:right w:val="nil"/>
            </w:tcBorders>
            <w:shd w:val="solid" w:color="000000" w:fill="auto"/>
          </w:tcPr>
          <w:p w:rsidR="00BB6F1F" w:rsidRPr="001B69DB" w:rsidRDefault="00BB6F1F" w:rsidP="00B933F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B69DB">
              <w:rPr>
                <w:rFonts w:eastAsiaTheme="minorEastAsia" w:cs="Calibri"/>
                <w:iCs/>
                <w:color w:val="FFFFFF"/>
                <w:sz w:val="16"/>
                <w:szCs w:val="16"/>
                <w:lang w:eastAsia="en-AU"/>
              </w:rPr>
              <w:t>Nominal</w:t>
            </w:r>
            <w:r w:rsidR="00B933FD">
              <w:rPr>
                <w:rFonts w:eastAsiaTheme="minorEastAsia" w:cs="Calibri"/>
                <w:iCs/>
                <w:color w:val="FFFFFF"/>
                <w:sz w:val="16"/>
                <w:szCs w:val="16"/>
                <w:lang w:eastAsia="en-AU"/>
              </w:rPr>
              <w:br/>
            </w:r>
            <w:r w:rsidRPr="001B69DB">
              <w:rPr>
                <w:rFonts w:eastAsiaTheme="minorEastAsia" w:cs="Calibri"/>
                <w:iCs/>
                <w:color w:val="FFFFFF"/>
                <w:sz w:val="16"/>
                <w:szCs w:val="16"/>
                <w:lang w:eastAsia="en-AU"/>
              </w:rPr>
              <w:t>value</w:t>
            </w:r>
          </w:p>
        </w:tc>
        <w:tc>
          <w:tcPr>
            <w:tcW w:w="886" w:type="dxa"/>
            <w:gridSpan w:val="2"/>
            <w:tcBorders>
              <w:top w:val="nil"/>
              <w:left w:val="nil"/>
              <w:bottom w:val="nil"/>
              <w:right w:val="nil"/>
            </w:tcBorders>
            <w:shd w:val="solid" w:color="000000" w:fill="auto"/>
          </w:tcPr>
          <w:p w:rsidR="00BB6F1F" w:rsidRPr="001B69DB"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B69DB">
              <w:rPr>
                <w:rFonts w:eastAsiaTheme="minorEastAsia" w:cs="Calibri"/>
                <w:iCs/>
                <w:color w:val="FFFFFF"/>
                <w:sz w:val="16"/>
                <w:szCs w:val="16"/>
                <w:lang w:eastAsia="en-AU"/>
              </w:rPr>
              <w:t xml:space="preserve"> </w:t>
            </w:r>
          </w:p>
        </w:tc>
        <w:tc>
          <w:tcPr>
            <w:tcW w:w="1019" w:type="dxa"/>
            <w:tcBorders>
              <w:top w:val="nil"/>
              <w:left w:val="nil"/>
              <w:bottom w:val="nil"/>
              <w:right w:val="nil"/>
            </w:tcBorders>
            <w:shd w:val="solid" w:color="000000" w:fill="auto"/>
          </w:tcPr>
          <w:p w:rsidR="00BB6F1F" w:rsidRPr="001B69DB" w:rsidRDefault="00BB6F1F" w:rsidP="00B933F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B69DB">
              <w:rPr>
                <w:rFonts w:eastAsiaTheme="minorEastAsia" w:cs="Calibri"/>
                <w:iCs/>
                <w:color w:val="FFFFFF"/>
                <w:sz w:val="16"/>
                <w:szCs w:val="16"/>
                <w:lang w:eastAsia="en-AU"/>
              </w:rPr>
              <w:t>Present</w:t>
            </w:r>
            <w:r w:rsidR="00B933FD">
              <w:rPr>
                <w:rFonts w:eastAsiaTheme="minorEastAsia" w:cs="Calibri"/>
                <w:iCs/>
                <w:color w:val="FFFFFF"/>
                <w:sz w:val="16"/>
                <w:szCs w:val="16"/>
                <w:lang w:eastAsia="en-AU"/>
              </w:rPr>
              <w:br/>
            </w:r>
            <w:r w:rsidRPr="001B69DB">
              <w:rPr>
                <w:rFonts w:eastAsiaTheme="minorEastAsia" w:cs="Calibri"/>
                <w:iCs/>
                <w:color w:val="FFFFFF"/>
                <w:sz w:val="16"/>
                <w:szCs w:val="16"/>
                <w:lang w:eastAsia="en-AU"/>
              </w:rPr>
              <w:t>value</w:t>
            </w:r>
          </w:p>
        </w:tc>
        <w:tc>
          <w:tcPr>
            <w:tcW w:w="1066" w:type="dxa"/>
            <w:tcBorders>
              <w:top w:val="nil"/>
              <w:left w:val="nil"/>
              <w:bottom w:val="nil"/>
              <w:right w:val="nil"/>
            </w:tcBorders>
            <w:shd w:val="solid" w:color="000000" w:fill="auto"/>
          </w:tcPr>
          <w:p w:rsidR="00BB6F1F" w:rsidRPr="001B69DB" w:rsidRDefault="00BB6F1F" w:rsidP="00B933F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B69DB">
              <w:rPr>
                <w:rFonts w:eastAsiaTheme="minorEastAsia" w:cs="Calibri"/>
                <w:iCs/>
                <w:color w:val="FFFFFF"/>
                <w:sz w:val="16"/>
                <w:szCs w:val="16"/>
                <w:lang w:eastAsia="en-AU"/>
              </w:rPr>
              <w:t>Nominal</w:t>
            </w:r>
            <w:r w:rsidR="00B933FD">
              <w:rPr>
                <w:rFonts w:eastAsiaTheme="minorEastAsia" w:cs="Calibri"/>
                <w:iCs/>
                <w:color w:val="FFFFFF"/>
                <w:sz w:val="16"/>
                <w:szCs w:val="16"/>
                <w:lang w:eastAsia="en-AU"/>
              </w:rPr>
              <w:br/>
            </w:r>
            <w:r w:rsidRPr="001B69DB">
              <w:rPr>
                <w:rFonts w:eastAsiaTheme="minorEastAsia" w:cs="Calibri"/>
                <w:iCs/>
                <w:color w:val="FFFFFF"/>
                <w:sz w:val="16"/>
                <w:szCs w:val="16"/>
                <w:lang w:eastAsia="en-AU"/>
              </w:rPr>
              <w:t>value</w:t>
            </w:r>
          </w:p>
        </w:tc>
        <w:tc>
          <w:tcPr>
            <w:tcW w:w="896" w:type="dxa"/>
            <w:gridSpan w:val="2"/>
            <w:tcBorders>
              <w:top w:val="nil"/>
              <w:left w:val="nil"/>
              <w:bottom w:val="nil"/>
              <w:right w:val="nil"/>
            </w:tcBorders>
            <w:shd w:val="solid" w:color="000000" w:fill="auto"/>
          </w:tcPr>
          <w:p w:rsidR="00BB6F1F" w:rsidRPr="001B69DB"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B69DB">
              <w:rPr>
                <w:rFonts w:eastAsiaTheme="minorEastAsia" w:cs="Calibri"/>
                <w:iCs/>
                <w:color w:val="FFFFFF"/>
                <w:sz w:val="16"/>
                <w:szCs w:val="16"/>
                <w:lang w:eastAsia="en-AU"/>
              </w:rPr>
              <w:t xml:space="preserve"> </w:t>
            </w:r>
          </w:p>
        </w:tc>
        <w:tc>
          <w:tcPr>
            <w:tcW w:w="1066" w:type="dxa"/>
            <w:tcBorders>
              <w:top w:val="nil"/>
              <w:left w:val="nil"/>
              <w:bottom w:val="nil"/>
              <w:right w:val="nil"/>
            </w:tcBorders>
            <w:shd w:val="solid" w:color="000000" w:fill="auto"/>
          </w:tcPr>
          <w:p w:rsidR="00BB6F1F" w:rsidRPr="001B69DB" w:rsidRDefault="00BB6F1F" w:rsidP="00B933F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B69DB">
              <w:rPr>
                <w:rFonts w:eastAsiaTheme="minorEastAsia" w:cs="Calibri"/>
                <w:iCs/>
                <w:color w:val="FFFFFF"/>
                <w:sz w:val="16"/>
                <w:szCs w:val="16"/>
                <w:lang w:eastAsia="en-AU"/>
              </w:rPr>
              <w:t>Present</w:t>
            </w:r>
            <w:r w:rsidR="00B933FD">
              <w:rPr>
                <w:rFonts w:eastAsiaTheme="minorEastAsia" w:cs="Calibri"/>
                <w:iCs/>
                <w:color w:val="FFFFFF"/>
                <w:sz w:val="16"/>
                <w:szCs w:val="16"/>
                <w:lang w:eastAsia="en-AU"/>
              </w:rPr>
              <w:br/>
            </w:r>
            <w:r w:rsidRPr="001B69DB">
              <w:rPr>
                <w:rFonts w:eastAsiaTheme="minorEastAsia" w:cs="Calibri"/>
                <w:iCs/>
                <w:color w:val="FFFFFF"/>
                <w:sz w:val="16"/>
                <w:szCs w:val="16"/>
                <w:lang w:eastAsia="en-AU"/>
              </w:rPr>
              <w:t>value</w:t>
            </w:r>
          </w:p>
        </w:tc>
        <w:tc>
          <w:tcPr>
            <w:tcW w:w="1077" w:type="dxa"/>
            <w:tcBorders>
              <w:top w:val="nil"/>
              <w:left w:val="nil"/>
              <w:bottom w:val="nil"/>
              <w:right w:val="nil"/>
            </w:tcBorders>
            <w:shd w:val="solid" w:color="000000" w:fill="auto"/>
          </w:tcPr>
          <w:p w:rsidR="00BB6F1F" w:rsidRPr="001B69DB" w:rsidRDefault="00BB6F1F" w:rsidP="00B933F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B69DB">
              <w:rPr>
                <w:rFonts w:eastAsiaTheme="minorEastAsia" w:cs="Calibri"/>
                <w:iCs/>
                <w:color w:val="FFFFFF"/>
                <w:sz w:val="16"/>
                <w:szCs w:val="16"/>
                <w:lang w:eastAsia="en-AU"/>
              </w:rPr>
              <w:t>Nominal</w:t>
            </w:r>
            <w:r w:rsidR="00B933FD">
              <w:rPr>
                <w:rFonts w:eastAsiaTheme="minorEastAsia" w:cs="Calibri"/>
                <w:iCs/>
                <w:color w:val="FFFFFF"/>
                <w:sz w:val="16"/>
                <w:szCs w:val="16"/>
                <w:lang w:eastAsia="en-AU"/>
              </w:rPr>
              <w:br/>
            </w:r>
            <w:r w:rsidRPr="001B69DB">
              <w:rPr>
                <w:rFonts w:eastAsiaTheme="minorEastAsia" w:cs="Calibri"/>
                <w:iCs/>
                <w:color w:val="FFFFFF"/>
                <w:sz w:val="16"/>
                <w:szCs w:val="16"/>
                <w:lang w:eastAsia="en-AU"/>
              </w:rPr>
              <w:t>value</w:t>
            </w:r>
          </w:p>
        </w:tc>
        <w:tc>
          <w:tcPr>
            <w:tcW w:w="890" w:type="dxa"/>
            <w:gridSpan w:val="2"/>
            <w:tcBorders>
              <w:top w:val="nil"/>
              <w:left w:val="nil"/>
              <w:bottom w:val="nil"/>
              <w:right w:val="nil"/>
            </w:tcBorders>
            <w:shd w:val="solid" w:color="000000" w:fill="auto"/>
          </w:tcPr>
          <w:p w:rsidR="00BB6F1F" w:rsidRPr="001B69DB"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B69DB">
              <w:rPr>
                <w:rFonts w:eastAsiaTheme="minorEastAsia" w:cs="Calibri"/>
                <w:iCs/>
                <w:color w:val="FFFFFF"/>
                <w:sz w:val="16"/>
                <w:szCs w:val="16"/>
                <w:lang w:eastAsia="en-AU"/>
              </w:rPr>
              <w:t xml:space="preserve"> </w:t>
            </w:r>
          </w:p>
        </w:tc>
        <w:tc>
          <w:tcPr>
            <w:tcW w:w="1054" w:type="dxa"/>
            <w:tcBorders>
              <w:top w:val="nil"/>
              <w:left w:val="nil"/>
              <w:bottom w:val="nil"/>
              <w:right w:val="nil"/>
            </w:tcBorders>
            <w:shd w:val="solid" w:color="000000" w:fill="auto"/>
          </w:tcPr>
          <w:p w:rsidR="00BB6F1F" w:rsidRPr="001B69DB" w:rsidRDefault="00BB6F1F" w:rsidP="00B933F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B69DB">
              <w:rPr>
                <w:rFonts w:eastAsiaTheme="minorEastAsia" w:cs="Calibri"/>
                <w:iCs/>
                <w:color w:val="FFFFFF"/>
                <w:sz w:val="16"/>
                <w:szCs w:val="16"/>
                <w:lang w:eastAsia="en-AU"/>
              </w:rPr>
              <w:t>Present</w:t>
            </w:r>
            <w:r w:rsidR="00B933FD">
              <w:rPr>
                <w:rFonts w:eastAsiaTheme="minorEastAsia" w:cs="Calibri"/>
                <w:iCs/>
                <w:color w:val="FFFFFF"/>
                <w:sz w:val="16"/>
                <w:szCs w:val="16"/>
                <w:lang w:eastAsia="en-AU"/>
              </w:rPr>
              <w:br/>
            </w:r>
            <w:r w:rsidRPr="001B69DB">
              <w:rPr>
                <w:rFonts w:eastAsiaTheme="minorEastAsia" w:cs="Calibri"/>
                <w:iCs/>
                <w:color w:val="FFFFFF"/>
                <w:sz w:val="16"/>
                <w:szCs w:val="16"/>
                <w:lang w:eastAsia="en-AU"/>
              </w:rPr>
              <w:t>value</w:t>
            </w:r>
          </w:p>
        </w:tc>
        <w:tc>
          <w:tcPr>
            <w:tcW w:w="1054" w:type="dxa"/>
            <w:tcBorders>
              <w:top w:val="nil"/>
              <w:left w:val="nil"/>
              <w:bottom w:val="nil"/>
              <w:right w:val="nil"/>
            </w:tcBorders>
            <w:shd w:val="solid" w:color="000000" w:fill="auto"/>
          </w:tcPr>
          <w:p w:rsidR="00BB6F1F" w:rsidRPr="001B69DB" w:rsidRDefault="00BB6F1F" w:rsidP="00B933F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B69DB">
              <w:rPr>
                <w:rFonts w:eastAsiaTheme="minorEastAsia" w:cs="Calibri"/>
                <w:iCs/>
                <w:color w:val="FFFFFF"/>
                <w:sz w:val="16"/>
                <w:szCs w:val="16"/>
                <w:lang w:eastAsia="en-AU"/>
              </w:rPr>
              <w:t>Nominal</w:t>
            </w:r>
            <w:r w:rsidR="00B933FD">
              <w:rPr>
                <w:rFonts w:eastAsiaTheme="minorEastAsia" w:cs="Calibri"/>
                <w:iCs/>
                <w:color w:val="FFFFFF"/>
                <w:sz w:val="16"/>
                <w:szCs w:val="16"/>
                <w:lang w:eastAsia="en-AU"/>
              </w:rPr>
              <w:br/>
            </w:r>
            <w:r w:rsidRPr="001B69DB">
              <w:rPr>
                <w:rFonts w:eastAsiaTheme="minorEastAsia" w:cs="Calibri"/>
                <w:iCs/>
                <w:color w:val="FFFFFF"/>
                <w:sz w:val="16"/>
                <w:szCs w:val="16"/>
                <w:lang w:eastAsia="en-AU"/>
              </w:rPr>
              <w:t>value</w:t>
            </w:r>
          </w:p>
        </w:tc>
      </w:tr>
      <w:tr w:rsidR="00BB6F1F" w:rsidRPr="00E44122" w:rsidTr="00840C7A">
        <w:trPr>
          <w:trHeight w:hRule="exact" w:val="120"/>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1175"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88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r>
      <w:tr w:rsidR="00BB6F1F" w:rsidRPr="00E44122" w:rsidTr="00840C7A">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Commissioned public private partnerships other commitments</w:t>
            </w:r>
          </w:p>
        </w:tc>
        <w:tc>
          <w:tcPr>
            <w:tcW w:w="1175"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88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r>
      <w:tr w:rsidR="00BB6F1F" w:rsidRPr="00E44122" w:rsidTr="00840C7A">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lang w:eastAsia="en-AU"/>
              </w:rPr>
            </w:pPr>
            <w:proofErr w:type="spellStart"/>
            <w:r w:rsidRPr="00E44122">
              <w:rPr>
                <w:rFonts w:eastAsiaTheme="minorEastAsia" w:cs="Calibri"/>
                <w:color w:val="000000"/>
                <w:sz w:val="16"/>
                <w:szCs w:val="16"/>
                <w:lang w:eastAsia="en-AU"/>
              </w:rPr>
              <w:t>AgriBio</w:t>
            </w:r>
            <w:proofErr w:type="spellEnd"/>
            <w:r w:rsidRPr="00E44122">
              <w:rPr>
                <w:rFonts w:eastAsiaTheme="minorEastAsia" w:cs="Calibri"/>
                <w:color w:val="000000"/>
                <w:sz w:val="16"/>
                <w:szCs w:val="16"/>
                <w:lang w:eastAsia="en-AU"/>
              </w:rPr>
              <w:t xml:space="preserve"> Project</w:t>
            </w:r>
          </w:p>
        </w:tc>
        <w:tc>
          <w:tcPr>
            <w:tcW w:w="1175"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120</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297</w:t>
            </w:r>
          </w:p>
        </w:tc>
        <w:tc>
          <w:tcPr>
            <w:tcW w:w="88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120</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297</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121</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298</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121</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298</w:t>
            </w:r>
          </w:p>
        </w:tc>
      </w:tr>
      <w:tr w:rsidR="00BB6F1F" w:rsidRPr="00E44122" w:rsidTr="00840C7A">
        <w:tc>
          <w:tcPr>
            <w:cnfStyle w:val="001000000000" w:firstRow="0" w:lastRow="0" w:firstColumn="1" w:lastColumn="0" w:oddVBand="0" w:evenVBand="0" w:oddHBand="0" w:evenHBand="0" w:firstRowFirstColumn="0" w:firstRowLastColumn="0" w:lastRowFirstColumn="0" w:lastRowLastColumn="0"/>
            <w:tcW w:w="2409" w:type="dxa"/>
            <w:gridSpan w:val="3"/>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vertAlign w:val="superscript"/>
                <w:lang w:eastAsia="en-AU"/>
              </w:rPr>
            </w:pPr>
            <w:r w:rsidRPr="00E44122">
              <w:rPr>
                <w:rFonts w:eastAsiaTheme="minorEastAsia" w:cs="Calibri"/>
                <w:color w:val="000000"/>
                <w:sz w:val="16"/>
                <w:szCs w:val="16"/>
                <w:lang w:eastAsia="en-AU"/>
              </w:rPr>
              <w:t xml:space="preserve">Bendigo Hospital – stage one </w:t>
            </w:r>
            <w:r w:rsidRPr="00E44122">
              <w:rPr>
                <w:rFonts w:eastAsiaTheme="minorEastAsia" w:cs="Calibri"/>
                <w:color w:val="000000"/>
                <w:sz w:val="16"/>
                <w:szCs w:val="16"/>
                <w:vertAlign w:val="superscript"/>
                <w:lang w:eastAsia="en-AU"/>
              </w:rPr>
              <w:t>(c)</w:t>
            </w:r>
          </w:p>
        </w:tc>
        <w:tc>
          <w:tcPr>
            <w:tcW w:w="97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562</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1 316</w:t>
            </w:r>
          </w:p>
        </w:tc>
        <w:tc>
          <w:tcPr>
            <w:tcW w:w="88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562</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1 316</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r>
      <w:tr w:rsidR="00BB6F1F" w:rsidRPr="00E44122" w:rsidTr="00840C7A">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lang w:eastAsia="en-AU"/>
              </w:rPr>
            </w:pPr>
            <w:r w:rsidRPr="00E44122">
              <w:rPr>
                <w:rFonts w:eastAsiaTheme="minorEastAsia" w:cs="Calibri"/>
                <w:color w:val="000000"/>
                <w:sz w:val="16"/>
                <w:szCs w:val="16"/>
                <w:lang w:eastAsia="en-AU"/>
              </w:rPr>
              <w:t>Barwon Water</w:t>
            </w:r>
          </w:p>
        </w:tc>
        <w:tc>
          <w:tcPr>
            <w:tcW w:w="1175"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64</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104</w:t>
            </w:r>
          </w:p>
        </w:tc>
        <w:tc>
          <w:tcPr>
            <w:tcW w:w="88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66</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110</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r>
      <w:tr w:rsidR="00BB6F1F" w:rsidRPr="00E44122" w:rsidTr="00840C7A">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vertAlign w:val="superscript"/>
                <w:lang w:eastAsia="en-AU"/>
              </w:rPr>
            </w:pPr>
            <w:r w:rsidRPr="00E44122">
              <w:rPr>
                <w:rFonts w:eastAsiaTheme="minorEastAsia" w:cs="Calibri"/>
                <w:color w:val="000000"/>
                <w:sz w:val="16"/>
                <w:szCs w:val="16"/>
                <w:lang w:eastAsia="en-AU"/>
              </w:rPr>
              <w:t xml:space="preserve">Casey Hospital </w:t>
            </w:r>
            <w:r w:rsidRPr="00E44122">
              <w:rPr>
                <w:rFonts w:eastAsiaTheme="minorEastAsia" w:cs="Calibri"/>
                <w:color w:val="000000"/>
                <w:sz w:val="16"/>
                <w:szCs w:val="16"/>
                <w:vertAlign w:val="superscript"/>
                <w:lang w:eastAsia="en-AU"/>
              </w:rPr>
              <w:t>(c)</w:t>
            </w:r>
          </w:p>
        </w:tc>
        <w:tc>
          <w:tcPr>
            <w:tcW w:w="1175"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66</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107</w:t>
            </w:r>
          </w:p>
        </w:tc>
        <w:tc>
          <w:tcPr>
            <w:tcW w:w="88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66</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107</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68</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112</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68</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112</w:t>
            </w:r>
          </w:p>
        </w:tc>
      </w:tr>
      <w:tr w:rsidR="00BB6F1F" w:rsidRPr="00E44122" w:rsidTr="00840C7A">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lang w:eastAsia="en-AU"/>
              </w:rPr>
            </w:pPr>
            <w:r w:rsidRPr="00E44122">
              <w:rPr>
                <w:rFonts w:eastAsiaTheme="minorEastAsia" w:cs="Calibri"/>
                <w:color w:val="000000"/>
                <w:sz w:val="16"/>
                <w:szCs w:val="16"/>
                <w:lang w:eastAsia="en-AU"/>
              </w:rPr>
              <w:t>Central Highlands Water</w:t>
            </w:r>
          </w:p>
        </w:tc>
        <w:tc>
          <w:tcPr>
            <w:tcW w:w="1175"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53</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59</w:t>
            </w:r>
          </w:p>
        </w:tc>
        <w:tc>
          <w:tcPr>
            <w:tcW w:w="88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59</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73</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r>
      <w:tr w:rsidR="00BB6F1F" w:rsidRPr="00E44122" w:rsidTr="00840C7A">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lang w:eastAsia="en-AU"/>
              </w:rPr>
            </w:pPr>
            <w:proofErr w:type="spellStart"/>
            <w:r w:rsidRPr="00E44122">
              <w:rPr>
                <w:rFonts w:eastAsiaTheme="minorEastAsia" w:cs="Calibri"/>
                <w:color w:val="000000"/>
                <w:sz w:val="16"/>
                <w:szCs w:val="16"/>
                <w:lang w:eastAsia="en-AU"/>
              </w:rPr>
              <w:t>Coliban</w:t>
            </w:r>
            <w:proofErr w:type="spellEnd"/>
            <w:r w:rsidRPr="00E44122">
              <w:rPr>
                <w:rFonts w:eastAsiaTheme="minorEastAsia" w:cs="Calibri"/>
                <w:color w:val="000000"/>
                <w:sz w:val="16"/>
                <w:szCs w:val="16"/>
                <w:lang w:eastAsia="en-AU"/>
              </w:rPr>
              <w:t xml:space="preserve"> Water</w:t>
            </w:r>
          </w:p>
        </w:tc>
        <w:tc>
          <w:tcPr>
            <w:tcW w:w="1175"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81</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96</w:t>
            </w:r>
          </w:p>
        </w:tc>
        <w:tc>
          <w:tcPr>
            <w:tcW w:w="88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84</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132</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r>
      <w:tr w:rsidR="00BB6F1F" w:rsidRPr="00E44122" w:rsidTr="00840C7A">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lang w:eastAsia="en-AU"/>
              </w:rPr>
            </w:pPr>
            <w:r w:rsidRPr="00E44122">
              <w:rPr>
                <w:rFonts w:eastAsiaTheme="minorEastAsia" w:cs="Calibri"/>
                <w:color w:val="000000"/>
                <w:sz w:val="16"/>
                <w:szCs w:val="16"/>
                <w:lang w:eastAsia="en-AU"/>
              </w:rPr>
              <w:t>County Court</w:t>
            </w:r>
          </w:p>
        </w:tc>
        <w:tc>
          <w:tcPr>
            <w:tcW w:w="1175"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57</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70</w:t>
            </w:r>
          </w:p>
        </w:tc>
        <w:tc>
          <w:tcPr>
            <w:tcW w:w="88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57</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70</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68</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83</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68</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83</w:t>
            </w:r>
          </w:p>
        </w:tc>
      </w:tr>
      <w:tr w:rsidR="00BB6F1F" w:rsidRPr="00E44122" w:rsidTr="00840C7A">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Emergency Service Telecommunications </w:t>
            </w:r>
          </w:p>
        </w:tc>
        <w:tc>
          <w:tcPr>
            <w:tcW w:w="1175"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58</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58</w:t>
            </w:r>
          </w:p>
        </w:tc>
        <w:tc>
          <w:tcPr>
            <w:tcW w:w="88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58</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58</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65</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65</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65</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65</w:t>
            </w:r>
          </w:p>
        </w:tc>
      </w:tr>
      <w:tr w:rsidR="00BB6F1F" w:rsidRPr="00E44122" w:rsidTr="00840C7A">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lang w:eastAsia="en-AU"/>
              </w:rPr>
            </w:pPr>
            <w:r w:rsidRPr="00E44122">
              <w:rPr>
                <w:rFonts w:eastAsiaTheme="minorEastAsia" w:cs="Calibri"/>
                <w:color w:val="000000"/>
                <w:sz w:val="16"/>
                <w:szCs w:val="16"/>
                <w:lang w:eastAsia="en-AU"/>
              </w:rPr>
              <w:t>Melbourne Convention Centre – stage one</w:t>
            </w:r>
          </w:p>
        </w:tc>
        <w:tc>
          <w:tcPr>
            <w:tcW w:w="1175"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213</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402</w:t>
            </w:r>
          </w:p>
        </w:tc>
        <w:tc>
          <w:tcPr>
            <w:tcW w:w="88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213</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402</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237</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464</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237</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464</w:t>
            </w:r>
          </w:p>
        </w:tc>
      </w:tr>
      <w:tr w:rsidR="00BB6F1F" w:rsidRPr="00E44122" w:rsidTr="00840C7A">
        <w:tc>
          <w:tcPr>
            <w:cnfStyle w:val="001000000000" w:firstRow="0" w:lastRow="0" w:firstColumn="1" w:lastColumn="0" w:oddVBand="0" w:evenVBand="0" w:oddHBand="0" w:evenHBand="0" w:firstRowFirstColumn="0" w:firstRowLastColumn="0" w:lastRowFirstColumn="0" w:lastRowLastColumn="0"/>
            <w:tcW w:w="2409" w:type="dxa"/>
            <w:gridSpan w:val="3"/>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lang w:eastAsia="en-AU"/>
              </w:rPr>
            </w:pPr>
            <w:r w:rsidRPr="00E44122">
              <w:rPr>
                <w:rFonts w:eastAsiaTheme="minorEastAsia" w:cs="Calibri"/>
                <w:color w:val="000000"/>
                <w:sz w:val="16"/>
                <w:szCs w:val="16"/>
                <w:lang w:eastAsia="en-AU"/>
              </w:rPr>
              <w:t>New Schools PPP – tranche one</w:t>
            </w:r>
          </w:p>
        </w:tc>
        <w:tc>
          <w:tcPr>
            <w:tcW w:w="97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114</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224</w:t>
            </w:r>
          </w:p>
        </w:tc>
        <w:tc>
          <w:tcPr>
            <w:tcW w:w="88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114</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224</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r>
      <w:tr w:rsidR="00BB6F1F" w:rsidRPr="00E44122" w:rsidTr="00840C7A">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lang w:eastAsia="en-AU"/>
              </w:rPr>
            </w:pPr>
            <w:r w:rsidRPr="00E44122">
              <w:rPr>
                <w:rFonts w:eastAsiaTheme="minorEastAsia" w:cs="Calibri"/>
                <w:color w:val="000000"/>
                <w:sz w:val="16"/>
                <w:szCs w:val="16"/>
                <w:lang w:eastAsia="en-AU"/>
              </w:rPr>
              <w:t>Peninsula Link</w:t>
            </w:r>
          </w:p>
        </w:tc>
        <w:tc>
          <w:tcPr>
            <w:tcW w:w="1175"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208</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450</w:t>
            </w:r>
          </w:p>
        </w:tc>
        <w:tc>
          <w:tcPr>
            <w:tcW w:w="88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208</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450</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186</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461</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186</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461</w:t>
            </w:r>
          </w:p>
        </w:tc>
      </w:tr>
      <w:tr w:rsidR="00BB6F1F" w:rsidRPr="00E44122" w:rsidTr="00840C7A">
        <w:tc>
          <w:tcPr>
            <w:cnfStyle w:val="001000000000" w:firstRow="0" w:lastRow="0" w:firstColumn="1" w:lastColumn="0" w:oddVBand="0" w:evenVBand="0" w:oddHBand="0" w:evenHBand="0" w:firstRowFirstColumn="0" w:firstRowLastColumn="0" w:lastRowFirstColumn="0" w:lastRowLastColumn="0"/>
            <w:tcW w:w="2409" w:type="dxa"/>
            <w:gridSpan w:val="3"/>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lang w:eastAsia="en-AU"/>
              </w:rPr>
            </w:pPr>
            <w:r w:rsidRPr="00E44122">
              <w:rPr>
                <w:rFonts w:eastAsiaTheme="minorEastAsia" w:cs="Calibri"/>
                <w:color w:val="000000"/>
                <w:sz w:val="16"/>
                <w:szCs w:val="16"/>
                <w:lang w:eastAsia="en-AU"/>
              </w:rPr>
              <w:t>Partnerships Victoria in Schools</w:t>
            </w:r>
          </w:p>
        </w:tc>
        <w:tc>
          <w:tcPr>
            <w:tcW w:w="97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183</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390</w:t>
            </w:r>
          </w:p>
        </w:tc>
        <w:tc>
          <w:tcPr>
            <w:tcW w:w="88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183</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390</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174</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389</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174</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389</w:t>
            </w:r>
          </w:p>
        </w:tc>
      </w:tr>
      <w:tr w:rsidR="00BB6F1F" w:rsidRPr="00E44122" w:rsidTr="00840C7A">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lang w:eastAsia="en-AU"/>
              </w:rPr>
            </w:pPr>
            <w:r w:rsidRPr="00E44122">
              <w:rPr>
                <w:rFonts w:eastAsiaTheme="minorEastAsia" w:cs="Calibri"/>
                <w:color w:val="000000"/>
                <w:sz w:val="16"/>
                <w:szCs w:val="16"/>
                <w:lang w:eastAsia="en-AU"/>
              </w:rPr>
              <w:t>Prisons</w:t>
            </w:r>
          </w:p>
        </w:tc>
        <w:tc>
          <w:tcPr>
            <w:tcW w:w="1175"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1 471</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1 911</w:t>
            </w:r>
          </w:p>
        </w:tc>
        <w:tc>
          <w:tcPr>
            <w:tcW w:w="88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1 471</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1 911</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1 467</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1 819</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1 467</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1 819</w:t>
            </w:r>
          </w:p>
        </w:tc>
      </w:tr>
      <w:tr w:rsidR="00BB6F1F" w:rsidRPr="00E44122" w:rsidTr="00840C7A">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vertAlign w:val="superscript"/>
                <w:lang w:eastAsia="en-AU"/>
              </w:rPr>
            </w:pPr>
            <w:r w:rsidRPr="00E44122">
              <w:rPr>
                <w:rFonts w:eastAsiaTheme="minorEastAsia" w:cs="Calibri"/>
                <w:color w:val="000000"/>
                <w:sz w:val="16"/>
                <w:szCs w:val="16"/>
                <w:lang w:eastAsia="en-AU"/>
              </w:rPr>
              <w:t xml:space="preserve">Royal Children’s Hospital </w:t>
            </w:r>
            <w:r w:rsidRPr="00E44122">
              <w:rPr>
                <w:rFonts w:eastAsiaTheme="minorEastAsia" w:cs="Calibri"/>
                <w:color w:val="000000"/>
                <w:sz w:val="16"/>
                <w:szCs w:val="16"/>
                <w:vertAlign w:val="superscript"/>
                <w:lang w:eastAsia="en-AU"/>
              </w:rPr>
              <w:t>(c)</w:t>
            </w:r>
          </w:p>
        </w:tc>
        <w:tc>
          <w:tcPr>
            <w:tcW w:w="1175"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375</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777</w:t>
            </w:r>
          </w:p>
        </w:tc>
        <w:tc>
          <w:tcPr>
            <w:tcW w:w="88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375</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777</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373</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803</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373</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803</w:t>
            </w:r>
          </w:p>
        </w:tc>
      </w:tr>
      <w:tr w:rsidR="00BB6F1F" w:rsidRPr="00E44122" w:rsidTr="00840C7A">
        <w:tc>
          <w:tcPr>
            <w:cnfStyle w:val="001000000000" w:firstRow="0" w:lastRow="0" w:firstColumn="1" w:lastColumn="0" w:oddVBand="0" w:evenVBand="0" w:oddHBand="0" w:evenHBand="0" w:firstRowFirstColumn="0" w:firstRowLastColumn="0" w:lastRowFirstColumn="0" w:lastRowLastColumn="0"/>
            <w:tcW w:w="2409" w:type="dxa"/>
            <w:gridSpan w:val="3"/>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vertAlign w:val="superscript"/>
                <w:lang w:eastAsia="en-AU"/>
              </w:rPr>
            </w:pPr>
            <w:r w:rsidRPr="00E44122">
              <w:rPr>
                <w:rFonts w:eastAsiaTheme="minorEastAsia" w:cs="Calibri"/>
                <w:color w:val="000000"/>
                <w:sz w:val="16"/>
                <w:szCs w:val="16"/>
                <w:lang w:eastAsia="en-AU"/>
              </w:rPr>
              <w:t xml:space="preserve">Royal Melbourne Showgrounds </w:t>
            </w:r>
            <w:r w:rsidRPr="00E44122">
              <w:rPr>
                <w:rFonts w:eastAsiaTheme="minorEastAsia" w:cs="Calibri"/>
                <w:color w:val="000000"/>
                <w:sz w:val="16"/>
                <w:szCs w:val="16"/>
                <w:vertAlign w:val="superscript"/>
                <w:lang w:eastAsia="en-AU"/>
              </w:rPr>
              <w:t>(c)</w:t>
            </w:r>
          </w:p>
        </w:tc>
        <w:tc>
          <w:tcPr>
            <w:tcW w:w="97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12</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20</w:t>
            </w:r>
          </w:p>
        </w:tc>
        <w:tc>
          <w:tcPr>
            <w:tcW w:w="88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12</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20</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12</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20</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12</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20</w:t>
            </w:r>
          </w:p>
        </w:tc>
      </w:tr>
      <w:tr w:rsidR="00BB6F1F" w:rsidRPr="00E44122" w:rsidTr="00840C7A">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vertAlign w:val="superscript"/>
                <w:lang w:eastAsia="en-AU"/>
              </w:rPr>
            </w:pPr>
            <w:r w:rsidRPr="00E44122">
              <w:rPr>
                <w:rFonts w:eastAsiaTheme="minorEastAsia" w:cs="Calibri"/>
                <w:color w:val="000000"/>
                <w:sz w:val="16"/>
                <w:szCs w:val="16"/>
                <w:lang w:eastAsia="en-AU"/>
              </w:rPr>
              <w:t xml:space="preserve">Royal Women’s Hospital </w:t>
            </w:r>
            <w:r w:rsidRPr="00E44122">
              <w:rPr>
                <w:rFonts w:eastAsiaTheme="minorEastAsia" w:cs="Calibri"/>
                <w:color w:val="000000"/>
                <w:sz w:val="16"/>
                <w:szCs w:val="16"/>
                <w:vertAlign w:val="superscript"/>
                <w:lang w:eastAsia="en-AU"/>
              </w:rPr>
              <w:t>(c)</w:t>
            </w:r>
          </w:p>
        </w:tc>
        <w:tc>
          <w:tcPr>
            <w:tcW w:w="1175"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207</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376</w:t>
            </w:r>
          </w:p>
        </w:tc>
        <w:tc>
          <w:tcPr>
            <w:tcW w:w="88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207</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376</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213</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399</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213</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399</w:t>
            </w:r>
          </w:p>
        </w:tc>
      </w:tr>
      <w:tr w:rsidR="00BB6F1F" w:rsidRPr="00E44122" w:rsidTr="00840C7A">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lang w:eastAsia="en-AU"/>
              </w:rPr>
            </w:pPr>
            <w:r w:rsidRPr="00E44122">
              <w:rPr>
                <w:rFonts w:eastAsiaTheme="minorEastAsia" w:cs="Calibri"/>
                <w:color w:val="000000"/>
                <w:sz w:val="16"/>
                <w:szCs w:val="16"/>
                <w:lang w:eastAsia="en-AU"/>
              </w:rPr>
              <w:t>Southern Cross Station</w:t>
            </w:r>
          </w:p>
        </w:tc>
        <w:tc>
          <w:tcPr>
            <w:tcW w:w="1175"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263</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575</w:t>
            </w:r>
          </w:p>
        </w:tc>
        <w:tc>
          <w:tcPr>
            <w:tcW w:w="88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263</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575</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262</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595</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262</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595</w:t>
            </w:r>
          </w:p>
        </w:tc>
      </w:tr>
      <w:tr w:rsidR="00BB6F1F" w:rsidRPr="00E44122" w:rsidTr="00840C7A">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vertAlign w:val="superscript"/>
                <w:lang w:eastAsia="en-AU"/>
              </w:rPr>
            </w:pPr>
            <w:r w:rsidRPr="00E44122">
              <w:rPr>
                <w:rFonts w:eastAsiaTheme="minorEastAsia" w:cs="Calibri"/>
                <w:color w:val="000000"/>
                <w:sz w:val="16"/>
                <w:szCs w:val="16"/>
                <w:lang w:eastAsia="en-AU"/>
              </w:rPr>
              <w:t xml:space="preserve">Victorian Comprehensive Cancer Centre (VCCC) </w:t>
            </w:r>
            <w:r w:rsidRPr="00E44122">
              <w:rPr>
                <w:rFonts w:eastAsiaTheme="minorEastAsia" w:cs="Calibri"/>
                <w:color w:val="000000"/>
                <w:sz w:val="16"/>
                <w:szCs w:val="16"/>
                <w:vertAlign w:val="superscript"/>
                <w:lang w:eastAsia="en-AU"/>
              </w:rPr>
              <w:t>(c)</w:t>
            </w:r>
          </w:p>
        </w:tc>
        <w:tc>
          <w:tcPr>
            <w:tcW w:w="1175"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973</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1 819</w:t>
            </w:r>
          </w:p>
        </w:tc>
        <w:tc>
          <w:tcPr>
            <w:tcW w:w="88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973</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1 819</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932</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1 830</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932</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1 830</w:t>
            </w:r>
          </w:p>
        </w:tc>
      </w:tr>
      <w:tr w:rsidR="00BB6F1F" w:rsidRPr="00E44122" w:rsidTr="00840C7A">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single" w:sz="6" w:space="0" w:color="auto"/>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lang w:eastAsia="en-AU"/>
              </w:rPr>
            </w:pPr>
            <w:r w:rsidRPr="00E44122">
              <w:rPr>
                <w:rFonts w:eastAsiaTheme="minorEastAsia" w:cs="Calibri"/>
                <w:color w:val="000000"/>
                <w:sz w:val="16"/>
                <w:szCs w:val="16"/>
                <w:lang w:eastAsia="en-AU"/>
              </w:rPr>
              <w:t>Victorian Desalination Plant</w:t>
            </w:r>
          </w:p>
        </w:tc>
        <w:tc>
          <w:tcPr>
            <w:tcW w:w="1175" w:type="dxa"/>
            <w:gridSpan w:val="3"/>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1 568</w:t>
            </w:r>
          </w:p>
        </w:tc>
        <w:tc>
          <w:tcPr>
            <w:tcW w:w="1077" w:type="dxa"/>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4 520</w:t>
            </w:r>
          </w:p>
        </w:tc>
        <w:tc>
          <w:tcPr>
            <w:tcW w:w="886" w:type="dxa"/>
            <w:gridSpan w:val="2"/>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19" w:type="dxa"/>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1 568</w:t>
            </w:r>
          </w:p>
        </w:tc>
        <w:tc>
          <w:tcPr>
            <w:tcW w:w="1066" w:type="dxa"/>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4 520</w:t>
            </w:r>
          </w:p>
        </w:tc>
        <w:tc>
          <w:tcPr>
            <w:tcW w:w="896" w:type="dxa"/>
            <w:gridSpan w:val="2"/>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66" w:type="dxa"/>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1 587</w:t>
            </w:r>
          </w:p>
        </w:tc>
        <w:tc>
          <w:tcPr>
            <w:tcW w:w="1077" w:type="dxa"/>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4 762</w:t>
            </w:r>
          </w:p>
        </w:tc>
        <w:tc>
          <w:tcPr>
            <w:tcW w:w="890" w:type="dxa"/>
            <w:gridSpan w:val="2"/>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54" w:type="dxa"/>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1 587</w:t>
            </w:r>
          </w:p>
        </w:tc>
        <w:tc>
          <w:tcPr>
            <w:tcW w:w="1054" w:type="dxa"/>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4 762</w:t>
            </w:r>
          </w:p>
        </w:tc>
      </w:tr>
      <w:tr w:rsidR="00BB6F1F" w:rsidRPr="00E44122" w:rsidTr="00840C7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tcBorders>
              <w:top w:val="single" w:sz="6" w:space="0" w:color="auto"/>
              <w:bottom w:val="single" w:sz="12" w:space="0" w:color="auto"/>
            </w:tcBorders>
          </w:tcPr>
          <w:p w:rsidR="00BB6F1F" w:rsidRPr="00E44122" w:rsidRDefault="00BB6F1F" w:rsidP="00AC68FF">
            <w:pPr>
              <w:keepLines w:val="0"/>
              <w:autoSpaceDE w:val="0"/>
              <w:autoSpaceDN w:val="0"/>
              <w:adjustRightInd w:val="0"/>
              <w:rPr>
                <w:rFonts w:eastAsiaTheme="minorEastAsia" w:cs="Calibri"/>
                <w:bCs/>
                <w:color w:val="000000"/>
                <w:sz w:val="16"/>
                <w:szCs w:val="16"/>
                <w:vertAlign w:val="superscript"/>
                <w:lang w:eastAsia="en-AU"/>
              </w:rPr>
            </w:pPr>
            <w:r w:rsidRPr="00E44122">
              <w:rPr>
                <w:rFonts w:eastAsiaTheme="minorEastAsia" w:cs="Calibri"/>
                <w:bCs/>
                <w:color w:val="000000"/>
                <w:sz w:val="16"/>
                <w:szCs w:val="16"/>
                <w:lang w:eastAsia="en-AU"/>
              </w:rPr>
              <w:t xml:space="preserve">Sub-total </w:t>
            </w:r>
            <w:r w:rsidRPr="00E44122">
              <w:rPr>
                <w:rFonts w:eastAsiaTheme="minorEastAsia" w:cs="Calibri"/>
                <w:bCs/>
                <w:color w:val="000000"/>
                <w:sz w:val="16"/>
                <w:szCs w:val="16"/>
                <w:vertAlign w:val="superscript"/>
                <w:lang w:eastAsia="en-AU"/>
              </w:rPr>
              <w:t>(c)</w:t>
            </w:r>
          </w:p>
        </w:tc>
        <w:tc>
          <w:tcPr>
            <w:tcW w:w="1175" w:type="dxa"/>
            <w:gridSpan w:val="3"/>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E44122">
              <w:rPr>
                <w:rFonts w:eastAsiaTheme="minorEastAsia" w:cs="Calibri"/>
                <w:bCs/>
                <w:color w:val="000000"/>
                <w:sz w:val="16"/>
                <w:szCs w:val="16"/>
                <w:lang w:eastAsia="en-AU"/>
              </w:rPr>
              <w:t>6 648</w:t>
            </w:r>
          </w:p>
        </w:tc>
        <w:tc>
          <w:tcPr>
            <w:tcW w:w="1077" w:type="dxa"/>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E44122">
              <w:rPr>
                <w:rFonts w:eastAsiaTheme="minorEastAsia" w:cs="Calibri"/>
                <w:bCs/>
                <w:color w:val="000000"/>
                <w:sz w:val="16"/>
                <w:szCs w:val="16"/>
                <w:lang w:eastAsia="en-AU"/>
              </w:rPr>
              <w:t>13 570</w:t>
            </w:r>
          </w:p>
        </w:tc>
        <w:tc>
          <w:tcPr>
            <w:tcW w:w="886" w:type="dxa"/>
            <w:gridSpan w:val="2"/>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19" w:type="dxa"/>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E44122">
              <w:rPr>
                <w:rFonts w:eastAsiaTheme="minorEastAsia" w:cs="Calibri"/>
                <w:bCs/>
                <w:color w:val="000000"/>
                <w:sz w:val="16"/>
                <w:szCs w:val="16"/>
                <w:lang w:eastAsia="en-AU"/>
              </w:rPr>
              <w:t>6 450</w:t>
            </w:r>
          </w:p>
        </w:tc>
        <w:tc>
          <w:tcPr>
            <w:tcW w:w="1066" w:type="dxa"/>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E44122">
              <w:rPr>
                <w:rFonts w:eastAsiaTheme="minorEastAsia" w:cs="Calibri"/>
                <w:bCs/>
                <w:color w:val="000000"/>
                <w:sz w:val="16"/>
                <w:szCs w:val="16"/>
                <w:lang w:eastAsia="en-AU"/>
              </w:rPr>
              <w:t>13 311</w:t>
            </w:r>
          </w:p>
        </w:tc>
        <w:tc>
          <w:tcPr>
            <w:tcW w:w="896" w:type="dxa"/>
            <w:gridSpan w:val="2"/>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E44122">
              <w:rPr>
                <w:rFonts w:eastAsiaTheme="minorEastAsia" w:cs="Calibri"/>
                <w:bCs/>
                <w:color w:val="000000"/>
                <w:sz w:val="16"/>
                <w:szCs w:val="16"/>
                <w:lang w:eastAsia="en-AU"/>
              </w:rPr>
              <w:t xml:space="preserve"> </w:t>
            </w:r>
          </w:p>
        </w:tc>
        <w:tc>
          <w:tcPr>
            <w:tcW w:w="1066" w:type="dxa"/>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E44122">
              <w:rPr>
                <w:rFonts w:eastAsiaTheme="minorEastAsia" w:cs="Calibri"/>
                <w:bCs/>
                <w:color w:val="000000"/>
                <w:sz w:val="16"/>
                <w:szCs w:val="16"/>
                <w:lang w:eastAsia="en-AU"/>
              </w:rPr>
              <w:t>5 971</w:t>
            </w:r>
          </w:p>
        </w:tc>
        <w:tc>
          <w:tcPr>
            <w:tcW w:w="1077" w:type="dxa"/>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E44122">
              <w:rPr>
                <w:rFonts w:eastAsiaTheme="minorEastAsia" w:cs="Calibri"/>
                <w:bCs/>
                <w:color w:val="000000"/>
                <w:sz w:val="16"/>
                <w:szCs w:val="16"/>
                <w:lang w:eastAsia="en-AU"/>
              </w:rPr>
              <w:t>12 413</w:t>
            </w:r>
          </w:p>
        </w:tc>
        <w:tc>
          <w:tcPr>
            <w:tcW w:w="890" w:type="dxa"/>
            <w:gridSpan w:val="2"/>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E44122">
              <w:rPr>
                <w:rFonts w:eastAsiaTheme="minorEastAsia" w:cs="Calibri"/>
                <w:bCs/>
                <w:color w:val="000000"/>
                <w:sz w:val="16"/>
                <w:szCs w:val="16"/>
                <w:lang w:eastAsia="en-AU"/>
              </w:rPr>
              <w:t xml:space="preserve"> </w:t>
            </w:r>
          </w:p>
        </w:tc>
        <w:tc>
          <w:tcPr>
            <w:tcW w:w="1054" w:type="dxa"/>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E44122">
              <w:rPr>
                <w:rFonts w:eastAsiaTheme="minorEastAsia" w:cs="Calibri"/>
                <w:bCs/>
                <w:color w:val="000000"/>
                <w:sz w:val="16"/>
                <w:szCs w:val="16"/>
                <w:lang w:eastAsia="en-AU"/>
              </w:rPr>
              <w:t>5 763</w:t>
            </w:r>
          </w:p>
        </w:tc>
        <w:tc>
          <w:tcPr>
            <w:tcW w:w="1054" w:type="dxa"/>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E44122">
              <w:rPr>
                <w:rFonts w:eastAsiaTheme="minorEastAsia" w:cs="Calibri"/>
                <w:bCs/>
                <w:color w:val="000000"/>
                <w:sz w:val="16"/>
                <w:szCs w:val="16"/>
                <w:lang w:eastAsia="en-AU"/>
              </w:rPr>
              <w:t>12 099</w:t>
            </w:r>
          </w:p>
        </w:tc>
      </w:tr>
    </w:tbl>
    <w:p w:rsidR="00BB6F1F" w:rsidRDefault="00BB6F1F" w:rsidP="00AC68FF">
      <w:r>
        <w:br w:type="page"/>
      </w:r>
    </w:p>
    <w:p w:rsidR="00BB6F1F" w:rsidRPr="001B69DB" w:rsidRDefault="00BB6F1F" w:rsidP="00AC68FF">
      <w:pPr>
        <w:pStyle w:val="TableHeading"/>
        <w:rPr>
          <w:bCs/>
          <w:lang w:val="en-US"/>
        </w:rPr>
      </w:pPr>
      <w:r w:rsidRPr="000744CF">
        <w:lastRenderedPageBreak/>
        <w:t xml:space="preserve">Public private partnership commitments </w:t>
      </w:r>
      <w:r w:rsidRPr="000744CF">
        <w:rPr>
          <w:i/>
        </w:rPr>
        <w:t>(continued)</w:t>
      </w:r>
      <w:r w:rsidRPr="000744CF">
        <w:tab/>
      </w:r>
      <w:r w:rsidRPr="000744CF">
        <w:tab/>
        <w:t>($ million)</w:t>
      </w:r>
    </w:p>
    <w:tbl>
      <w:tblPr>
        <w:tblStyle w:val="DTFTable"/>
        <w:tblW w:w="14547" w:type="dxa"/>
        <w:tblInd w:w="45" w:type="dxa"/>
        <w:tblLayout w:type="fixed"/>
        <w:tblCellMar>
          <w:left w:w="45" w:type="dxa"/>
          <w:right w:w="45" w:type="dxa"/>
        </w:tblCellMar>
        <w:tblLook w:val="06E0" w:firstRow="1" w:lastRow="1" w:firstColumn="1" w:lastColumn="0" w:noHBand="1" w:noVBand="1"/>
      </w:tblPr>
      <w:tblGrid>
        <w:gridCol w:w="2211"/>
        <w:gridCol w:w="110"/>
        <w:gridCol w:w="71"/>
        <w:gridCol w:w="993"/>
        <w:gridCol w:w="1077"/>
        <w:gridCol w:w="1077"/>
        <w:gridCol w:w="6"/>
        <w:gridCol w:w="125"/>
        <w:gridCol w:w="755"/>
        <w:gridCol w:w="1019"/>
        <w:gridCol w:w="1066"/>
        <w:gridCol w:w="137"/>
        <w:gridCol w:w="759"/>
        <w:gridCol w:w="1066"/>
        <w:gridCol w:w="1077"/>
        <w:gridCol w:w="110"/>
        <w:gridCol w:w="780"/>
        <w:gridCol w:w="1054"/>
        <w:gridCol w:w="1054"/>
      </w:tblGrid>
      <w:tr w:rsidR="00BB6F1F" w:rsidRPr="00E44122"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11" w:type="dxa"/>
            <w:tcBorders>
              <w:top w:val="nil"/>
              <w:left w:val="nil"/>
              <w:bottom w:val="nil"/>
              <w:right w:val="nil"/>
            </w:tcBorders>
            <w:shd w:val="solid" w:color="000000" w:fill="auto"/>
          </w:tcPr>
          <w:p w:rsidR="00BB6F1F" w:rsidRPr="00E44122" w:rsidRDefault="00BB6F1F" w:rsidP="00AC68FF">
            <w:pPr>
              <w:autoSpaceDE w:val="0"/>
              <w:autoSpaceDN w:val="0"/>
              <w:adjustRightInd w:val="0"/>
              <w:rPr>
                <w:rFonts w:eastAsiaTheme="minorEastAsia" w:cs="Calibri"/>
                <w:iCs/>
                <w:color w:val="FFFFFF"/>
                <w:sz w:val="16"/>
                <w:szCs w:val="16"/>
                <w:lang w:eastAsia="en-AU"/>
              </w:rPr>
            </w:pPr>
            <w:r w:rsidRPr="00E44122">
              <w:rPr>
                <w:rFonts w:eastAsiaTheme="minorEastAsia" w:cs="Calibri"/>
                <w:iCs/>
                <w:color w:val="FFFFFF"/>
                <w:sz w:val="16"/>
                <w:szCs w:val="16"/>
                <w:lang w:eastAsia="en-AU"/>
              </w:rPr>
              <w:t xml:space="preserve"> </w:t>
            </w:r>
          </w:p>
        </w:tc>
        <w:tc>
          <w:tcPr>
            <w:tcW w:w="3334" w:type="dxa"/>
            <w:gridSpan w:val="6"/>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State of Victoria</w:t>
            </w:r>
          </w:p>
        </w:tc>
        <w:tc>
          <w:tcPr>
            <w:tcW w:w="2965" w:type="dxa"/>
            <w:gridSpan w:val="4"/>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General government sector</w:t>
            </w:r>
          </w:p>
        </w:tc>
        <w:tc>
          <w:tcPr>
            <w:tcW w:w="3039" w:type="dxa"/>
            <w:gridSpan w:val="4"/>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State of Victoria</w:t>
            </w:r>
          </w:p>
        </w:tc>
        <w:tc>
          <w:tcPr>
            <w:tcW w:w="2998" w:type="dxa"/>
            <w:gridSpan w:val="4"/>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General government sector</w:t>
            </w:r>
          </w:p>
        </w:tc>
      </w:tr>
      <w:tr w:rsidR="00CD6FC0" w:rsidRPr="00E44122" w:rsidTr="00B933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11" w:type="dxa"/>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rPr>
                <w:rFonts w:eastAsiaTheme="minorEastAsia" w:cs="Calibri"/>
                <w:iCs/>
                <w:color w:val="FFFFFF"/>
                <w:sz w:val="16"/>
                <w:szCs w:val="16"/>
                <w:lang w:eastAsia="en-AU"/>
              </w:rPr>
            </w:pPr>
            <w:r w:rsidRPr="00E44122">
              <w:rPr>
                <w:rFonts w:eastAsiaTheme="minorEastAsia" w:cs="Calibri"/>
                <w:iCs/>
                <w:color w:val="FFFFFF"/>
                <w:sz w:val="16"/>
                <w:szCs w:val="16"/>
                <w:lang w:eastAsia="en-AU"/>
              </w:rPr>
              <w:t xml:space="preserve"> </w:t>
            </w:r>
          </w:p>
        </w:tc>
        <w:tc>
          <w:tcPr>
            <w:tcW w:w="110" w:type="dxa"/>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 w:val="16"/>
                <w:szCs w:val="16"/>
                <w:lang w:eastAsia="en-AU"/>
              </w:rPr>
            </w:pPr>
          </w:p>
        </w:tc>
        <w:tc>
          <w:tcPr>
            <w:tcW w:w="3224" w:type="dxa"/>
            <w:gridSpan w:val="5"/>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2017</w:t>
            </w:r>
          </w:p>
        </w:tc>
        <w:tc>
          <w:tcPr>
            <w:tcW w:w="125" w:type="dxa"/>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 w:val="16"/>
                <w:szCs w:val="16"/>
                <w:lang w:eastAsia="en-AU"/>
              </w:rPr>
            </w:pPr>
          </w:p>
        </w:tc>
        <w:tc>
          <w:tcPr>
            <w:tcW w:w="2840" w:type="dxa"/>
            <w:gridSpan w:val="3"/>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2017</w:t>
            </w:r>
          </w:p>
        </w:tc>
        <w:tc>
          <w:tcPr>
            <w:tcW w:w="137" w:type="dxa"/>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 w:val="16"/>
                <w:szCs w:val="16"/>
                <w:lang w:eastAsia="en-AU"/>
              </w:rPr>
            </w:pPr>
          </w:p>
        </w:tc>
        <w:tc>
          <w:tcPr>
            <w:tcW w:w="2902" w:type="dxa"/>
            <w:gridSpan w:val="3"/>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2016</w:t>
            </w:r>
          </w:p>
        </w:tc>
        <w:tc>
          <w:tcPr>
            <w:tcW w:w="110" w:type="dxa"/>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 w:val="16"/>
                <w:szCs w:val="16"/>
                <w:lang w:eastAsia="en-AU"/>
              </w:rPr>
            </w:pPr>
          </w:p>
        </w:tc>
        <w:tc>
          <w:tcPr>
            <w:tcW w:w="2888" w:type="dxa"/>
            <w:gridSpan w:val="3"/>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2016</w:t>
            </w:r>
          </w:p>
        </w:tc>
      </w:tr>
      <w:tr w:rsidR="00E73501" w:rsidRPr="00E44122" w:rsidTr="00B933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11" w:type="dxa"/>
            <w:tcBorders>
              <w:top w:val="nil"/>
              <w:left w:val="nil"/>
              <w:bottom w:val="nil"/>
              <w:right w:val="nil"/>
            </w:tcBorders>
            <w:shd w:val="solid" w:color="000000" w:fill="auto"/>
          </w:tcPr>
          <w:p w:rsidR="00B933FD" w:rsidRPr="00E44122" w:rsidRDefault="00B933FD" w:rsidP="00AC68FF">
            <w:pPr>
              <w:keepLines w:val="0"/>
              <w:autoSpaceDE w:val="0"/>
              <w:autoSpaceDN w:val="0"/>
              <w:adjustRightInd w:val="0"/>
              <w:rPr>
                <w:rFonts w:eastAsiaTheme="minorEastAsia" w:cs="Calibri"/>
                <w:iCs/>
                <w:color w:val="FFFFFF"/>
                <w:sz w:val="16"/>
                <w:szCs w:val="16"/>
                <w:lang w:eastAsia="en-AU"/>
              </w:rPr>
            </w:pPr>
            <w:r w:rsidRPr="00E44122">
              <w:rPr>
                <w:rFonts w:eastAsiaTheme="minorEastAsia" w:cs="Calibri"/>
                <w:iCs/>
                <w:color w:val="FFFFFF"/>
                <w:sz w:val="16"/>
                <w:szCs w:val="16"/>
                <w:lang w:eastAsia="en-AU"/>
              </w:rPr>
              <w:t xml:space="preserve"> </w:t>
            </w:r>
          </w:p>
        </w:tc>
        <w:tc>
          <w:tcPr>
            <w:tcW w:w="110" w:type="dxa"/>
            <w:tcBorders>
              <w:top w:val="nil"/>
              <w:left w:val="nil"/>
              <w:bottom w:val="nil"/>
              <w:right w:val="nil"/>
            </w:tcBorders>
            <w:shd w:val="solid" w:color="000000" w:fill="auto"/>
          </w:tcPr>
          <w:p w:rsidR="00B933FD" w:rsidRPr="00E44122" w:rsidRDefault="00B933FD"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 w:val="16"/>
                <w:szCs w:val="16"/>
                <w:lang w:eastAsia="en-AU"/>
              </w:rPr>
            </w:pPr>
          </w:p>
        </w:tc>
        <w:tc>
          <w:tcPr>
            <w:tcW w:w="1064" w:type="dxa"/>
            <w:gridSpan w:val="2"/>
            <w:tcBorders>
              <w:top w:val="nil"/>
              <w:left w:val="nil"/>
              <w:bottom w:val="single" w:sz="6" w:space="0" w:color="FFFFFF" w:themeColor="background1"/>
              <w:right w:val="nil"/>
            </w:tcBorders>
            <w:shd w:val="solid" w:color="000000" w:fill="auto"/>
          </w:tcPr>
          <w:p w:rsidR="00B933FD" w:rsidRPr="00E44122" w:rsidRDefault="00B933FD"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Minimum lease payments</w:t>
            </w:r>
          </w:p>
        </w:tc>
        <w:tc>
          <w:tcPr>
            <w:tcW w:w="1077" w:type="dxa"/>
            <w:tcBorders>
              <w:top w:val="nil"/>
              <w:left w:val="nil"/>
              <w:bottom w:val="single" w:sz="6" w:space="0" w:color="FFFFFF" w:themeColor="background1"/>
              <w:right w:val="nil"/>
            </w:tcBorders>
            <w:shd w:val="solid" w:color="000000" w:fill="auto"/>
          </w:tcPr>
          <w:p w:rsidR="00B933FD" w:rsidRPr="00E44122" w:rsidRDefault="00B933FD"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Other commitments</w:t>
            </w:r>
          </w:p>
        </w:tc>
        <w:tc>
          <w:tcPr>
            <w:tcW w:w="1077" w:type="dxa"/>
            <w:tcBorders>
              <w:top w:val="nil"/>
              <w:left w:val="nil"/>
              <w:bottom w:val="single" w:sz="6" w:space="0" w:color="FFFFFF" w:themeColor="background1"/>
              <w:right w:val="nil"/>
            </w:tcBorders>
            <w:shd w:val="solid" w:color="000000" w:fill="auto"/>
          </w:tcPr>
          <w:p w:rsidR="00B933FD" w:rsidRPr="00E44122" w:rsidRDefault="00B933FD"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Total commitments</w:t>
            </w:r>
          </w:p>
        </w:tc>
        <w:tc>
          <w:tcPr>
            <w:tcW w:w="131" w:type="dxa"/>
            <w:gridSpan w:val="2"/>
            <w:tcBorders>
              <w:top w:val="nil"/>
              <w:left w:val="nil"/>
              <w:bottom w:val="nil"/>
              <w:right w:val="nil"/>
            </w:tcBorders>
            <w:shd w:val="solid" w:color="000000" w:fill="auto"/>
          </w:tcPr>
          <w:p w:rsidR="00B933FD" w:rsidRPr="00E44122" w:rsidRDefault="00B933FD"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 w:val="16"/>
                <w:szCs w:val="16"/>
                <w:lang w:eastAsia="en-AU"/>
              </w:rPr>
            </w:pPr>
          </w:p>
        </w:tc>
        <w:tc>
          <w:tcPr>
            <w:tcW w:w="755" w:type="dxa"/>
            <w:tcBorders>
              <w:top w:val="nil"/>
              <w:left w:val="nil"/>
              <w:bottom w:val="single" w:sz="6" w:space="0" w:color="FFFFFF" w:themeColor="background1"/>
              <w:right w:val="nil"/>
            </w:tcBorders>
            <w:shd w:val="solid" w:color="000000" w:fill="auto"/>
          </w:tcPr>
          <w:p w:rsidR="00B933FD" w:rsidRPr="00E44122" w:rsidRDefault="00B933FD"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Minimum lease payments</w:t>
            </w:r>
          </w:p>
        </w:tc>
        <w:tc>
          <w:tcPr>
            <w:tcW w:w="1019" w:type="dxa"/>
            <w:tcBorders>
              <w:top w:val="nil"/>
              <w:left w:val="nil"/>
              <w:bottom w:val="single" w:sz="6" w:space="0" w:color="FFFFFF" w:themeColor="background1"/>
              <w:right w:val="nil"/>
            </w:tcBorders>
            <w:shd w:val="solid" w:color="000000" w:fill="auto"/>
          </w:tcPr>
          <w:p w:rsidR="00B933FD" w:rsidRPr="00E44122" w:rsidRDefault="00B933FD"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Other commitments</w:t>
            </w:r>
          </w:p>
        </w:tc>
        <w:tc>
          <w:tcPr>
            <w:tcW w:w="1066" w:type="dxa"/>
            <w:tcBorders>
              <w:top w:val="nil"/>
              <w:left w:val="nil"/>
              <w:bottom w:val="single" w:sz="6" w:space="0" w:color="FFFFFF" w:themeColor="background1"/>
              <w:right w:val="nil"/>
            </w:tcBorders>
            <w:shd w:val="solid" w:color="000000" w:fill="auto"/>
          </w:tcPr>
          <w:p w:rsidR="00B933FD" w:rsidRPr="00E44122" w:rsidRDefault="00B933FD"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Total commitments</w:t>
            </w:r>
          </w:p>
        </w:tc>
        <w:tc>
          <w:tcPr>
            <w:tcW w:w="137" w:type="dxa"/>
            <w:tcBorders>
              <w:top w:val="nil"/>
              <w:left w:val="nil"/>
              <w:bottom w:val="nil"/>
              <w:right w:val="nil"/>
            </w:tcBorders>
            <w:shd w:val="solid" w:color="000000" w:fill="auto"/>
          </w:tcPr>
          <w:p w:rsidR="00B933FD" w:rsidRPr="00E44122" w:rsidRDefault="00B933FD"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 w:val="16"/>
                <w:szCs w:val="16"/>
                <w:lang w:eastAsia="en-AU"/>
              </w:rPr>
            </w:pPr>
          </w:p>
        </w:tc>
        <w:tc>
          <w:tcPr>
            <w:tcW w:w="759" w:type="dxa"/>
            <w:tcBorders>
              <w:top w:val="nil"/>
              <w:left w:val="nil"/>
              <w:bottom w:val="single" w:sz="6" w:space="0" w:color="FFFFFF" w:themeColor="background1"/>
              <w:right w:val="nil"/>
            </w:tcBorders>
            <w:shd w:val="solid" w:color="000000" w:fill="auto"/>
          </w:tcPr>
          <w:p w:rsidR="00B933FD" w:rsidRPr="00E44122" w:rsidRDefault="00B933FD"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Minimum lease payments</w:t>
            </w:r>
          </w:p>
        </w:tc>
        <w:tc>
          <w:tcPr>
            <w:tcW w:w="1066" w:type="dxa"/>
            <w:tcBorders>
              <w:top w:val="nil"/>
              <w:left w:val="nil"/>
              <w:bottom w:val="single" w:sz="6" w:space="0" w:color="FFFFFF" w:themeColor="background1"/>
              <w:right w:val="nil"/>
            </w:tcBorders>
            <w:shd w:val="solid" w:color="000000" w:fill="auto"/>
          </w:tcPr>
          <w:p w:rsidR="00B933FD" w:rsidRPr="00E44122" w:rsidRDefault="00B933FD"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Other commitments</w:t>
            </w:r>
          </w:p>
        </w:tc>
        <w:tc>
          <w:tcPr>
            <w:tcW w:w="1077" w:type="dxa"/>
            <w:tcBorders>
              <w:top w:val="nil"/>
              <w:left w:val="nil"/>
              <w:bottom w:val="single" w:sz="6" w:space="0" w:color="FFFFFF" w:themeColor="background1"/>
              <w:right w:val="nil"/>
            </w:tcBorders>
            <w:shd w:val="solid" w:color="000000" w:fill="auto"/>
          </w:tcPr>
          <w:p w:rsidR="00B933FD" w:rsidRPr="00E44122" w:rsidRDefault="00B933FD"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 xml:space="preserve">Total </w:t>
            </w:r>
          </w:p>
          <w:p w:rsidR="00B933FD" w:rsidRPr="00E44122" w:rsidRDefault="00B933FD"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commitments</w:t>
            </w:r>
          </w:p>
        </w:tc>
        <w:tc>
          <w:tcPr>
            <w:tcW w:w="110" w:type="dxa"/>
            <w:tcBorders>
              <w:top w:val="nil"/>
              <w:left w:val="nil"/>
              <w:bottom w:val="nil"/>
              <w:right w:val="nil"/>
            </w:tcBorders>
            <w:shd w:val="solid" w:color="000000" w:fill="auto"/>
          </w:tcPr>
          <w:p w:rsidR="00B933FD" w:rsidRPr="00E44122" w:rsidRDefault="00B933FD"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 w:val="16"/>
                <w:szCs w:val="16"/>
                <w:lang w:eastAsia="en-AU"/>
              </w:rPr>
            </w:pPr>
          </w:p>
        </w:tc>
        <w:tc>
          <w:tcPr>
            <w:tcW w:w="780" w:type="dxa"/>
            <w:tcBorders>
              <w:top w:val="nil"/>
              <w:left w:val="nil"/>
              <w:bottom w:val="single" w:sz="6" w:space="0" w:color="FFFFFF" w:themeColor="background1"/>
              <w:right w:val="nil"/>
            </w:tcBorders>
            <w:shd w:val="solid" w:color="000000" w:fill="auto"/>
          </w:tcPr>
          <w:p w:rsidR="00B933FD" w:rsidRPr="00E44122" w:rsidRDefault="00B933FD"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Minimum lease payments</w:t>
            </w:r>
          </w:p>
        </w:tc>
        <w:tc>
          <w:tcPr>
            <w:tcW w:w="1054" w:type="dxa"/>
            <w:tcBorders>
              <w:top w:val="nil"/>
              <w:left w:val="nil"/>
              <w:bottom w:val="single" w:sz="6" w:space="0" w:color="FFFFFF" w:themeColor="background1"/>
              <w:right w:val="nil"/>
            </w:tcBorders>
            <w:shd w:val="solid" w:color="000000" w:fill="auto"/>
          </w:tcPr>
          <w:p w:rsidR="00B933FD" w:rsidRPr="00E44122" w:rsidRDefault="00B933FD"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Other commitments</w:t>
            </w:r>
          </w:p>
        </w:tc>
        <w:tc>
          <w:tcPr>
            <w:tcW w:w="1054" w:type="dxa"/>
            <w:tcBorders>
              <w:top w:val="nil"/>
              <w:left w:val="nil"/>
              <w:bottom w:val="single" w:sz="6" w:space="0" w:color="FFFFFF" w:themeColor="background1"/>
              <w:right w:val="nil"/>
            </w:tcBorders>
            <w:shd w:val="solid" w:color="000000" w:fill="auto"/>
          </w:tcPr>
          <w:p w:rsidR="00B933FD" w:rsidRPr="00E44122" w:rsidRDefault="00B933FD"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 xml:space="preserve">Total </w:t>
            </w:r>
          </w:p>
          <w:p w:rsidR="00B933FD" w:rsidRPr="00E44122" w:rsidRDefault="00B933FD"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commitments</w:t>
            </w:r>
          </w:p>
        </w:tc>
      </w:tr>
      <w:tr w:rsidR="00BB6F1F" w:rsidRPr="00E44122" w:rsidTr="00B933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11" w:type="dxa"/>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rPr>
                <w:rFonts w:eastAsiaTheme="minorEastAsia" w:cs="Calibri"/>
                <w:iCs/>
                <w:color w:val="FFFFFF"/>
                <w:sz w:val="16"/>
                <w:szCs w:val="16"/>
                <w:lang w:eastAsia="en-AU"/>
              </w:rPr>
            </w:pPr>
            <w:r w:rsidRPr="00E44122">
              <w:rPr>
                <w:rFonts w:eastAsiaTheme="minorEastAsia" w:cs="Calibri"/>
                <w:iCs/>
                <w:color w:val="FFFFFF"/>
                <w:sz w:val="16"/>
                <w:szCs w:val="16"/>
                <w:lang w:eastAsia="en-AU"/>
              </w:rPr>
              <w:t xml:space="preserve"> </w:t>
            </w:r>
          </w:p>
        </w:tc>
        <w:tc>
          <w:tcPr>
            <w:tcW w:w="1174" w:type="dxa"/>
            <w:gridSpan w:val="3"/>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Discounted value</w:t>
            </w:r>
          </w:p>
        </w:tc>
        <w:tc>
          <w:tcPr>
            <w:tcW w:w="1077" w:type="dxa"/>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 xml:space="preserve">Present </w:t>
            </w:r>
          </w:p>
          <w:p w:rsidR="00BB6F1F" w:rsidRPr="00E4412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value</w:t>
            </w:r>
          </w:p>
        </w:tc>
        <w:tc>
          <w:tcPr>
            <w:tcW w:w="1077" w:type="dxa"/>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 xml:space="preserve">Nominal </w:t>
            </w:r>
          </w:p>
          <w:p w:rsidR="00BB6F1F" w:rsidRPr="00E4412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value</w:t>
            </w:r>
          </w:p>
        </w:tc>
        <w:tc>
          <w:tcPr>
            <w:tcW w:w="886" w:type="dxa"/>
            <w:gridSpan w:val="3"/>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Discounted value</w:t>
            </w:r>
          </w:p>
        </w:tc>
        <w:tc>
          <w:tcPr>
            <w:tcW w:w="1019" w:type="dxa"/>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 xml:space="preserve">Present </w:t>
            </w:r>
          </w:p>
          <w:p w:rsidR="00BB6F1F" w:rsidRPr="00E4412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value</w:t>
            </w:r>
          </w:p>
        </w:tc>
        <w:tc>
          <w:tcPr>
            <w:tcW w:w="1066" w:type="dxa"/>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 xml:space="preserve">Nominal </w:t>
            </w:r>
          </w:p>
          <w:p w:rsidR="00BB6F1F" w:rsidRPr="00E4412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value</w:t>
            </w:r>
          </w:p>
        </w:tc>
        <w:tc>
          <w:tcPr>
            <w:tcW w:w="896" w:type="dxa"/>
            <w:gridSpan w:val="2"/>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Discounted value</w:t>
            </w:r>
          </w:p>
        </w:tc>
        <w:tc>
          <w:tcPr>
            <w:tcW w:w="1066" w:type="dxa"/>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 xml:space="preserve">Present </w:t>
            </w:r>
          </w:p>
          <w:p w:rsidR="00BB6F1F" w:rsidRPr="00E4412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value</w:t>
            </w:r>
          </w:p>
        </w:tc>
        <w:tc>
          <w:tcPr>
            <w:tcW w:w="1077" w:type="dxa"/>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 xml:space="preserve">Nominal </w:t>
            </w:r>
          </w:p>
          <w:p w:rsidR="00BB6F1F" w:rsidRPr="00E4412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value</w:t>
            </w:r>
          </w:p>
        </w:tc>
        <w:tc>
          <w:tcPr>
            <w:tcW w:w="890" w:type="dxa"/>
            <w:gridSpan w:val="2"/>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Discounted value</w:t>
            </w:r>
          </w:p>
        </w:tc>
        <w:tc>
          <w:tcPr>
            <w:tcW w:w="1054" w:type="dxa"/>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 xml:space="preserve">Present </w:t>
            </w:r>
          </w:p>
          <w:p w:rsidR="00BB6F1F" w:rsidRPr="00E4412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value</w:t>
            </w:r>
          </w:p>
        </w:tc>
        <w:tc>
          <w:tcPr>
            <w:tcW w:w="1054" w:type="dxa"/>
            <w:tcBorders>
              <w:top w:val="nil"/>
              <w:left w:val="nil"/>
              <w:bottom w:val="nil"/>
              <w:right w:val="nil"/>
            </w:tcBorders>
            <w:shd w:val="solid" w:color="000000" w:fill="auto"/>
          </w:tcPr>
          <w:p w:rsidR="00BB6F1F" w:rsidRPr="00E4412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 xml:space="preserve">Nominal </w:t>
            </w:r>
          </w:p>
          <w:p w:rsidR="00BB6F1F" w:rsidRPr="00E4412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E44122">
              <w:rPr>
                <w:rFonts w:eastAsiaTheme="minorEastAsia" w:cs="Calibri"/>
                <w:iCs/>
                <w:color w:val="FFFFFF"/>
                <w:sz w:val="16"/>
                <w:szCs w:val="16"/>
                <w:lang w:eastAsia="en-AU"/>
              </w:rPr>
              <w:t>value</w:t>
            </w:r>
          </w:p>
        </w:tc>
      </w:tr>
      <w:tr w:rsidR="00BB6F1F" w:rsidRPr="00E44122" w:rsidTr="00B933FD">
        <w:trPr>
          <w:trHeight w:hRule="exact" w:val="120"/>
        </w:trPr>
        <w:tc>
          <w:tcPr>
            <w:cnfStyle w:val="001000000000" w:firstRow="0" w:lastRow="0" w:firstColumn="1" w:lastColumn="0" w:oddVBand="0" w:evenVBand="0" w:oddHBand="0" w:evenHBand="0" w:firstRowFirstColumn="0" w:firstRowLastColumn="0" w:lastRowFirstColumn="0" w:lastRowLastColumn="0"/>
            <w:tcW w:w="2211"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1174"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886"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r>
      <w:tr w:rsidR="00BB6F1F" w:rsidRPr="00E44122" w:rsidTr="00B933FD">
        <w:tc>
          <w:tcPr>
            <w:cnfStyle w:val="001000000000" w:firstRow="0" w:lastRow="0" w:firstColumn="1" w:lastColumn="0" w:oddVBand="0" w:evenVBand="0" w:oddHBand="0" w:evenHBand="0" w:firstRowFirstColumn="0" w:firstRowLastColumn="0" w:lastRowFirstColumn="0" w:lastRowLastColumn="0"/>
            <w:tcW w:w="2211"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Uncommissioned public private partnerships total commitments</w:t>
            </w:r>
          </w:p>
        </w:tc>
        <w:tc>
          <w:tcPr>
            <w:tcW w:w="1174"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886"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E44122">
              <w:rPr>
                <w:rFonts w:eastAsiaTheme="minorEastAsia" w:cs="Calibri"/>
                <w:i/>
                <w:iCs/>
                <w:color w:val="000000"/>
                <w:sz w:val="16"/>
                <w:szCs w:val="16"/>
                <w:lang w:eastAsia="en-AU"/>
              </w:rPr>
              <w:t xml:space="preserve"> </w:t>
            </w:r>
          </w:p>
        </w:tc>
      </w:tr>
      <w:tr w:rsidR="00BB6F1F" w:rsidRPr="00E44122" w:rsidTr="00B933FD">
        <w:tc>
          <w:tcPr>
            <w:cnfStyle w:val="001000000000" w:firstRow="0" w:lastRow="0" w:firstColumn="1" w:lastColumn="0" w:oddVBand="0" w:evenVBand="0" w:oddHBand="0" w:evenHBand="0" w:firstRowFirstColumn="0" w:firstRowLastColumn="0" w:lastRowFirstColumn="0" w:lastRowLastColumn="0"/>
            <w:tcW w:w="2211"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lang w:eastAsia="en-AU"/>
              </w:rPr>
            </w:pPr>
            <w:r w:rsidRPr="00E44122">
              <w:rPr>
                <w:rFonts w:eastAsiaTheme="minorEastAsia" w:cs="Calibri"/>
                <w:color w:val="000000"/>
                <w:sz w:val="16"/>
                <w:szCs w:val="16"/>
                <w:lang w:eastAsia="en-AU"/>
              </w:rPr>
              <w:t>Bendigo Hospital – stage one</w:t>
            </w:r>
          </w:p>
        </w:tc>
        <w:tc>
          <w:tcPr>
            <w:tcW w:w="1174"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886"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274</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1 221</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2 862</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274</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1 221</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2 862</w:t>
            </w:r>
          </w:p>
        </w:tc>
      </w:tr>
      <w:tr w:rsidR="00BB6F1F" w:rsidRPr="00E44122" w:rsidTr="00B933FD">
        <w:tc>
          <w:tcPr>
            <w:cnfStyle w:val="001000000000" w:firstRow="0" w:lastRow="0" w:firstColumn="1" w:lastColumn="0" w:oddVBand="0" w:evenVBand="0" w:oddHBand="0" w:evenHBand="0" w:firstRowFirstColumn="0" w:firstRowLastColumn="0" w:lastRowFirstColumn="0" w:lastRowLastColumn="0"/>
            <w:tcW w:w="2211"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lang w:eastAsia="en-AU"/>
              </w:rPr>
            </w:pPr>
            <w:r w:rsidRPr="00E44122">
              <w:rPr>
                <w:rFonts w:eastAsiaTheme="minorEastAsia" w:cs="Calibri"/>
                <w:color w:val="000000"/>
                <w:sz w:val="16"/>
                <w:szCs w:val="16"/>
                <w:lang w:eastAsia="en-AU"/>
              </w:rPr>
              <w:t>Bendigo Hospital – stage two</w:t>
            </w:r>
          </w:p>
        </w:tc>
        <w:tc>
          <w:tcPr>
            <w:tcW w:w="1174"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17</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5</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50</w:t>
            </w:r>
          </w:p>
        </w:tc>
        <w:tc>
          <w:tcPr>
            <w:tcW w:w="886"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17</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5</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50</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14</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48</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100</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14</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48</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100</w:t>
            </w:r>
          </w:p>
        </w:tc>
      </w:tr>
      <w:tr w:rsidR="00BB6F1F" w:rsidRPr="00E44122" w:rsidTr="00B933FD">
        <w:tc>
          <w:tcPr>
            <w:cnfStyle w:val="001000000000" w:firstRow="0" w:lastRow="0" w:firstColumn="1" w:lastColumn="0" w:oddVBand="0" w:evenVBand="0" w:oddHBand="0" w:evenHBand="0" w:firstRowFirstColumn="0" w:firstRowLastColumn="0" w:lastRowFirstColumn="0" w:lastRowLastColumn="0"/>
            <w:tcW w:w="2392" w:type="dxa"/>
            <w:gridSpan w:val="3"/>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lang w:eastAsia="en-AU"/>
              </w:rPr>
            </w:pPr>
            <w:r w:rsidRPr="00E44122">
              <w:rPr>
                <w:rFonts w:eastAsiaTheme="minorEastAsia" w:cs="Calibri"/>
                <w:color w:val="000000"/>
                <w:sz w:val="16"/>
                <w:szCs w:val="16"/>
                <w:lang w:eastAsia="en-AU"/>
              </w:rPr>
              <w:t>New Schools PPP – tranche two</w:t>
            </w:r>
          </w:p>
        </w:tc>
        <w:tc>
          <w:tcPr>
            <w:tcW w:w="993"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152</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67</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409</w:t>
            </w:r>
          </w:p>
        </w:tc>
        <w:tc>
          <w:tcPr>
            <w:tcW w:w="886"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152</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67</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409</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394</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176</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1 088</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394</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176</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1 088</w:t>
            </w:r>
          </w:p>
        </w:tc>
      </w:tr>
      <w:tr w:rsidR="00BB6F1F" w:rsidRPr="00E44122" w:rsidTr="00B933FD">
        <w:tc>
          <w:tcPr>
            <w:cnfStyle w:val="001000000000" w:firstRow="0" w:lastRow="0" w:firstColumn="1" w:lastColumn="0" w:oddVBand="0" w:evenVBand="0" w:oddHBand="0" w:evenHBand="0" w:firstRowFirstColumn="0" w:firstRowLastColumn="0" w:lastRowFirstColumn="0" w:lastRowLastColumn="0"/>
            <w:tcW w:w="2211"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lang w:eastAsia="en-AU"/>
              </w:rPr>
            </w:pPr>
            <w:r w:rsidRPr="00E44122">
              <w:rPr>
                <w:rFonts w:eastAsiaTheme="minorEastAsia" w:cs="Calibri"/>
                <w:color w:val="000000"/>
                <w:sz w:val="16"/>
                <w:szCs w:val="16"/>
                <w:lang w:eastAsia="en-AU"/>
              </w:rPr>
              <w:t>High Capacity Trains</w:t>
            </w:r>
          </w:p>
        </w:tc>
        <w:tc>
          <w:tcPr>
            <w:tcW w:w="1174"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1 861</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932</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6 135</w:t>
            </w:r>
          </w:p>
        </w:tc>
        <w:tc>
          <w:tcPr>
            <w:tcW w:w="886"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1 861</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932</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6 135</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w:t>
            </w:r>
          </w:p>
        </w:tc>
      </w:tr>
      <w:tr w:rsidR="00BB6F1F" w:rsidRPr="00E44122" w:rsidTr="00B933FD">
        <w:tc>
          <w:tcPr>
            <w:cnfStyle w:val="001000000000" w:firstRow="0" w:lastRow="0" w:firstColumn="1" w:lastColumn="0" w:oddVBand="0" w:evenVBand="0" w:oddHBand="0" w:evenHBand="0" w:firstRowFirstColumn="0" w:firstRowLastColumn="0" w:lastRowFirstColumn="0" w:lastRowLastColumn="0"/>
            <w:tcW w:w="2211"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lang w:eastAsia="en-AU"/>
              </w:rPr>
            </w:pPr>
            <w:r w:rsidRPr="00E44122">
              <w:rPr>
                <w:rFonts w:eastAsiaTheme="minorEastAsia" w:cs="Calibri"/>
                <w:color w:val="000000"/>
                <w:sz w:val="16"/>
                <w:szCs w:val="16"/>
                <w:lang w:eastAsia="en-AU"/>
              </w:rPr>
              <w:t>Ravenhall Prison</w:t>
            </w:r>
          </w:p>
        </w:tc>
        <w:tc>
          <w:tcPr>
            <w:tcW w:w="1174"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792</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2 955</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7 460</w:t>
            </w:r>
          </w:p>
        </w:tc>
        <w:tc>
          <w:tcPr>
            <w:tcW w:w="886"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792</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2 955</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7 460</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792</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2 799</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7 460</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792</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2 799</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7 460</w:t>
            </w:r>
          </w:p>
        </w:tc>
      </w:tr>
      <w:tr w:rsidR="00BB6F1F" w:rsidRPr="00E44122" w:rsidTr="00B933FD">
        <w:tc>
          <w:tcPr>
            <w:cnfStyle w:val="001000000000" w:firstRow="0" w:lastRow="0" w:firstColumn="1" w:lastColumn="0" w:oddVBand="0" w:evenVBand="0" w:oddHBand="0" w:evenHBand="0" w:firstRowFirstColumn="0" w:firstRowLastColumn="0" w:lastRowFirstColumn="0" w:lastRowLastColumn="0"/>
            <w:tcW w:w="2211" w:type="dxa"/>
            <w:tcBorders>
              <w:top w:val="nil"/>
              <w:left w:val="nil"/>
              <w:bottom w:val="nil"/>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vertAlign w:val="superscript"/>
                <w:lang w:eastAsia="en-AU"/>
              </w:rPr>
            </w:pPr>
            <w:r w:rsidRPr="00E44122">
              <w:rPr>
                <w:rFonts w:eastAsiaTheme="minorEastAsia" w:cs="Calibri"/>
                <w:color w:val="000000"/>
                <w:sz w:val="16"/>
                <w:szCs w:val="16"/>
                <w:lang w:eastAsia="en-AU"/>
              </w:rPr>
              <w:t xml:space="preserve">Melbourne Convention Centre – stage two </w:t>
            </w:r>
            <w:r w:rsidRPr="00E44122">
              <w:rPr>
                <w:rFonts w:eastAsiaTheme="minorEastAsia" w:cs="Calibri"/>
                <w:color w:val="000000"/>
                <w:sz w:val="16"/>
                <w:szCs w:val="16"/>
                <w:vertAlign w:val="superscript"/>
                <w:lang w:eastAsia="en-AU"/>
              </w:rPr>
              <w:t>(c)</w:t>
            </w:r>
          </w:p>
        </w:tc>
        <w:tc>
          <w:tcPr>
            <w:tcW w:w="1174"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37</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35</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74</w:t>
            </w:r>
          </w:p>
        </w:tc>
        <w:tc>
          <w:tcPr>
            <w:tcW w:w="886" w:type="dxa"/>
            <w:gridSpan w:val="3"/>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37</w:t>
            </w:r>
          </w:p>
        </w:tc>
        <w:tc>
          <w:tcPr>
            <w:tcW w:w="1019"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35</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74</w:t>
            </w:r>
          </w:p>
        </w:tc>
        <w:tc>
          <w:tcPr>
            <w:tcW w:w="896"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38</w:t>
            </w:r>
          </w:p>
        </w:tc>
        <w:tc>
          <w:tcPr>
            <w:tcW w:w="1066"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36</w:t>
            </w:r>
          </w:p>
        </w:tc>
        <w:tc>
          <w:tcPr>
            <w:tcW w:w="1077"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145</w:t>
            </w:r>
          </w:p>
        </w:tc>
        <w:tc>
          <w:tcPr>
            <w:tcW w:w="890" w:type="dxa"/>
            <w:gridSpan w:val="2"/>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38</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36</w:t>
            </w:r>
          </w:p>
        </w:tc>
        <w:tc>
          <w:tcPr>
            <w:tcW w:w="1054" w:type="dxa"/>
            <w:tcBorders>
              <w:top w:val="nil"/>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74</w:t>
            </w:r>
          </w:p>
        </w:tc>
      </w:tr>
      <w:tr w:rsidR="00BB6F1F" w:rsidRPr="00E44122" w:rsidTr="00B933FD">
        <w:tc>
          <w:tcPr>
            <w:cnfStyle w:val="001000000000" w:firstRow="0" w:lastRow="0" w:firstColumn="1" w:lastColumn="0" w:oddVBand="0" w:evenVBand="0" w:oddHBand="0" w:evenHBand="0" w:firstRowFirstColumn="0" w:firstRowLastColumn="0" w:lastRowFirstColumn="0" w:lastRowLastColumn="0"/>
            <w:tcW w:w="2211" w:type="dxa"/>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rPr>
                <w:rFonts w:eastAsiaTheme="minorEastAsia" w:cs="Calibri"/>
                <w:b/>
                <w:bCs/>
                <w:color w:val="000000"/>
                <w:sz w:val="16"/>
                <w:szCs w:val="16"/>
                <w:vertAlign w:val="superscript"/>
                <w:lang w:eastAsia="en-AU"/>
              </w:rPr>
            </w:pPr>
            <w:r w:rsidRPr="00E44122">
              <w:rPr>
                <w:rFonts w:eastAsiaTheme="minorEastAsia" w:cs="Calibri"/>
                <w:b/>
                <w:bCs/>
                <w:color w:val="000000"/>
                <w:sz w:val="16"/>
                <w:szCs w:val="16"/>
                <w:lang w:eastAsia="en-AU"/>
              </w:rPr>
              <w:t xml:space="preserve">Sub-total </w:t>
            </w:r>
            <w:r w:rsidRPr="00E44122">
              <w:rPr>
                <w:rFonts w:eastAsiaTheme="minorEastAsia" w:cs="Calibri"/>
                <w:b/>
                <w:bCs/>
                <w:color w:val="000000"/>
                <w:sz w:val="16"/>
                <w:szCs w:val="16"/>
                <w:vertAlign w:val="superscript"/>
                <w:lang w:eastAsia="en-AU"/>
              </w:rPr>
              <w:t>(c)</w:t>
            </w:r>
          </w:p>
        </w:tc>
        <w:tc>
          <w:tcPr>
            <w:tcW w:w="1174" w:type="dxa"/>
            <w:gridSpan w:val="3"/>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2 858</w:t>
            </w:r>
          </w:p>
        </w:tc>
        <w:tc>
          <w:tcPr>
            <w:tcW w:w="1077" w:type="dxa"/>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3 994</w:t>
            </w:r>
          </w:p>
        </w:tc>
        <w:tc>
          <w:tcPr>
            <w:tcW w:w="1077" w:type="dxa"/>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14 128</w:t>
            </w:r>
          </w:p>
        </w:tc>
        <w:tc>
          <w:tcPr>
            <w:tcW w:w="886" w:type="dxa"/>
            <w:gridSpan w:val="3"/>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2 858</w:t>
            </w:r>
          </w:p>
        </w:tc>
        <w:tc>
          <w:tcPr>
            <w:tcW w:w="1019" w:type="dxa"/>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3 994</w:t>
            </w:r>
          </w:p>
        </w:tc>
        <w:tc>
          <w:tcPr>
            <w:tcW w:w="1066" w:type="dxa"/>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14 128</w:t>
            </w:r>
          </w:p>
        </w:tc>
        <w:tc>
          <w:tcPr>
            <w:tcW w:w="896" w:type="dxa"/>
            <w:gridSpan w:val="2"/>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1 511</w:t>
            </w:r>
          </w:p>
        </w:tc>
        <w:tc>
          <w:tcPr>
            <w:tcW w:w="1066" w:type="dxa"/>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4 280</w:t>
            </w:r>
          </w:p>
        </w:tc>
        <w:tc>
          <w:tcPr>
            <w:tcW w:w="1077" w:type="dxa"/>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11 654</w:t>
            </w:r>
          </w:p>
        </w:tc>
        <w:tc>
          <w:tcPr>
            <w:tcW w:w="890" w:type="dxa"/>
            <w:gridSpan w:val="2"/>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1 511</w:t>
            </w:r>
          </w:p>
        </w:tc>
        <w:tc>
          <w:tcPr>
            <w:tcW w:w="1054" w:type="dxa"/>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4 280</w:t>
            </w:r>
          </w:p>
        </w:tc>
        <w:tc>
          <w:tcPr>
            <w:tcW w:w="1054" w:type="dxa"/>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11 583</w:t>
            </w:r>
          </w:p>
        </w:tc>
      </w:tr>
      <w:tr w:rsidR="00BB6F1F" w:rsidRPr="00E44122" w:rsidTr="00B933FD">
        <w:tc>
          <w:tcPr>
            <w:cnfStyle w:val="001000000000" w:firstRow="0" w:lastRow="0" w:firstColumn="1" w:lastColumn="0" w:oddVBand="0" w:evenVBand="0" w:oddHBand="0" w:evenHBand="0" w:firstRowFirstColumn="0" w:firstRowLastColumn="0" w:lastRowFirstColumn="0" w:lastRowLastColumn="0"/>
            <w:tcW w:w="2211" w:type="dxa"/>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rPr>
                <w:rFonts w:eastAsiaTheme="minorEastAsia" w:cs="Calibri"/>
                <w:b/>
                <w:bCs/>
                <w:color w:val="000000"/>
                <w:sz w:val="16"/>
                <w:szCs w:val="16"/>
                <w:vertAlign w:val="superscript"/>
                <w:lang w:eastAsia="en-AU"/>
              </w:rPr>
            </w:pPr>
            <w:r w:rsidRPr="00E44122">
              <w:rPr>
                <w:rFonts w:eastAsiaTheme="minorEastAsia" w:cs="Calibri"/>
                <w:b/>
                <w:bCs/>
                <w:color w:val="000000"/>
                <w:sz w:val="16"/>
                <w:szCs w:val="16"/>
                <w:lang w:eastAsia="en-AU"/>
              </w:rPr>
              <w:t xml:space="preserve">Total commitments for public private partnerships </w:t>
            </w:r>
            <w:r w:rsidRPr="00E44122">
              <w:rPr>
                <w:rFonts w:eastAsiaTheme="minorEastAsia" w:cs="Calibri"/>
                <w:b/>
                <w:bCs/>
                <w:color w:val="000000"/>
                <w:sz w:val="16"/>
                <w:szCs w:val="16"/>
                <w:vertAlign w:val="superscript"/>
                <w:lang w:eastAsia="en-AU"/>
              </w:rPr>
              <w:t>(c)</w:t>
            </w:r>
          </w:p>
        </w:tc>
        <w:tc>
          <w:tcPr>
            <w:tcW w:w="1174" w:type="dxa"/>
            <w:gridSpan w:val="3"/>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1077" w:type="dxa"/>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10 642</w:t>
            </w:r>
          </w:p>
        </w:tc>
        <w:tc>
          <w:tcPr>
            <w:tcW w:w="1077" w:type="dxa"/>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27 698</w:t>
            </w:r>
          </w:p>
        </w:tc>
        <w:tc>
          <w:tcPr>
            <w:tcW w:w="886" w:type="dxa"/>
            <w:gridSpan w:val="3"/>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1019" w:type="dxa"/>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10 444</w:t>
            </w:r>
          </w:p>
        </w:tc>
        <w:tc>
          <w:tcPr>
            <w:tcW w:w="1066" w:type="dxa"/>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27 439</w:t>
            </w:r>
          </w:p>
        </w:tc>
        <w:tc>
          <w:tcPr>
            <w:tcW w:w="896" w:type="dxa"/>
            <w:gridSpan w:val="2"/>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1066" w:type="dxa"/>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10 251</w:t>
            </w:r>
          </w:p>
        </w:tc>
        <w:tc>
          <w:tcPr>
            <w:tcW w:w="1077" w:type="dxa"/>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24 067</w:t>
            </w:r>
          </w:p>
        </w:tc>
        <w:tc>
          <w:tcPr>
            <w:tcW w:w="890" w:type="dxa"/>
            <w:gridSpan w:val="2"/>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1054" w:type="dxa"/>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10 043</w:t>
            </w:r>
          </w:p>
        </w:tc>
        <w:tc>
          <w:tcPr>
            <w:tcW w:w="1054" w:type="dxa"/>
            <w:tcBorders>
              <w:top w:val="single" w:sz="6" w:space="0" w:color="auto"/>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23 681</w:t>
            </w:r>
          </w:p>
        </w:tc>
      </w:tr>
      <w:tr w:rsidR="00BB6F1F" w:rsidRPr="00E44122" w:rsidTr="00B933FD">
        <w:tc>
          <w:tcPr>
            <w:cnfStyle w:val="001000000000" w:firstRow="0" w:lastRow="0" w:firstColumn="1" w:lastColumn="0" w:oddVBand="0" w:evenVBand="0" w:oddHBand="0" w:evenHBand="0" w:firstRowFirstColumn="0" w:firstRowLastColumn="0" w:lastRowFirstColumn="0" w:lastRowLastColumn="0"/>
            <w:tcW w:w="2211" w:type="dxa"/>
            <w:tcBorders>
              <w:top w:val="single" w:sz="6" w:space="0" w:color="auto"/>
              <w:left w:val="nil"/>
              <w:bottom w:val="nil"/>
              <w:right w:val="nil"/>
            </w:tcBorders>
          </w:tcPr>
          <w:p w:rsidR="00BB6F1F" w:rsidRPr="00E44122" w:rsidRDefault="00BB6F1F" w:rsidP="001828C5">
            <w:pPr>
              <w:keepLines w:val="0"/>
              <w:autoSpaceDE w:val="0"/>
              <w:autoSpaceDN w:val="0"/>
              <w:adjustRightInd w:val="0"/>
              <w:rPr>
                <w:rFonts w:eastAsiaTheme="minorEastAsia" w:cs="Calibri"/>
                <w:b/>
                <w:bCs/>
                <w:color w:val="000000"/>
                <w:sz w:val="16"/>
                <w:szCs w:val="16"/>
                <w:vertAlign w:val="superscript"/>
                <w:lang w:eastAsia="en-AU"/>
              </w:rPr>
            </w:pPr>
            <w:r w:rsidRPr="00E44122">
              <w:rPr>
                <w:rFonts w:eastAsiaTheme="minorEastAsia" w:cs="Calibri"/>
                <w:b/>
                <w:bCs/>
                <w:color w:val="000000"/>
                <w:sz w:val="16"/>
                <w:szCs w:val="16"/>
                <w:lang w:eastAsia="en-AU"/>
              </w:rPr>
              <w:t xml:space="preserve">Total commitments </w:t>
            </w:r>
            <w:r w:rsidRPr="00E44122">
              <w:rPr>
                <w:rFonts w:eastAsiaTheme="minorEastAsia" w:cs="Calibri"/>
                <w:b/>
                <w:bCs/>
                <w:color w:val="000000"/>
                <w:sz w:val="16"/>
                <w:szCs w:val="16"/>
                <w:lang w:eastAsia="en-AU"/>
              </w:rPr>
              <w:br/>
              <w:t xml:space="preserve">(inclusive of GST) </w:t>
            </w:r>
            <w:r w:rsidRPr="00E44122">
              <w:rPr>
                <w:rFonts w:eastAsiaTheme="minorEastAsia" w:cs="Calibri"/>
                <w:b/>
                <w:bCs/>
                <w:color w:val="000000"/>
                <w:sz w:val="16"/>
                <w:szCs w:val="16"/>
                <w:vertAlign w:val="superscript"/>
                <w:lang w:eastAsia="en-AU"/>
              </w:rPr>
              <w:t>(c)(d)</w:t>
            </w:r>
          </w:p>
        </w:tc>
        <w:tc>
          <w:tcPr>
            <w:tcW w:w="1174" w:type="dxa"/>
            <w:gridSpan w:val="3"/>
            <w:tcBorders>
              <w:top w:val="single" w:sz="6" w:space="0" w:color="auto"/>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1077" w:type="dxa"/>
            <w:tcBorders>
              <w:top w:val="single" w:sz="6" w:space="0" w:color="auto"/>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1077" w:type="dxa"/>
            <w:tcBorders>
              <w:top w:val="single" w:sz="6" w:space="0" w:color="auto"/>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52 451</w:t>
            </w:r>
          </w:p>
        </w:tc>
        <w:tc>
          <w:tcPr>
            <w:tcW w:w="886" w:type="dxa"/>
            <w:gridSpan w:val="3"/>
            <w:tcBorders>
              <w:top w:val="single" w:sz="6" w:space="0" w:color="auto"/>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1019" w:type="dxa"/>
            <w:tcBorders>
              <w:top w:val="single" w:sz="6" w:space="0" w:color="auto"/>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1066" w:type="dxa"/>
            <w:tcBorders>
              <w:top w:val="single" w:sz="6" w:space="0" w:color="auto"/>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50 034</w:t>
            </w:r>
          </w:p>
        </w:tc>
        <w:tc>
          <w:tcPr>
            <w:tcW w:w="896" w:type="dxa"/>
            <w:gridSpan w:val="2"/>
            <w:tcBorders>
              <w:top w:val="single" w:sz="6" w:space="0" w:color="auto"/>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1066" w:type="dxa"/>
            <w:tcBorders>
              <w:top w:val="single" w:sz="6" w:space="0" w:color="auto"/>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1077" w:type="dxa"/>
            <w:tcBorders>
              <w:top w:val="single" w:sz="6" w:space="0" w:color="auto"/>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48 537</w:t>
            </w:r>
          </w:p>
        </w:tc>
        <w:tc>
          <w:tcPr>
            <w:tcW w:w="890" w:type="dxa"/>
            <w:gridSpan w:val="2"/>
            <w:tcBorders>
              <w:top w:val="single" w:sz="6" w:space="0" w:color="auto"/>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1054" w:type="dxa"/>
            <w:tcBorders>
              <w:top w:val="single" w:sz="6" w:space="0" w:color="auto"/>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 xml:space="preserve"> </w:t>
            </w:r>
          </w:p>
        </w:tc>
        <w:tc>
          <w:tcPr>
            <w:tcW w:w="1054" w:type="dxa"/>
            <w:tcBorders>
              <w:top w:val="single" w:sz="6" w:space="0" w:color="auto"/>
              <w:left w:val="nil"/>
              <w:bottom w:val="nil"/>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E44122">
              <w:rPr>
                <w:rFonts w:eastAsiaTheme="minorEastAsia" w:cs="Calibri"/>
                <w:b/>
                <w:bCs/>
                <w:color w:val="000000"/>
                <w:sz w:val="16"/>
                <w:szCs w:val="16"/>
                <w:lang w:eastAsia="en-AU"/>
              </w:rPr>
              <w:t>46 469</w:t>
            </w:r>
          </w:p>
        </w:tc>
      </w:tr>
      <w:tr w:rsidR="00BB6F1F" w:rsidRPr="00E44122" w:rsidTr="00B933FD">
        <w:tc>
          <w:tcPr>
            <w:cnfStyle w:val="001000000000" w:firstRow="0" w:lastRow="0" w:firstColumn="1" w:lastColumn="0" w:oddVBand="0" w:evenVBand="0" w:oddHBand="0" w:evenHBand="0" w:firstRowFirstColumn="0" w:firstRowLastColumn="0" w:lastRowFirstColumn="0" w:lastRowLastColumn="0"/>
            <w:tcW w:w="2211" w:type="dxa"/>
            <w:tcBorders>
              <w:top w:val="nil"/>
              <w:left w:val="nil"/>
              <w:bottom w:val="single" w:sz="6" w:space="0" w:color="auto"/>
              <w:right w:val="nil"/>
            </w:tcBorders>
          </w:tcPr>
          <w:p w:rsidR="00BB6F1F" w:rsidRPr="00E44122" w:rsidRDefault="00BB6F1F" w:rsidP="00AC68FF">
            <w:pPr>
              <w:keepLines w:val="0"/>
              <w:autoSpaceDE w:val="0"/>
              <w:autoSpaceDN w:val="0"/>
              <w:adjustRightInd w:val="0"/>
              <w:rPr>
                <w:rFonts w:eastAsiaTheme="minorEastAsia" w:cs="Calibri"/>
                <w:color w:val="000000"/>
                <w:sz w:val="16"/>
                <w:szCs w:val="16"/>
                <w:vertAlign w:val="superscript"/>
                <w:lang w:eastAsia="en-AU"/>
              </w:rPr>
            </w:pPr>
            <w:r w:rsidRPr="00E44122">
              <w:rPr>
                <w:rFonts w:eastAsiaTheme="minorEastAsia" w:cs="Calibri"/>
                <w:color w:val="000000"/>
                <w:sz w:val="16"/>
                <w:szCs w:val="16"/>
                <w:lang w:eastAsia="en-AU"/>
              </w:rPr>
              <w:t xml:space="preserve">Less GST recoverable from the Australian Tax Office </w:t>
            </w:r>
            <w:r w:rsidRPr="00E44122">
              <w:rPr>
                <w:rFonts w:eastAsiaTheme="minorEastAsia" w:cs="Calibri"/>
                <w:color w:val="000000"/>
                <w:sz w:val="16"/>
                <w:szCs w:val="16"/>
                <w:vertAlign w:val="superscript"/>
                <w:lang w:eastAsia="en-AU"/>
              </w:rPr>
              <w:t>(c)</w:t>
            </w:r>
          </w:p>
        </w:tc>
        <w:tc>
          <w:tcPr>
            <w:tcW w:w="1174" w:type="dxa"/>
            <w:gridSpan w:val="3"/>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4 768</w:t>
            </w:r>
          </w:p>
        </w:tc>
        <w:tc>
          <w:tcPr>
            <w:tcW w:w="886" w:type="dxa"/>
            <w:gridSpan w:val="3"/>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19" w:type="dxa"/>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66" w:type="dxa"/>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4 549</w:t>
            </w:r>
          </w:p>
        </w:tc>
        <w:tc>
          <w:tcPr>
            <w:tcW w:w="896" w:type="dxa"/>
            <w:gridSpan w:val="2"/>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66" w:type="dxa"/>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77" w:type="dxa"/>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4 412</w:t>
            </w:r>
          </w:p>
        </w:tc>
        <w:tc>
          <w:tcPr>
            <w:tcW w:w="890" w:type="dxa"/>
            <w:gridSpan w:val="2"/>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54" w:type="dxa"/>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 xml:space="preserve"> </w:t>
            </w:r>
          </w:p>
        </w:tc>
        <w:tc>
          <w:tcPr>
            <w:tcW w:w="1054" w:type="dxa"/>
            <w:tcBorders>
              <w:top w:val="nil"/>
              <w:left w:val="nil"/>
              <w:bottom w:val="single" w:sz="6" w:space="0" w:color="auto"/>
              <w:right w:val="nil"/>
            </w:tcBorders>
          </w:tcPr>
          <w:p w:rsidR="00BB6F1F" w:rsidRPr="00E4412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E44122">
              <w:rPr>
                <w:rFonts w:eastAsiaTheme="minorEastAsia" w:cs="Calibri"/>
                <w:color w:val="000000"/>
                <w:sz w:val="16"/>
                <w:szCs w:val="16"/>
                <w:lang w:eastAsia="en-AU"/>
              </w:rPr>
              <w:t>4 224</w:t>
            </w:r>
          </w:p>
        </w:tc>
      </w:tr>
      <w:tr w:rsidR="00BB6F1F" w:rsidRPr="00E44122" w:rsidTr="00B933F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1" w:type="dxa"/>
            <w:tcBorders>
              <w:top w:val="single" w:sz="6" w:space="0" w:color="auto"/>
              <w:bottom w:val="single" w:sz="12" w:space="0" w:color="auto"/>
            </w:tcBorders>
          </w:tcPr>
          <w:p w:rsidR="00BB6F1F" w:rsidRPr="00E44122" w:rsidRDefault="00BB6F1F" w:rsidP="001828C5">
            <w:pPr>
              <w:keepLines w:val="0"/>
              <w:autoSpaceDE w:val="0"/>
              <w:autoSpaceDN w:val="0"/>
              <w:adjustRightInd w:val="0"/>
              <w:rPr>
                <w:rFonts w:eastAsiaTheme="minorEastAsia" w:cs="Calibri"/>
                <w:bCs/>
                <w:color w:val="000000"/>
                <w:sz w:val="16"/>
                <w:szCs w:val="16"/>
                <w:vertAlign w:val="superscript"/>
                <w:lang w:eastAsia="en-AU"/>
              </w:rPr>
            </w:pPr>
            <w:r w:rsidRPr="00E44122">
              <w:rPr>
                <w:rFonts w:eastAsiaTheme="minorEastAsia" w:cs="Calibri"/>
                <w:bCs/>
                <w:color w:val="000000"/>
                <w:sz w:val="16"/>
                <w:szCs w:val="16"/>
                <w:lang w:eastAsia="en-AU"/>
              </w:rPr>
              <w:t xml:space="preserve">Total commitments </w:t>
            </w:r>
            <w:r w:rsidRPr="00E44122">
              <w:rPr>
                <w:rFonts w:eastAsiaTheme="minorEastAsia" w:cs="Calibri"/>
                <w:bCs/>
                <w:color w:val="000000"/>
                <w:sz w:val="16"/>
                <w:szCs w:val="16"/>
                <w:lang w:eastAsia="en-AU"/>
              </w:rPr>
              <w:br/>
              <w:t xml:space="preserve">(exclusive of GST) </w:t>
            </w:r>
            <w:r w:rsidRPr="00E44122">
              <w:rPr>
                <w:rFonts w:eastAsiaTheme="minorEastAsia" w:cs="Calibri"/>
                <w:bCs/>
                <w:color w:val="000000"/>
                <w:sz w:val="16"/>
                <w:szCs w:val="16"/>
                <w:vertAlign w:val="superscript"/>
                <w:lang w:eastAsia="en-AU"/>
              </w:rPr>
              <w:t>(c)(d)</w:t>
            </w:r>
          </w:p>
        </w:tc>
        <w:tc>
          <w:tcPr>
            <w:tcW w:w="1174" w:type="dxa"/>
            <w:gridSpan w:val="3"/>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E44122">
              <w:rPr>
                <w:rFonts w:eastAsiaTheme="minorEastAsia" w:cs="Calibri"/>
                <w:bCs/>
                <w:color w:val="000000"/>
                <w:sz w:val="16"/>
                <w:szCs w:val="16"/>
                <w:lang w:eastAsia="en-AU"/>
              </w:rPr>
              <w:t xml:space="preserve"> </w:t>
            </w:r>
          </w:p>
        </w:tc>
        <w:tc>
          <w:tcPr>
            <w:tcW w:w="1077" w:type="dxa"/>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E44122">
              <w:rPr>
                <w:rFonts w:eastAsiaTheme="minorEastAsia" w:cs="Calibri"/>
                <w:bCs/>
                <w:color w:val="000000"/>
                <w:sz w:val="16"/>
                <w:szCs w:val="16"/>
                <w:lang w:eastAsia="en-AU"/>
              </w:rPr>
              <w:t xml:space="preserve"> </w:t>
            </w:r>
          </w:p>
        </w:tc>
        <w:tc>
          <w:tcPr>
            <w:tcW w:w="1077" w:type="dxa"/>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E44122">
              <w:rPr>
                <w:rFonts w:eastAsiaTheme="minorEastAsia" w:cs="Calibri"/>
                <w:bCs/>
                <w:color w:val="000000"/>
                <w:sz w:val="16"/>
                <w:szCs w:val="16"/>
                <w:lang w:eastAsia="en-AU"/>
              </w:rPr>
              <w:t>47 683</w:t>
            </w:r>
          </w:p>
        </w:tc>
        <w:tc>
          <w:tcPr>
            <w:tcW w:w="886" w:type="dxa"/>
            <w:gridSpan w:val="3"/>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E44122">
              <w:rPr>
                <w:rFonts w:eastAsiaTheme="minorEastAsia" w:cs="Calibri"/>
                <w:bCs/>
                <w:color w:val="000000"/>
                <w:sz w:val="16"/>
                <w:szCs w:val="16"/>
                <w:lang w:eastAsia="en-AU"/>
              </w:rPr>
              <w:t xml:space="preserve"> </w:t>
            </w:r>
          </w:p>
        </w:tc>
        <w:tc>
          <w:tcPr>
            <w:tcW w:w="1019" w:type="dxa"/>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E44122">
              <w:rPr>
                <w:rFonts w:eastAsiaTheme="minorEastAsia" w:cs="Calibri"/>
                <w:bCs/>
                <w:color w:val="000000"/>
                <w:sz w:val="16"/>
                <w:szCs w:val="16"/>
                <w:lang w:eastAsia="en-AU"/>
              </w:rPr>
              <w:t xml:space="preserve"> </w:t>
            </w:r>
          </w:p>
        </w:tc>
        <w:tc>
          <w:tcPr>
            <w:tcW w:w="1066" w:type="dxa"/>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E44122">
              <w:rPr>
                <w:rFonts w:eastAsiaTheme="minorEastAsia" w:cs="Calibri"/>
                <w:bCs/>
                <w:color w:val="000000"/>
                <w:sz w:val="16"/>
                <w:szCs w:val="16"/>
                <w:lang w:eastAsia="en-AU"/>
              </w:rPr>
              <w:t>45 486</w:t>
            </w:r>
          </w:p>
        </w:tc>
        <w:tc>
          <w:tcPr>
            <w:tcW w:w="896" w:type="dxa"/>
            <w:gridSpan w:val="2"/>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E44122">
              <w:rPr>
                <w:rFonts w:eastAsiaTheme="minorEastAsia" w:cs="Calibri"/>
                <w:bCs/>
                <w:color w:val="000000"/>
                <w:sz w:val="16"/>
                <w:szCs w:val="16"/>
                <w:lang w:eastAsia="en-AU"/>
              </w:rPr>
              <w:t xml:space="preserve"> </w:t>
            </w:r>
          </w:p>
        </w:tc>
        <w:tc>
          <w:tcPr>
            <w:tcW w:w="1066" w:type="dxa"/>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E44122">
              <w:rPr>
                <w:rFonts w:eastAsiaTheme="minorEastAsia" w:cs="Calibri"/>
                <w:bCs/>
                <w:color w:val="000000"/>
                <w:sz w:val="16"/>
                <w:szCs w:val="16"/>
                <w:lang w:eastAsia="en-AU"/>
              </w:rPr>
              <w:t xml:space="preserve"> </w:t>
            </w:r>
          </w:p>
        </w:tc>
        <w:tc>
          <w:tcPr>
            <w:tcW w:w="1077" w:type="dxa"/>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E44122">
              <w:rPr>
                <w:rFonts w:eastAsiaTheme="minorEastAsia" w:cs="Calibri"/>
                <w:bCs/>
                <w:color w:val="000000"/>
                <w:sz w:val="16"/>
                <w:szCs w:val="16"/>
                <w:lang w:eastAsia="en-AU"/>
              </w:rPr>
              <w:t>44 124</w:t>
            </w:r>
          </w:p>
        </w:tc>
        <w:tc>
          <w:tcPr>
            <w:tcW w:w="890" w:type="dxa"/>
            <w:gridSpan w:val="2"/>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E44122">
              <w:rPr>
                <w:rFonts w:eastAsiaTheme="minorEastAsia" w:cs="Calibri"/>
                <w:bCs/>
                <w:color w:val="000000"/>
                <w:sz w:val="16"/>
                <w:szCs w:val="16"/>
                <w:lang w:eastAsia="en-AU"/>
              </w:rPr>
              <w:t xml:space="preserve"> </w:t>
            </w:r>
          </w:p>
        </w:tc>
        <w:tc>
          <w:tcPr>
            <w:tcW w:w="1054" w:type="dxa"/>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E44122">
              <w:rPr>
                <w:rFonts w:eastAsiaTheme="minorEastAsia" w:cs="Calibri"/>
                <w:bCs/>
                <w:color w:val="000000"/>
                <w:sz w:val="16"/>
                <w:szCs w:val="16"/>
                <w:lang w:eastAsia="en-AU"/>
              </w:rPr>
              <w:t xml:space="preserve"> </w:t>
            </w:r>
          </w:p>
        </w:tc>
        <w:tc>
          <w:tcPr>
            <w:tcW w:w="1054" w:type="dxa"/>
            <w:tcBorders>
              <w:top w:val="single" w:sz="6" w:space="0" w:color="auto"/>
              <w:bottom w:val="single" w:sz="12" w:space="0" w:color="auto"/>
            </w:tcBorders>
          </w:tcPr>
          <w:p w:rsidR="00BB6F1F" w:rsidRPr="00E4412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E44122">
              <w:rPr>
                <w:rFonts w:eastAsiaTheme="minorEastAsia" w:cs="Calibri"/>
                <w:bCs/>
                <w:color w:val="000000"/>
                <w:sz w:val="16"/>
                <w:szCs w:val="16"/>
                <w:lang w:eastAsia="en-AU"/>
              </w:rPr>
              <w:t>42 245</w:t>
            </w:r>
          </w:p>
        </w:tc>
      </w:tr>
    </w:tbl>
    <w:p w:rsidR="00BB6F1F" w:rsidRDefault="00BB6F1F" w:rsidP="00AC68FF">
      <w:pPr>
        <w:pStyle w:val="Note"/>
      </w:pPr>
      <w:r>
        <w:t>Notes:</w:t>
      </w:r>
    </w:p>
    <w:p w:rsidR="00BB6F1F" w:rsidRDefault="00BB6F1F" w:rsidP="00AC68FF">
      <w:pPr>
        <w:pStyle w:val="Note"/>
      </w:pPr>
      <w:r>
        <w:t>(a)</w:t>
      </w:r>
      <w:r>
        <w:tab/>
        <w:t>The minimum lease payments of commissioned public private partnerships (PPP) are recognised on the balance sheet and are not disclosed as a commitment.</w:t>
      </w:r>
    </w:p>
    <w:p w:rsidR="00BB6F1F" w:rsidRDefault="00BB6F1F" w:rsidP="00AC68FF">
      <w:pPr>
        <w:pStyle w:val="Note"/>
      </w:pPr>
      <w:r>
        <w:t>(b)</w:t>
      </w:r>
      <w:r>
        <w:tab/>
      </w:r>
      <w:r w:rsidRPr="006D3EBC">
        <w:t>The discounted value of the ‘minimum lease payments’ has been discounted to the expected date of commissioning and the present value of ‘other commitments’ have been discounted to 30 June of the respective financial years. After adjusting for GST, the discounted value of minimum lease payments reflects the expected impact on the balance sheet when the PPP is commissioned.</w:t>
      </w:r>
    </w:p>
    <w:p w:rsidR="00BB6F1F" w:rsidRDefault="00BB6F1F" w:rsidP="00AC68FF">
      <w:pPr>
        <w:pStyle w:val="Note"/>
      </w:pPr>
      <w:r>
        <w:t>(c)</w:t>
      </w:r>
      <w:r>
        <w:tab/>
      </w:r>
      <w:r w:rsidRPr="008C00E4">
        <w:t>June 2016 comparative figures have been restated to reflect more current information.</w:t>
      </w:r>
    </w:p>
    <w:p w:rsidR="00BB6F1F" w:rsidRDefault="00BB6F1F" w:rsidP="00AC68FF">
      <w:pPr>
        <w:pStyle w:val="Note"/>
      </w:pPr>
      <w:r>
        <w:t>(d)</w:t>
      </w:r>
      <w:r>
        <w:tab/>
      </w:r>
      <w:r w:rsidRPr="007D25DF">
        <w:t>Total commitments include commitments of both PPPs and non PPPs.</w:t>
      </w:r>
    </w:p>
    <w:p w:rsidR="00BB6F1F" w:rsidRDefault="00BB6F1F" w:rsidP="00AC68FF">
      <w:pPr>
        <w:sectPr w:rsidR="00BB6F1F" w:rsidSect="00AC68FF">
          <w:headerReference w:type="even" r:id="rId76"/>
          <w:headerReference w:type="default" r:id="rId77"/>
          <w:footerReference w:type="even" r:id="rId78"/>
          <w:footerReference w:type="default" r:id="rId79"/>
          <w:pgSz w:w="16839" w:h="11907" w:orient="landscape" w:code="9"/>
          <w:pgMar w:top="1134" w:right="1134" w:bottom="1134" w:left="1134" w:header="624" w:footer="567" w:gutter="0"/>
          <w:cols w:sep="1" w:space="567"/>
          <w:docGrid w:linePitch="360"/>
        </w:sectPr>
      </w:pPr>
    </w:p>
    <w:p w:rsidR="00BB6F1F" w:rsidRDefault="00BB6F1F" w:rsidP="00BB6F1F">
      <w:pPr>
        <w:pStyle w:val="Heading2"/>
        <w:numPr>
          <w:ilvl w:val="1"/>
          <w:numId w:val="24"/>
        </w:numPr>
        <w:spacing w:before="0"/>
      </w:pPr>
      <w:bookmarkStart w:id="42" w:name="_Toc492984855"/>
      <w:r>
        <w:lastRenderedPageBreak/>
        <w:t>Other commitments</w:t>
      </w:r>
      <w:bookmarkEnd w:id="42"/>
    </w:p>
    <w:p w:rsidR="00BB6F1F" w:rsidRDefault="00BB6F1F" w:rsidP="00AC68FF">
      <w:r>
        <w:t>Commitments for future expenditure include operating and capital commitments arising from contracts.</w:t>
      </w:r>
    </w:p>
    <w:p w:rsidR="00BB6F1F" w:rsidRDefault="00BB6F1F" w:rsidP="00AC68FF">
      <w:r>
        <w:t xml:space="preserve">These commitments are disclosed at their nominal value and inclusive of the GST payable. </w:t>
      </w:r>
    </w:p>
    <w:p w:rsidR="00BB6F1F" w:rsidRDefault="00BB6F1F" w:rsidP="00AC68FF">
      <w:r>
        <w:lastRenderedPageBreak/>
        <w:t xml:space="preserve">In addition, where it is considered appropriate and provides additional relevant information to users, the net present values of significant individual projects are stated. </w:t>
      </w:r>
    </w:p>
    <w:p w:rsidR="00BB6F1F" w:rsidRDefault="00BB6F1F" w:rsidP="00AC68FF">
      <w:r>
        <w:t xml:space="preserve">These future expenditures cease to be disclosed as commitments once the related liabilities are recognised in the consolidated balance sheet. </w:t>
      </w:r>
    </w:p>
    <w:p w:rsidR="00BB6F1F" w:rsidRDefault="00BB6F1F" w:rsidP="00AC68FF">
      <w:pPr>
        <w:pStyle w:val="TableHeading"/>
        <w:sectPr w:rsidR="00BB6F1F" w:rsidSect="00AC68FF">
          <w:headerReference w:type="even" r:id="rId80"/>
          <w:headerReference w:type="default" r:id="rId81"/>
          <w:footerReference w:type="even" r:id="rId82"/>
          <w:footerReference w:type="default" r:id="rId83"/>
          <w:pgSz w:w="11907" w:h="16839" w:code="9"/>
          <w:pgMar w:top="1134" w:right="1134" w:bottom="1134" w:left="1134" w:header="624" w:footer="567" w:gutter="0"/>
          <w:cols w:num="2" w:space="567"/>
          <w:docGrid w:linePitch="360"/>
        </w:sectPr>
      </w:pPr>
    </w:p>
    <w:p w:rsidR="00D82AC2" w:rsidRDefault="00D82AC2" w:rsidP="00D82AC2"/>
    <w:p w:rsidR="00BB6F1F" w:rsidRPr="00720FB2" w:rsidRDefault="00BB6F1F" w:rsidP="00AC68FF">
      <w:pPr>
        <w:pStyle w:val="TableHeading"/>
        <w:rPr>
          <w:bCs/>
          <w:lang w:val="en-US"/>
        </w:rPr>
      </w:pPr>
      <w:r>
        <w:t xml:space="preserve">Non-public private partnership commitments </w:t>
      </w:r>
      <w:r w:rsidRPr="000744CF">
        <w:rPr>
          <w:vertAlign w:val="superscript"/>
        </w:rPr>
        <w:t>(a)</w:t>
      </w:r>
      <w:r>
        <w:tab/>
        <w:t>($ million)</w:t>
      </w:r>
    </w:p>
    <w:tbl>
      <w:tblPr>
        <w:tblStyle w:val="DTFTable"/>
        <w:tblW w:w="9643" w:type="dxa"/>
        <w:tblInd w:w="45" w:type="dxa"/>
        <w:tblLayout w:type="fixed"/>
        <w:tblCellMar>
          <w:left w:w="45" w:type="dxa"/>
          <w:right w:w="45" w:type="dxa"/>
        </w:tblCellMar>
        <w:tblLook w:val="06E0" w:firstRow="1" w:lastRow="1" w:firstColumn="1" w:lastColumn="0" w:noHBand="1" w:noVBand="1"/>
      </w:tblPr>
      <w:tblGrid>
        <w:gridCol w:w="3543"/>
        <w:gridCol w:w="710"/>
        <w:gridCol w:w="815"/>
        <w:gridCol w:w="1525"/>
        <w:gridCol w:w="1525"/>
        <w:gridCol w:w="1525"/>
      </w:tblGrid>
      <w:tr w:rsidR="00BB6F1F" w:rsidRPr="00720FB2"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000000" w:fill="auto"/>
          </w:tcPr>
          <w:p w:rsidR="00BB6F1F" w:rsidRPr="00720FB2" w:rsidRDefault="00BB6F1F" w:rsidP="00AC68FF">
            <w:pPr>
              <w:autoSpaceDE w:val="0"/>
              <w:autoSpaceDN w:val="0"/>
              <w:adjustRightInd w:val="0"/>
              <w:rPr>
                <w:rFonts w:eastAsiaTheme="minorEastAsia" w:cs="Calibri"/>
                <w:iCs/>
                <w:color w:val="FFFFFF"/>
                <w:szCs w:val="20"/>
                <w:lang w:eastAsia="en-AU"/>
              </w:rPr>
            </w:pPr>
            <w:r w:rsidRPr="00720FB2">
              <w:rPr>
                <w:rFonts w:eastAsiaTheme="minorEastAsia" w:cs="Calibri"/>
                <w:iCs/>
                <w:color w:val="FFFFFF"/>
                <w:szCs w:val="20"/>
                <w:lang w:eastAsia="en-AU"/>
              </w:rPr>
              <w:t xml:space="preserve"> </w:t>
            </w:r>
          </w:p>
        </w:tc>
        <w:tc>
          <w:tcPr>
            <w:tcW w:w="1525" w:type="dxa"/>
            <w:gridSpan w:val="2"/>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20FB2">
              <w:rPr>
                <w:rFonts w:eastAsiaTheme="minorEastAsia" w:cs="Calibri"/>
                <w:iCs/>
                <w:color w:val="FFFFFF"/>
                <w:szCs w:val="20"/>
                <w:lang w:eastAsia="en-AU"/>
              </w:rPr>
              <w:t>State of Victoria</w:t>
            </w:r>
          </w:p>
        </w:tc>
        <w:tc>
          <w:tcPr>
            <w:tcW w:w="1525" w:type="dxa"/>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20FB2">
              <w:rPr>
                <w:rFonts w:eastAsiaTheme="minorEastAsia" w:cs="Calibri"/>
                <w:iCs/>
                <w:color w:val="FFFFFF"/>
                <w:szCs w:val="20"/>
                <w:lang w:eastAsia="en-AU"/>
              </w:rPr>
              <w:t xml:space="preserve">General </w:t>
            </w:r>
            <w:r>
              <w:rPr>
                <w:rFonts w:eastAsiaTheme="minorEastAsia" w:cs="Calibri"/>
                <w:iCs/>
                <w:color w:val="FFFFFF"/>
                <w:szCs w:val="20"/>
                <w:lang w:eastAsia="en-AU"/>
              </w:rPr>
              <w:br/>
            </w:r>
            <w:r w:rsidRPr="00720FB2">
              <w:rPr>
                <w:rFonts w:eastAsiaTheme="minorEastAsia" w:cs="Calibri"/>
                <w:iCs/>
                <w:color w:val="FFFFFF"/>
                <w:szCs w:val="20"/>
                <w:lang w:eastAsia="en-AU"/>
              </w:rPr>
              <w:t>government sector</w:t>
            </w:r>
          </w:p>
        </w:tc>
        <w:tc>
          <w:tcPr>
            <w:tcW w:w="1525" w:type="dxa"/>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20FB2">
              <w:rPr>
                <w:rFonts w:eastAsiaTheme="minorEastAsia" w:cs="Calibri"/>
                <w:iCs/>
                <w:color w:val="FFFFFF"/>
                <w:szCs w:val="20"/>
                <w:lang w:eastAsia="en-AU"/>
              </w:rPr>
              <w:t>State of Victoria</w:t>
            </w:r>
          </w:p>
        </w:tc>
        <w:tc>
          <w:tcPr>
            <w:tcW w:w="1525" w:type="dxa"/>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20FB2">
              <w:rPr>
                <w:rFonts w:eastAsiaTheme="minorEastAsia" w:cs="Calibri"/>
                <w:iCs/>
                <w:color w:val="FFFFFF"/>
                <w:szCs w:val="20"/>
                <w:lang w:eastAsia="en-AU"/>
              </w:rPr>
              <w:t xml:space="preserve">General </w:t>
            </w:r>
            <w:r>
              <w:rPr>
                <w:rFonts w:eastAsiaTheme="minorEastAsia" w:cs="Calibri"/>
                <w:iCs/>
                <w:color w:val="FFFFFF"/>
                <w:szCs w:val="20"/>
                <w:lang w:eastAsia="en-AU"/>
              </w:rPr>
              <w:br/>
            </w:r>
            <w:r w:rsidRPr="00720FB2">
              <w:rPr>
                <w:rFonts w:eastAsiaTheme="minorEastAsia" w:cs="Calibri"/>
                <w:iCs/>
                <w:color w:val="FFFFFF"/>
                <w:szCs w:val="20"/>
                <w:lang w:eastAsia="en-AU"/>
              </w:rPr>
              <w:t>government sector</w:t>
            </w:r>
          </w:p>
        </w:tc>
      </w:tr>
      <w:tr w:rsidR="00BB6F1F" w:rsidRPr="00720FB2"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rPr>
                <w:rFonts w:eastAsiaTheme="minorEastAsia" w:cs="Calibri"/>
                <w:iCs/>
                <w:color w:val="FFFFFF"/>
                <w:szCs w:val="20"/>
                <w:lang w:eastAsia="en-AU"/>
              </w:rPr>
            </w:pPr>
            <w:r w:rsidRPr="00720FB2">
              <w:rPr>
                <w:rFonts w:eastAsiaTheme="minorEastAsia" w:cs="Calibri"/>
                <w:iCs/>
                <w:color w:val="FFFFFF"/>
                <w:szCs w:val="20"/>
                <w:lang w:eastAsia="en-AU"/>
              </w:rPr>
              <w:t xml:space="preserve"> </w:t>
            </w:r>
          </w:p>
        </w:tc>
        <w:tc>
          <w:tcPr>
            <w:tcW w:w="1525" w:type="dxa"/>
            <w:gridSpan w:val="2"/>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20FB2">
              <w:rPr>
                <w:rFonts w:eastAsiaTheme="minorEastAsia" w:cs="Calibri"/>
                <w:iCs/>
                <w:color w:val="FFFFFF"/>
                <w:szCs w:val="20"/>
                <w:lang w:eastAsia="en-AU"/>
              </w:rPr>
              <w:t>2017</w:t>
            </w:r>
          </w:p>
        </w:tc>
        <w:tc>
          <w:tcPr>
            <w:tcW w:w="1525" w:type="dxa"/>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20FB2">
              <w:rPr>
                <w:rFonts w:eastAsiaTheme="minorEastAsia" w:cs="Calibri"/>
                <w:iCs/>
                <w:color w:val="FFFFFF"/>
                <w:szCs w:val="20"/>
                <w:lang w:eastAsia="en-AU"/>
              </w:rPr>
              <w:t>2017</w:t>
            </w:r>
          </w:p>
        </w:tc>
        <w:tc>
          <w:tcPr>
            <w:tcW w:w="1525" w:type="dxa"/>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20FB2">
              <w:rPr>
                <w:rFonts w:eastAsiaTheme="minorEastAsia" w:cs="Calibri"/>
                <w:iCs/>
                <w:color w:val="FFFFFF"/>
                <w:szCs w:val="20"/>
                <w:lang w:eastAsia="en-AU"/>
              </w:rPr>
              <w:t>2016</w:t>
            </w:r>
          </w:p>
        </w:tc>
        <w:tc>
          <w:tcPr>
            <w:tcW w:w="1525" w:type="dxa"/>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20FB2">
              <w:rPr>
                <w:rFonts w:eastAsiaTheme="minorEastAsia" w:cs="Calibri"/>
                <w:iCs/>
                <w:color w:val="FFFFFF"/>
                <w:szCs w:val="20"/>
                <w:lang w:eastAsia="en-AU"/>
              </w:rPr>
              <w:t>2016</w:t>
            </w:r>
          </w:p>
        </w:tc>
      </w:tr>
      <w:tr w:rsidR="00BB6F1F" w:rsidRPr="00720FB2"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rPr>
                <w:rFonts w:eastAsiaTheme="minorEastAsia" w:cs="Calibri"/>
                <w:iCs/>
                <w:color w:val="FFFFFF"/>
                <w:szCs w:val="20"/>
                <w:lang w:eastAsia="en-AU"/>
              </w:rPr>
            </w:pPr>
            <w:r w:rsidRPr="00720FB2">
              <w:rPr>
                <w:rFonts w:eastAsiaTheme="minorEastAsia" w:cs="Calibri"/>
                <w:iCs/>
                <w:color w:val="FFFFFF"/>
                <w:szCs w:val="20"/>
                <w:lang w:eastAsia="en-AU"/>
              </w:rPr>
              <w:t xml:space="preserve"> </w:t>
            </w:r>
          </w:p>
        </w:tc>
        <w:tc>
          <w:tcPr>
            <w:tcW w:w="1525" w:type="dxa"/>
            <w:gridSpan w:val="2"/>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20FB2">
              <w:rPr>
                <w:rFonts w:eastAsiaTheme="minorEastAsia" w:cs="Calibri"/>
                <w:iCs/>
                <w:color w:val="FFFFFF"/>
                <w:szCs w:val="20"/>
                <w:lang w:eastAsia="en-AU"/>
              </w:rPr>
              <w:t>Nominal value</w:t>
            </w:r>
          </w:p>
        </w:tc>
        <w:tc>
          <w:tcPr>
            <w:tcW w:w="1525" w:type="dxa"/>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20FB2">
              <w:rPr>
                <w:rFonts w:eastAsiaTheme="minorEastAsia" w:cs="Calibri"/>
                <w:iCs/>
                <w:color w:val="FFFFFF"/>
                <w:szCs w:val="20"/>
                <w:lang w:eastAsia="en-AU"/>
              </w:rPr>
              <w:t>Nominal value</w:t>
            </w:r>
          </w:p>
        </w:tc>
        <w:tc>
          <w:tcPr>
            <w:tcW w:w="1525" w:type="dxa"/>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20FB2">
              <w:rPr>
                <w:rFonts w:eastAsiaTheme="minorEastAsia" w:cs="Calibri"/>
                <w:iCs/>
                <w:color w:val="FFFFFF"/>
                <w:szCs w:val="20"/>
                <w:lang w:eastAsia="en-AU"/>
              </w:rPr>
              <w:t>Nominal value</w:t>
            </w:r>
          </w:p>
        </w:tc>
        <w:tc>
          <w:tcPr>
            <w:tcW w:w="1525" w:type="dxa"/>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20FB2">
              <w:rPr>
                <w:rFonts w:eastAsiaTheme="minorEastAsia" w:cs="Calibri"/>
                <w:iCs/>
                <w:color w:val="FFFFFF"/>
                <w:szCs w:val="20"/>
                <w:lang w:eastAsia="en-AU"/>
              </w:rPr>
              <w:t>Nominal value</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b/>
                <w:bCs/>
                <w:color w:val="000000"/>
                <w:szCs w:val="20"/>
                <w:lang w:eastAsia="en-AU"/>
              </w:rPr>
            </w:pPr>
            <w:r w:rsidRPr="00720FB2">
              <w:rPr>
                <w:rFonts w:eastAsiaTheme="minorEastAsia" w:cs="Calibri"/>
                <w:b/>
                <w:bCs/>
                <w:color w:val="000000"/>
                <w:szCs w:val="20"/>
                <w:lang w:eastAsia="en-AU"/>
              </w:rPr>
              <w:t>Capital expenditure commitments</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 xml:space="preserve"> </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Land and buildings</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919</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809</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872</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731</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Plant, equipment and vehicles</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255</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216</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246</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200</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Infrastructure systems</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3 981</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3 430</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3 715</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3 347</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Road networks and earthworks</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1 149</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1 149</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1 082</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1 082</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Other</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938</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858</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1 560</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1 543</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single" w:sz="6" w:space="0" w:color="auto"/>
              <w:left w:val="nil"/>
              <w:bottom w:val="single" w:sz="6" w:space="0" w:color="auto"/>
              <w:right w:val="nil"/>
            </w:tcBorders>
          </w:tcPr>
          <w:p w:rsidR="00BB6F1F" w:rsidRPr="00720FB2" w:rsidRDefault="00BB6F1F" w:rsidP="00AC68FF">
            <w:pPr>
              <w:keepLines w:val="0"/>
              <w:autoSpaceDE w:val="0"/>
              <w:autoSpaceDN w:val="0"/>
              <w:adjustRightInd w:val="0"/>
              <w:rPr>
                <w:rFonts w:eastAsiaTheme="minorEastAsia" w:cs="Calibri"/>
                <w:b/>
                <w:bCs/>
                <w:color w:val="000000"/>
                <w:szCs w:val="20"/>
                <w:lang w:eastAsia="en-AU"/>
              </w:rPr>
            </w:pPr>
            <w:r w:rsidRPr="00720FB2">
              <w:rPr>
                <w:rFonts w:eastAsiaTheme="minorEastAsia" w:cs="Calibri"/>
                <w:b/>
                <w:bCs/>
                <w:color w:val="000000"/>
                <w:szCs w:val="20"/>
                <w:lang w:eastAsia="en-AU"/>
              </w:rPr>
              <w:t>Total capital expenditure commitments</w:t>
            </w:r>
          </w:p>
        </w:tc>
        <w:tc>
          <w:tcPr>
            <w:tcW w:w="1525" w:type="dxa"/>
            <w:gridSpan w:val="2"/>
            <w:tcBorders>
              <w:top w:val="single" w:sz="6" w:space="0" w:color="auto"/>
              <w:left w:val="nil"/>
              <w:bottom w:val="single" w:sz="6" w:space="0" w:color="auto"/>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7 242</w:t>
            </w:r>
          </w:p>
        </w:tc>
        <w:tc>
          <w:tcPr>
            <w:tcW w:w="1525" w:type="dxa"/>
            <w:tcBorders>
              <w:top w:val="single" w:sz="6" w:space="0" w:color="auto"/>
              <w:left w:val="nil"/>
              <w:bottom w:val="single" w:sz="6" w:space="0" w:color="auto"/>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6 462</w:t>
            </w:r>
          </w:p>
        </w:tc>
        <w:tc>
          <w:tcPr>
            <w:tcW w:w="1525" w:type="dxa"/>
            <w:tcBorders>
              <w:top w:val="single" w:sz="6" w:space="0" w:color="auto"/>
              <w:left w:val="nil"/>
              <w:bottom w:val="single" w:sz="6" w:space="0" w:color="auto"/>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7 474</w:t>
            </w:r>
          </w:p>
        </w:tc>
        <w:tc>
          <w:tcPr>
            <w:tcW w:w="1525" w:type="dxa"/>
            <w:tcBorders>
              <w:top w:val="single" w:sz="6" w:space="0" w:color="auto"/>
              <w:left w:val="nil"/>
              <w:bottom w:val="single" w:sz="6" w:space="0" w:color="auto"/>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6 904</w:t>
            </w:r>
          </w:p>
        </w:tc>
      </w:tr>
      <w:tr w:rsidR="00BB6F1F" w:rsidRPr="00720FB2"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b/>
                <w:bCs/>
                <w:color w:val="000000"/>
                <w:szCs w:val="20"/>
                <w:lang w:eastAsia="en-AU"/>
              </w:rPr>
            </w:pPr>
            <w:r w:rsidRPr="00720FB2">
              <w:rPr>
                <w:rFonts w:eastAsiaTheme="minorEastAsia" w:cs="Calibri"/>
                <w:b/>
                <w:bCs/>
                <w:color w:val="000000"/>
                <w:szCs w:val="20"/>
                <w:lang w:eastAsia="en-AU"/>
              </w:rPr>
              <w:t xml:space="preserve"> </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 xml:space="preserve"> </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b/>
                <w:bCs/>
                <w:color w:val="000000"/>
                <w:szCs w:val="20"/>
                <w:lang w:eastAsia="en-AU"/>
              </w:rPr>
            </w:pPr>
            <w:r w:rsidRPr="00720FB2">
              <w:rPr>
                <w:rFonts w:eastAsiaTheme="minorEastAsia" w:cs="Calibri"/>
                <w:b/>
                <w:bCs/>
                <w:color w:val="000000"/>
                <w:szCs w:val="20"/>
                <w:lang w:eastAsia="en-AU"/>
              </w:rPr>
              <w:t>Operating and lease commitments</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 xml:space="preserve"> </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vertAlign w:val="superscript"/>
                <w:lang w:eastAsia="en-AU"/>
              </w:rPr>
            </w:pPr>
            <w:r w:rsidRPr="00720FB2">
              <w:rPr>
                <w:rFonts w:eastAsiaTheme="minorEastAsia" w:cs="Calibri"/>
                <w:color w:val="000000"/>
                <w:szCs w:val="20"/>
                <w:lang w:eastAsia="en-AU"/>
              </w:rPr>
              <w:t xml:space="preserve">Rail services </w:t>
            </w:r>
            <w:r w:rsidRPr="00720FB2">
              <w:rPr>
                <w:rFonts w:eastAsiaTheme="minorEastAsia" w:cs="Calibri"/>
                <w:color w:val="000000"/>
                <w:szCs w:val="20"/>
                <w:vertAlign w:val="superscript"/>
                <w:lang w:eastAsia="en-AU"/>
              </w:rPr>
              <w:t>(b)</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971</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965</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2 165</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2 165</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Bus services</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1 973</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1 964</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3 117</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3 116</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Other</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4 975</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3 976</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2 616</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1 769</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single" w:sz="6" w:space="0" w:color="auto"/>
              <w:left w:val="nil"/>
              <w:bottom w:val="single" w:sz="6" w:space="0" w:color="auto"/>
              <w:right w:val="nil"/>
            </w:tcBorders>
          </w:tcPr>
          <w:p w:rsidR="00BB6F1F" w:rsidRPr="00720FB2" w:rsidRDefault="00BB6F1F" w:rsidP="00AC68FF">
            <w:pPr>
              <w:keepLines w:val="0"/>
              <w:autoSpaceDE w:val="0"/>
              <w:autoSpaceDN w:val="0"/>
              <w:adjustRightInd w:val="0"/>
              <w:rPr>
                <w:rFonts w:eastAsiaTheme="minorEastAsia" w:cs="Calibri"/>
                <w:b/>
                <w:bCs/>
                <w:color w:val="000000"/>
                <w:szCs w:val="20"/>
                <w:lang w:eastAsia="en-AU"/>
              </w:rPr>
            </w:pPr>
            <w:r w:rsidRPr="00720FB2">
              <w:rPr>
                <w:rFonts w:eastAsiaTheme="minorEastAsia" w:cs="Calibri"/>
                <w:b/>
                <w:bCs/>
                <w:color w:val="000000"/>
                <w:szCs w:val="20"/>
                <w:lang w:eastAsia="en-AU"/>
              </w:rPr>
              <w:t>Total operating and lease commitments</w:t>
            </w:r>
          </w:p>
        </w:tc>
        <w:tc>
          <w:tcPr>
            <w:tcW w:w="1525" w:type="dxa"/>
            <w:gridSpan w:val="2"/>
            <w:tcBorders>
              <w:top w:val="single" w:sz="6" w:space="0" w:color="auto"/>
              <w:left w:val="nil"/>
              <w:bottom w:val="single" w:sz="6" w:space="0" w:color="auto"/>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7 920</w:t>
            </w:r>
          </w:p>
        </w:tc>
        <w:tc>
          <w:tcPr>
            <w:tcW w:w="1525" w:type="dxa"/>
            <w:tcBorders>
              <w:top w:val="single" w:sz="6" w:space="0" w:color="auto"/>
              <w:left w:val="nil"/>
              <w:bottom w:val="single" w:sz="6" w:space="0" w:color="auto"/>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6 905</w:t>
            </w:r>
          </w:p>
        </w:tc>
        <w:tc>
          <w:tcPr>
            <w:tcW w:w="1525" w:type="dxa"/>
            <w:tcBorders>
              <w:top w:val="single" w:sz="6" w:space="0" w:color="auto"/>
              <w:left w:val="nil"/>
              <w:bottom w:val="single" w:sz="6" w:space="0" w:color="auto"/>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7 897</w:t>
            </w:r>
          </w:p>
        </w:tc>
        <w:tc>
          <w:tcPr>
            <w:tcW w:w="1525" w:type="dxa"/>
            <w:tcBorders>
              <w:top w:val="single" w:sz="6" w:space="0" w:color="auto"/>
              <w:left w:val="nil"/>
              <w:bottom w:val="single" w:sz="6" w:space="0" w:color="auto"/>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7 050</w:t>
            </w:r>
          </w:p>
        </w:tc>
      </w:tr>
      <w:tr w:rsidR="00BB6F1F" w:rsidRPr="00720FB2"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 xml:space="preserve"> </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 xml:space="preserve"> </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b/>
                <w:bCs/>
                <w:color w:val="000000"/>
                <w:szCs w:val="20"/>
                <w:lang w:eastAsia="en-AU"/>
              </w:rPr>
            </w:pPr>
            <w:r w:rsidRPr="00720FB2">
              <w:rPr>
                <w:rFonts w:eastAsiaTheme="minorEastAsia" w:cs="Calibri"/>
                <w:b/>
                <w:bCs/>
                <w:color w:val="000000"/>
                <w:szCs w:val="20"/>
                <w:lang w:eastAsia="en-AU"/>
              </w:rPr>
              <w:t>Other commitments</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 xml:space="preserve"> </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Building occupancy services</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65</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Capital investment commitments</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189</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239</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Commercial contracts</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248</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165</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220</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119</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Debt collection services (Traffic camera office)</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35</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35</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Emergency Alert System</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 xml:space="preserve">Goulburn-Murray Water Connections Project  </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281</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65</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577</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Hopkins Correctional Centre</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453</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453</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468</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468</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Information technology</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188</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184</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53</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47</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New ticketing solution (</w:t>
            </w:r>
            <w:r w:rsidRPr="002F016E">
              <w:rPr>
                <w:rFonts w:eastAsiaTheme="minorEastAsia" w:cs="Calibri"/>
                <w:i/>
                <w:color w:val="000000"/>
                <w:szCs w:val="20"/>
                <w:lang w:eastAsia="en-AU"/>
              </w:rPr>
              <w:t>myki</w:t>
            </w:r>
            <w:r w:rsidRPr="00720FB2">
              <w:rPr>
                <w:rFonts w:eastAsiaTheme="minorEastAsia" w:cs="Calibri"/>
                <w:color w:val="000000"/>
                <w:szCs w:val="20"/>
                <w:lang w:eastAsia="en-AU"/>
              </w:rPr>
              <w:t>)</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728</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728</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69</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69</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Outsourcing of services</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321</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180</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430</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248</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Policing services</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Port Phillip Prison</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3 236</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3 236</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3 644</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3 644</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Traffic camera services (Traffic camera office)</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75</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75</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81</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81</w:t>
            </w:r>
          </w:p>
        </w:tc>
      </w:tr>
      <w:tr w:rsidR="00BB6F1F" w:rsidRPr="00720FB2" w:rsidTr="002F016E">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Transport Accident Commission funded medical research</w:t>
            </w:r>
          </w:p>
        </w:tc>
        <w:tc>
          <w:tcPr>
            <w:tcW w:w="81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Other</w:t>
            </w:r>
          </w:p>
        </w:tc>
        <w:tc>
          <w:tcPr>
            <w:tcW w:w="1525" w:type="dxa"/>
            <w:gridSpan w:val="2"/>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4 056</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3 809</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3 754</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3 453</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single" w:sz="6" w:space="0" w:color="auto"/>
              <w:left w:val="nil"/>
              <w:bottom w:val="single" w:sz="6" w:space="0" w:color="auto"/>
              <w:right w:val="nil"/>
            </w:tcBorders>
          </w:tcPr>
          <w:p w:rsidR="00BB6F1F" w:rsidRPr="00720FB2" w:rsidRDefault="00BB6F1F" w:rsidP="00AC68FF">
            <w:pPr>
              <w:keepLines w:val="0"/>
              <w:autoSpaceDE w:val="0"/>
              <w:autoSpaceDN w:val="0"/>
              <w:adjustRightInd w:val="0"/>
              <w:rPr>
                <w:rFonts w:eastAsiaTheme="minorEastAsia" w:cs="Calibri"/>
                <w:b/>
                <w:bCs/>
                <w:color w:val="000000"/>
                <w:szCs w:val="20"/>
                <w:lang w:eastAsia="en-AU"/>
              </w:rPr>
            </w:pPr>
            <w:r w:rsidRPr="00720FB2">
              <w:rPr>
                <w:rFonts w:eastAsiaTheme="minorEastAsia" w:cs="Calibri"/>
                <w:b/>
                <w:bCs/>
                <w:color w:val="000000"/>
                <w:szCs w:val="20"/>
                <w:lang w:eastAsia="en-AU"/>
              </w:rPr>
              <w:t>Total other commitments</w:t>
            </w:r>
          </w:p>
        </w:tc>
        <w:tc>
          <w:tcPr>
            <w:tcW w:w="1525" w:type="dxa"/>
            <w:gridSpan w:val="2"/>
            <w:tcBorders>
              <w:top w:val="single" w:sz="6" w:space="0" w:color="auto"/>
              <w:left w:val="nil"/>
              <w:bottom w:val="single" w:sz="6" w:space="0" w:color="auto"/>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9 591</w:t>
            </w:r>
          </w:p>
        </w:tc>
        <w:tc>
          <w:tcPr>
            <w:tcW w:w="1525" w:type="dxa"/>
            <w:tcBorders>
              <w:top w:val="single" w:sz="6" w:space="0" w:color="auto"/>
              <w:left w:val="nil"/>
              <w:bottom w:val="single" w:sz="6" w:space="0" w:color="auto"/>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9 228</w:t>
            </w:r>
          </w:p>
        </w:tc>
        <w:tc>
          <w:tcPr>
            <w:tcW w:w="1525" w:type="dxa"/>
            <w:tcBorders>
              <w:top w:val="single" w:sz="6" w:space="0" w:color="auto"/>
              <w:left w:val="nil"/>
              <w:bottom w:val="single" w:sz="6" w:space="0" w:color="auto"/>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9 099</w:t>
            </w:r>
          </w:p>
        </w:tc>
        <w:tc>
          <w:tcPr>
            <w:tcW w:w="1525" w:type="dxa"/>
            <w:tcBorders>
              <w:top w:val="single" w:sz="6" w:space="0" w:color="auto"/>
              <w:left w:val="nil"/>
              <w:bottom w:val="single" w:sz="6" w:space="0" w:color="auto"/>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8 834</w:t>
            </w:r>
          </w:p>
        </w:tc>
      </w:tr>
      <w:tr w:rsidR="00BB6F1F" w:rsidRPr="00720FB2"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Borders>
              <w:top w:val="single" w:sz="6" w:space="0" w:color="auto"/>
              <w:bottom w:val="single" w:sz="12" w:space="0" w:color="auto"/>
            </w:tcBorders>
          </w:tcPr>
          <w:p w:rsidR="00BB6F1F" w:rsidRPr="00720FB2" w:rsidRDefault="00BB6F1F" w:rsidP="00AC68FF">
            <w:pPr>
              <w:keepLines w:val="0"/>
              <w:autoSpaceDE w:val="0"/>
              <w:autoSpaceDN w:val="0"/>
              <w:adjustRightInd w:val="0"/>
              <w:rPr>
                <w:rFonts w:eastAsiaTheme="minorEastAsia" w:cs="Calibri"/>
                <w:bCs/>
                <w:color w:val="000000"/>
                <w:szCs w:val="20"/>
                <w:lang w:eastAsia="en-AU"/>
              </w:rPr>
            </w:pPr>
            <w:r w:rsidRPr="00720FB2">
              <w:rPr>
                <w:rFonts w:eastAsiaTheme="minorEastAsia" w:cs="Calibri"/>
                <w:bCs/>
                <w:color w:val="000000"/>
                <w:szCs w:val="20"/>
                <w:lang w:eastAsia="en-AU"/>
              </w:rPr>
              <w:t>Total commitments</w:t>
            </w:r>
          </w:p>
        </w:tc>
        <w:tc>
          <w:tcPr>
            <w:tcW w:w="1525" w:type="dxa"/>
            <w:gridSpan w:val="2"/>
            <w:tcBorders>
              <w:top w:val="single" w:sz="6" w:space="0" w:color="auto"/>
              <w:bottom w:val="single" w:sz="12" w:space="0" w:color="auto"/>
            </w:tcBorders>
          </w:tcPr>
          <w:p w:rsidR="00BB6F1F" w:rsidRPr="00720FB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720FB2">
              <w:rPr>
                <w:rFonts w:eastAsiaTheme="minorEastAsia" w:cs="Calibri"/>
                <w:bCs/>
                <w:color w:val="000000"/>
                <w:szCs w:val="20"/>
                <w:lang w:eastAsia="en-AU"/>
              </w:rPr>
              <w:t>24 753</w:t>
            </w:r>
          </w:p>
        </w:tc>
        <w:tc>
          <w:tcPr>
            <w:tcW w:w="1525" w:type="dxa"/>
            <w:tcBorders>
              <w:top w:val="single" w:sz="6" w:space="0" w:color="auto"/>
              <w:bottom w:val="single" w:sz="12" w:space="0" w:color="auto"/>
            </w:tcBorders>
          </w:tcPr>
          <w:p w:rsidR="00BB6F1F" w:rsidRPr="00720FB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720FB2">
              <w:rPr>
                <w:rFonts w:eastAsiaTheme="minorEastAsia" w:cs="Calibri"/>
                <w:bCs/>
                <w:color w:val="000000"/>
                <w:szCs w:val="20"/>
                <w:lang w:eastAsia="en-AU"/>
              </w:rPr>
              <w:t>22 595</w:t>
            </w:r>
          </w:p>
        </w:tc>
        <w:tc>
          <w:tcPr>
            <w:tcW w:w="1525" w:type="dxa"/>
            <w:tcBorders>
              <w:top w:val="single" w:sz="6" w:space="0" w:color="auto"/>
              <w:bottom w:val="single" w:sz="12" w:space="0" w:color="auto"/>
            </w:tcBorders>
          </w:tcPr>
          <w:p w:rsidR="00BB6F1F" w:rsidRPr="00720FB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720FB2">
              <w:rPr>
                <w:rFonts w:eastAsiaTheme="minorEastAsia" w:cs="Calibri"/>
                <w:bCs/>
                <w:color w:val="000000"/>
                <w:szCs w:val="20"/>
                <w:lang w:eastAsia="en-AU"/>
              </w:rPr>
              <w:t>24 469</w:t>
            </w:r>
          </w:p>
        </w:tc>
        <w:tc>
          <w:tcPr>
            <w:tcW w:w="1525" w:type="dxa"/>
            <w:tcBorders>
              <w:top w:val="single" w:sz="6" w:space="0" w:color="auto"/>
              <w:bottom w:val="single" w:sz="12" w:space="0" w:color="auto"/>
            </w:tcBorders>
          </w:tcPr>
          <w:p w:rsidR="00BB6F1F" w:rsidRPr="00720FB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720FB2">
              <w:rPr>
                <w:rFonts w:eastAsiaTheme="minorEastAsia" w:cs="Calibri"/>
                <w:bCs/>
                <w:color w:val="000000"/>
                <w:szCs w:val="20"/>
                <w:lang w:eastAsia="en-AU"/>
              </w:rPr>
              <w:t>22 787</w:t>
            </w:r>
          </w:p>
        </w:tc>
      </w:tr>
    </w:tbl>
    <w:p w:rsidR="00BB6F1F" w:rsidRDefault="00BB6F1F" w:rsidP="00AC68FF">
      <w:pPr>
        <w:pStyle w:val="Note"/>
      </w:pPr>
      <w:r>
        <w:t>Notes:</w:t>
      </w:r>
    </w:p>
    <w:p w:rsidR="00BB6F1F" w:rsidRDefault="00BB6F1F" w:rsidP="00AC68FF">
      <w:pPr>
        <w:pStyle w:val="Note"/>
      </w:pPr>
      <w:r w:rsidRPr="006D3EBC">
        <w:t>(a)</w:t>
      </w:r>
      <w:r w:rsidRPr="006D3EBC">
        <w:tab/>
        <w:t>The figures presented are inclusive of GST.</w:t>
      </w:r>
    </w:p>
    <w:p w:rsidR="00BB6F1F" w:rsidRDefault="00BB6F1F" w:rsidP="00AC68FF">
      <w:pPr>
        <w:pStyle w:val="Note"/>
      </w:pPr>
      <w:r>
        <w:t>(b)</w:t>
      </w:r>
      <w:r>
        <w:tab/>
      </w:r>
      <w:r w:rsidRPr="00EC3157">
        <w:t xml:space="preserve">On 12 September 2017, the Victorian Government announced its intention to enter into new contracts with Metro Trains Melbourne and </w:t>
      </w:r>
      <w:proofErr w:type="spellStart"/>
      <w:r w:rsidRPr="00EC3157">
        <w:t>Keolis</w:t>
      </w:r>
      <w:proofErr w:type="spellEnd"/>
      <w:r w:rsidRPr="00EC3157">
        <w:t xml:space="preserve"> Downer</w:t>
      </w:r>
      <w:r w:rsidR="002F016E">
        <w:t xml:space="preserve"> to operate Melbourne’</w:t>
      </w:r>
      <w:r w:rsidRPr="00EC3157">
        <w:t>s train and tram networks for the next seven years. The new franchise term is due to commence on 30 November 2017.</w:t>
      </w:r>
    </w:p>
    <w:p w:rsidR="00BB6F1F" w:rsidRPr="006D3EBC" w:rsidRDefault="00BB6F1F" w:rsidP="00AC68FF">
      <w:pPr>
        <w:pStyle w:val="Note"/>
      </w:pPr>
    </w:p>
    <w:p w:rsidR="00BB6F1F" w:rsidRPr="006D3EBC" w:rsidRDefault="00BB6F1F" w:rsidP="00AC68FF">
      <w:pPr>
        <w:pStyle w:val="Note"/>
      </w:pPr>
    </w:p>
    <w:p w:rsidR="00BB6F1F" w:rsidRDefault="00BB6F1F" w:rsidP="00AC68FF">
      <w:pPr>
        <w:rPr>
          <w:sz w:val="20"/>
          <w:szCs w:val="20"/>
        </w:rPr>
      </w:pPr>
      <w:r>
        <w:br w:type="page"/>
      </w:r>
    </w:p>
    <w:p w:rsidR="00BB6F1F" w:rsidRPr="00720FB2" w:rsidRDefault="00BB6F1F" w:rsidP="00AC68FF">
      <w:pPr>
        <w:pStyle w:val="TableHeading"/>
        <w:rPr>
          <w:bCs/>
          <w:lang w:val="en-US"/>
        </w:rPr>
      </w:pPr>
      <w:r w:rsidRPr="00EA2408">
        <w:lastRenderedPageBreak/>
        <w:t>Commitment payables</w:t>
      </w:r>
      <w:r>
        <w:t xml:space="preserve"> </w:t>
      </w:r>
      <w:r w:rsidRPr="006D3EBC">
        <w:rPr>
          <w:vertAlign w:val="superscript"/>
        </w:rPr>
        <w:t>(a)</w:t>
      </w:r>
      <w:r w:rsidRPr="00EA2408">
        <w:tab/>
        <w:t>($ million)</w:t>
      </w:r>
    </w:p>
    <w:tbl>
      <w:tblPr>
        <w:tblStyle w:val="DTFTable"/>
        <w:tblW w:w="9643" w:type="dxa"/>
        <w:tblInd w:w="45" w:type="dxa"/>
        <w:tblLayout w:type="fixed"/>
        <w:tblCellMar>
          <w:left w:w="45" w:type="dxa"/>
          <w:right w:w="45" w:type="dxa"/>
        </w:tblCellMar>
        <w:tblLook w:val="06E0" w:firstRow="1" w:lastRow="1" w:firstColumn="1" w:lastColumn="0" w:noHBand="1" w:noVBand="1"/>
      </w:tblPr>
      <w:tblGrid>
        <w:gridCol w:w="3543"/>
        <w:gridCol w:w="1525"/>
        <w:gridCol w:w="1525"/>
        <w:gridCol w:w="1525"/>
        <w:gridCol w:w="1525"/>
      </w:tblGrid>
      <w:tr w:rsidR="00BB6F1F" w:rsidRPr="00720FB2"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000000" w:fill="auto"/>
          </w:tcPr>
          <w:p w:rsidR="00BB6F1F" w:rsidRPr="00720FB2" w:rsidRDefault="00BB6F1F" w:rsidP="00AC68FF">
            <w:pPr>
              <w:autoSpaceDE w:val="0"/>
              <w:autoSpaceDN w:val="0"/>
              <w:adjustRightInd w:val="0"/>
              <w:rPr>
                <w:rFonts w:eastAsiaTheme="minorEastAsia" w:cs="Calibri"/>
                <w:iCs/>
                <w:color w:val="FFFFFF"/>
                <w:szCs w:val="20"/>
                <w:lang w:eastAsia="en-AU"/>
              </w:rPr>
            </w:pPr>
            <w:r w:rsidRPr="00720FB2">
              <w:rPr>
                <w:rFonts w:eastAsiaTheme="minorEastAsia" w:cs="Calibri"/>
                <w:iCs/>
                <w:color w:val="FFFFFF"/>
                <w:szCs w:val="20"/>
                <w:lang w:eastAsia="en-AU"/>
              </w:rPr>
              <w:t xml:space="preserve"> </w:t>
            </w:r>
          </w:p>
        </w:tc>
        <w:tc>
          <w:tcPr>
            <w:tcW w:w="1525" w:type="dxa"/>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p w:rsidR="00BB6F1F" w:rsidRPr="00720FB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20FB2">
              <w:rPr>
                <w:rFonts w:eastAsiaTheme="minorEastAsia" w:cs="Calibri"/>
                <w:iCs/>
                <w:color w:val="FFFFFF"/>
                <w:szCs w:val="20"/>
                <w:lang w:eastAsia="en-AU"/>
              </w:rPr>
              <w:t>State of Victoria</w:t>
            </w:r>
          </w:p>
        </w:tc>
        <w:tc>
          <w:tcPr>
            <w:tcW w:w="1525" w:type="dxa"/>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20FB2">
              <w:rPr>
                <w:rFonts w:eastAsiaTheme="minorEastAsia" w:cs="Calibri"/>
                <w:iCs/>
                <w:color w:val="FFFFFF"/>
                <w:szCs w:val="20"/>
                <w:lang w:eastAsia="en-AU"/>
              </w:rPr>
              <w:t xml:space="preserve">General </w:t>
            </w:r>
            <w:r>
              <w:rPr>
                <w:rFonts w:eastAsiaTheme="minorEastAsia" w:cs="Calibri"/>
                <w:iCs/>
                <w:color w:val="FFFFFF"/>
                <w:szCs w:val="20"/>
                <w:lang w:eastAsia="en-AU"/>
              </w:rPr>
              <w:br/>
            </w:r>
            <w:r w:rsidRPr="00720FB2">
              <w:rPr>
                <w:rFonts w:eastAsiaTheme="minorEastAsia" w:cs="Calibri"/>
                <w:iCs/>
                <w:color w:val="FFFFFF"/>
                <w:szCs w:val="20"/>
                <w:lang w:eastAsia="en-AU"/>
              </w:rPr>
              <w:t>government sector</w:t>
            </w:r>
          </w:p>
        </w:tc>
        <w:tc>
          <w:tcPr>
            <w:tcW w:w="1525" w:type="dxa"/>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p w:rsidR="00BB6F1F" w:rsidRPr="00720FB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20FB2">
              <w:rPr>
                <w:rFonts w:eastAsiaTheme="minorEastAsia" w:cs="Calibri"/>
                <w:iCs/>
                <w:color w:val="FFFFFF"/>
                <w:szCs w:val="20"/>
                <w:lang w:eastAsia="en-AU"/>
              </w:rPr>
              <w:t>State of Victoria</w:t>
            </w:r>
          </w:p>
        </w:tc>
        <w:tc>
          <w:tcPr>
            <w:tcW w:w="1525" w:type="dxa"/>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20FB2">
              <w:rPr>
                <w:rFonts w:eastAsiaTheme="minorEastAsia" w:cs="Calibri"/>
                <w:iCs/>
                <w:color w:val="FFFFFF"/>
                <w:szCs w:val="20"/>
                <w:lang w:eastAsia="en-AU"/>
              </w:rPr>
              <w:t xml:space="preserve">General </w:t>
            </w:r>
            <w:r>
              <w:rPr>
                <w:rFonts w:eastAsiaTheme="minorEastAsia" w:cs="Calibri"/>
                <w:iCs/>
                <w:color w:val="FFFFFF"/>
                <w:szCs w:val="20"/>
                <w:lang w:eastAsia="en-AU"/>
              </w:rPr>
              <w:br/>
            </w:r>
            <w:r w:rsidRPr="00720FB2">
              <w:rPr>
                <w:rFonts w:eastAsiaTheme="minorEastAsia" w:cs="Calibri"/>
                <w:iCs/>
                <w:color w:val="FFFFFF"/>
                <w:szCs w:val="20"/>
                <w:lang w:eastAsia="en-AU"/>
              </w:rPr>
              <w:t>government sector</w:t>
            </w:r>
          </w:p>
        </w:tc>
      </w:tr>
      <w:tr w:rsidR="00BB6F1F" w:rsidRPr="00720FB2"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rPr>
                <w:rFonts w:eastAsiaTheme="minorEastAsia" w:cs="Calibri"/>
                <w:iCs/>
                <w:color w:val="FFFFFF"/>
                <w:szCs w:val="20"/>
                <w:lang w:eastAsia="en-AU"/>
              </w:rPr>
            </w:pPr>
            <w:r w:rsidRPr="00720FB2">
              <w:rPr>
                <w:rFonts w:eastAsiaTheme="minorEastAsia" w:cs="Calibri"/>
                <w:iCs/>
                <w:color w:val="FFFFFF"/>
                <w:szCs w:val="20"/>
                <w:lang w:eastAsia="en-AU"/>
              </w:rPr>
              <w:t>Nominal values</w:t>
            </w:r>
          </w:p>
        </w:tc>
        <w:tc>
          <w:tcPr>
            <w:tcW w:w="1525" w:type="dxa"/>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20FB2">
              <w:rPr>
                <w:rFonts w:eastAsiaTheme="minorEastAsia" w:cs="Calibri"/>
                <w:iCs/>
                <w:color w:val="FFFFFF"/>
                <w:szCs w:val="20"/>
                <w:lang w:eastAsia="en-AU"/>
              </w:rPr>
              <w:t>2017</w:t>
            </w:r>
          </w:p>
        </w:tc>
        <w:tc>
          <w:tcPr>
            <w:tcW w:w="1525" w:type="dxa"/>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20FB2">
              <w:rPr>
                <w:rFonts w:eastAsiaTheme="minorEastAsia" w:cs="Calibri"/>
                <w:iCs/>
                <w:color w:val="FFFFFF"/>
                <w:szCs w:val="20"/>
                <w:lang w:eastAsia="en-AU"/>
              </w:rPr>
              <w:t>2017</w:t>
            </w:r>
          </w:p>
        </w:tc>
        <w:tc>
          <w:tcPr>
            <w:tcW w:w="1525" w:type="dxa"/>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20FB2">
              <w:rPr>
                <w:rFonts w:eastAsiaTheme="minorEastAsia" w:cs="Calibri"/>
                <w:iCs/>
                <w:color w:val="FFFFFF"/>
                <w:szCs w:val="20"/>
                <w:lang w:eastAsia="en-AU"/>
              </w:rPr>
              <w:t>2016</w:t>
            </w:r>
          </w:p>
        </w:tc>
        <w:tc>
          <w:tcPr>
            <w:tcW w:w="1525" w:type="dxa"/>
            <w:tcBorders>
              <w:top w:val="nil"/>
              <w:left w:val="nil"/>
              <w:bottom w:val="nil"/>
              <w:right w:val="nil"/>
            </w:tcBorders>
            <w:shd w:val="solid" w:color="000000" w:fill="auto"/>
          </w:tcPr>
          <w:p w:rsidR="00BB6F1F" w:rsidRPr="00720FB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20FB2">
              <w:rPr>
                <w:rFonts w:eastAsiaTheme="minorEastAsia" w:cs="Calibri"/>
                <w:iCs/>
                <w:color w:val="FFFFFF"/>
                <w:szCs w:val="20"/>
                <w:lang w:eastAsia="en-AU"/>
              </w:rPr>
              <w:t>2016</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b/>
                <w:bCs/>
                <w:color w:val="000000"/>
                <w:szCs w:val="20"/>
                <w:lang w:eastAsia="en-AU"/>
              </w:rPr>
            </w:pPr>
            <w:r w:rsidRPr="00720FB2">
              <w:rPr>
                <w:rFonts w:eastAsiaTheme="minorEastAsia" w:cs="Calibri"/>
                <w:b/>
                <w:bCs/>
                <w:color w:val="000000"/>
                <w:szCs w:val="20"/>
                <w:lang w:eastAsia="en-AU"/>
              </w:rPr>
              <w:t>Capital expenditure commitments payable</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FFFFFF"/>
                <w:szCs w:val="20"/>
                <w:lang w:eastAsia="en-AU"/>
              </w:rPr>
            </w:pPr>
            <w:r w:rsidRPr="00720FB2">
              <w:rPr>
                <w:rFonts w:eastAsiaTheme="minorEastAsia" w:cs="Calibri"/>
                <w:b/>
                <w:bCs/>
                <w:color w:val="FFFFFF"/>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FFFFFF"/>
                <w:szCs w:val="20"/>
                <w:lang w:eastAsia="en-AU"/>
              </w:rPr>
            </w:pPr>
            <w:r w:rsidRPr="00720FB2">
              <w:rPr>
                <w:rFonts w:eastAsiaTheme="minorEastAsia" w:cs="Calibri"/>
                <w:b/>
                <w:bCs/>
                <w:color w:val="FFFFFF"/>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 xml:space="preserve"> </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Less than 1 year</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5 436</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4 782</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4 354</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3 752</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1 year but less than 5 years</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1 768</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1 643</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3 073</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3 106</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single" w:sz="6" w:space="0" w:color="auto"/>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5 years or more</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38</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w:t>
            </w:r>
          </w:p>
        </w:tc>
        <w:tc>
          <w:tcPr>
            <w:tcW w:w="1525" w:type="dxa"/>
            <w:tcBorders>
              <w:top w:val="nil"/>
              <w:left w:val="nil"/>
              <w:bottom w:val="single" w:sz="6" w:space="0" w:color="auto"/>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47</w:t>
            </w:r>
          </w:p>
        </w:tc>
        <w:tc>
          <w:tcPr>
            <w:tcW w:w="1525" w:type="dxa"/>
            <w:tcBorders>
              <w:top w:val="nil"/>
              <w:left w:val="nil"/>
              <w:bottom w:val="single" w:sz="6" w:space="0" w:color="auto"/>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47</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b/>
                <w:bCs/>
                <w:color w:val="000000"/>
                <w:szCs w:val="20"/>
                <w:lang w:eastAsia="en-AU"/>
              </w:rPr>
            </w:pPr>
            <w:r w:rsidRPr="00720FB2">
              <w:rPr>
                <w:rFonts w:eastAsiaTheme="minorEastAsia" w:cs="Calibri"/>
                <w:b/>
                <w:bCs/>
                <w:color w:val="000000"/>
                <w:szCs w:val="20"/>
                <w:lang w:eastAsia="en-AU"/>
              </w:rPr>
              <w:t>Total capital expenditure commitments</w:t>
            </w:r>
          </w:p>
        </w:tc>
        <w:tc>
          <w:tcPr>
            <w:tcW w:w="1525" w:type="dxa"/>
            <w:tcBorders>
              <w:top w:val="single" w:sz="6" w:space="0" w:color="auto"/>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7 242</w:t>
            </w:r>
          </w:p>
        </w:tc>
        <w:tc>
          <w:tcPr>
            <w:tcW w:w="1525" w:type="dxa"/>
            <w:tcBorders>
              <w:top w:val="single" w:sz="6" w:space="0" w:color="auto"/>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6 462</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7 474</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6 904</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b/>
                <w:bCs/>
                <w:color w:val="000000"/>
                <w:szCs w:val="20"/>
                <w:lang w:eastAsia="en-AU"/>
              </w:rPr>
            </w:pPr>
            <w:r w:rsidRPr="00720FB2">
              <w:rPr>
                <w:rFonts w:eastAsiaTheme="minorEastAsia" w:cs="Calibri"/>
                <w:b/>
                <w:bCs/>
                <w:color w:val="000000"/>
                <w:szCs w:val="20"/>
                <w:lang w:eastAsia="en-AU"/>
              </w:rPr>
              <w:t>Operating and lease commitments payable</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 xml:space="preserve"> </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Less than 1 year</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2 361</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2 220</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3 157</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3 050</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1 year but less than 5 years</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2 256</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1 899</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3 911</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3 656</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single" w:sz="6" w:space="0" w:color="auto"/>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5 years or more</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3 303</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2 786</w:t>
            </w:r>
          </w:p>
        </w:tc>
        <w:tc>
          <w:tcPr>
            <w:tcW w:w="1525" w:type="dxa"/>
            <w:tcBorders>
              <w:top w:val="nil"/>
              <w:left w:val="nil"/>
              <w:bottom w:val="single" w:sz="6" w:space="0" w:color="auto"/>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830</w:t>
            </w:r>
          </w:p>
        </w:tc>
        <w:tc>
          <w:tcPr>
            <w:tcW w:w="1525" w:type="dxa"/>
            <w:tcBorders>
              <w:top w:val="nil"/>
              <w:left w:val="nil"/>
              <w:bottom w:val="single" w:sz="6" w:space="0" w:color="auto"/>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344</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b/>
                <w:bCs/>
                <w:color w:val="000000"/>
                <w:szCs w:val="20"/>
                <w:lang w:eastAsia="en-AU"/>
              </w:rPr>
            </w:pPr>
            <w:r w:rsidRPr="00720FB2">
              <w:rPr>
                <w:rFonts w:eastAsiaTheme="minorEastAsia" w:cs="Calibri"/>
                <w:b/>
                <w:bCs/>
                <w:color w:val="000000"/>
                <w:szCs w:val="20"/>
                <w:lang w:eastAsia="en-AU"/>
              </w:rPr>
              <w:t>Total operating and lease commitments</w:t>
            </w:r>
          </w:p>
        </w:tc>
        <w:tc>
          <w:tcPr>
            <w:tcW w:w="1525" w:type="dxa"/>
            <w:tcBorders>
              <w:top w:val="single" w:sz="6" w:space="0" w:color="auto"/>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7 920</w:t>
            </w:r>
          </w:p>
        </w:tc>
        <w:tc>
          <w:tcPr>
            <w:tcW w:w="1525" w:type="dxa"/>
            <w:tcBorders>
              <w:top w:val="single" w:sz="6" w:space="0" w:color="auto"/>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6 905</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7 897</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7 050</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b/>
                <w:bCs/>
                <w:color w:val="000000"/>
                <w:szCs w:val="20"/>
                <w:vertAlign w:val="superscript"/>
                <w:lang w:eastAsia="en-AU"/>
              </w:rPr>
            </w:pPr>
            <w:r w:rsidRPr="00720FB2">
              <w:rPr>
                <w:rFonts w:eastAsiaTheme="minorEastAsia" w:cs="Calibri"/>
                <w:b/>
                <w:bCs/>
                <w:color w:val="000000"/>
                <w:szCs w:val="20"/>
                <w:lang w:eastAsia="en-AU"/>
              </w:rPr>
              <w:t>Public private partnership commitments</w:t>
            </w:r>
            <w:r w:rsidRPr="00720FB2">
              <w:rPr>
                <w:rFonts w:eastAsiaTheme="minorEastAsia" w:cs="Calibri"/>
                <w:b/>
                <w:bCs/>
                <w:color w:val="000000"/>
                <w:szCs w:val="20"/>
                <w:vertAlign w:val="superscript"/>
                <w:lang w:eastAsia="en-AU"/>
              </w:rPr>
              <w:t xml:space="preserve"> (b)</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 xml:space="preserve"> </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Less than 1 year</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1 045</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1 028</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1 166</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1 144</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1 year but less than 5 years</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3 447</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3 368</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3 633</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3 536</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single" w:sz="6" w:space="0" w:color="auto"/>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5 years or more</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23 206</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23 044</w:t>
            </w:r>
          </w:p>
        </w:tc>
        <w:tc>
          <w:tcPr>
            <w:tcW w:w="1525" w:type="dxa"/>
            <w:tcBorders>
              <w:top w:val="nil"/>
              <w:left w:val="nil"/>
              <w:bottom w:val="single" w:sz="6" w:space="0" w:color="auto"/>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19 268</w:t>
            </w:r>
          </w:p>
        </w:tc>
        <w:tc>
          <w:tcPr>
            <w:tcW w:w="1525" w:type="dxa"/>
            <w:tcBorders>
              <w:top w:val="nil"/>
              <w:left w:val="nil"/>
              <w:bottom w:val="single" w:sz="6" w:space="0" w:color="auto"/>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19 001</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b/>
                <w:bCs/>
                <w:color w:val="000000"/>
                <w:szCs w:val="20"/>
                <w:lang w:eastAsia="en-AU"/>
              </w:rPr>
            </w:pPr>
            <w:r w:rsidRPr="00720FB2">
              <w:rPr>
                <w:rFonts w:eastAsiaTheme="minorEastAsia" w:cs="Calibri"/>
                <w:b/>
                <w:bCs/>
                <w:color w:val="000000"/>
                <w:szCs w:val="20"/>
                <w:lang w:eastAsia="en-AU"/>
              </w:rPr>
              <w:t xml:space="preserve">Total public private partnership commitments </w:t>
            </w:r>
          </w:p>
        </w:tc>
        <w:tc>
          <w:tcPr>
            <w:tcW w:w="1525" w:type="dxa"/>
            <w:tcBorders>
              <w:top w:val="single" w:sz="6" w:space="0" w:color="auto"/>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27 698</w:t>
            </w:r>
          </w:p>
        </w:tc>
        <w:tc>
          <w:tcPr>
            <w:tcW w:w="1525" w:type="dxa"/>
            <w:tcBorders>
              <w:top w:val="single" w:sz="6" w:space="0" w:color="auto"/>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27 439</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24 067</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23 681</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b/>
                <w:bCs/>
                <w:color w:val="000000"/>
                <w:szCs w:val="20"/>
                <w:lang w:eastAsia="en-AU"/>
              </w:rPr>
            </w:pPr>
            <w:r w:rsidRPr="00720FB2">
              <w:rPr>
                <w:rFonts w:eastAsiaTheme="minorEastAsia" w:cs="Calibri"/>
                <w:b/>
                <w:bCs/>
                <w:color w:val="000000"/>
                <w:szCs w:val="20"/>
                <w:lang w:eastAsia="en-AU"/>
              </w:rPr>
              <w:t>Total other commitments payable</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 xml:space="preserve"> </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 xml:space="preserve"> </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Less than 1 year</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2 941</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2 883</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2 441</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2 364</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1 year but less than 5 years</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3 179</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2 948</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2 901</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2 794</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single" w:sz="6" w:space="0" w:color="auto"/>
              <w:right w:val="nil"/>
            </w:tcBorders>
          </w:tcPr>
          <w:p w:rsidR="00BB6F1F" w:rsidRPr="00720FB2" w:rsidRDefault="00BB6F1F" w:rsidP="00AC68FF">
            <w:pPr>
              <w:keepLines w:val="0"/>
              <w:autoSpaceDE w:val="0"/>
              <w:autoSpaceDN w:val="0"/>
              <w:adjustRightInd w:val="0"/>
              <w:rPr>
                <w:rFonts w:eastAsiaTheme="minorEastAsia" w:cs="Calibri"/>
                <w:color w:val="000000"/>
                <w:szCs w:val="20"/>
                <w:lang w:eastAsia="en-AU"/>
              </w:rPr>
            </w:pPr>
            <w:r w:rsidRPr="00720FB2">
              <w:rPr>
                <w:rFonts w:eastAsiaTheme="minorEastAsia" w:cs="Calibri"/>
                <w:color w:val="000000"/>
                <w:szCs w:val="20"/>
                <w:lang w:eastAsia="en-AU"/>
              </w:rPr>
              <w:t>5 years or more</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3 471</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3 397</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3 757</w:t>
            </w:r>
          </w:p>
        </w:tc>
        <w:tc>
          <w:tcPr>
            <w:tcW w:w="1525" w:type="dxa"/>
            <w:tcBorders>
              <w:top w:val="nil"/>
              <w:left w:val="nil"/>
              <w:bottom w:val="nil"/>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20FB2">
              <w:rPr>
                <w:rFonts w:eastAsiaTheme="minorEastAsia" w:cs="Calibri"/>
                <w:color w:val="000000"/>
                <w:szCs w:val="20"/>
                <w:lang w:eastAsia="en-AU"/>
              </w:rPr>
              <w:t>3 676</w:t>
            </w:r>
          </w:p>
        </w:tc>
      </w:tr>
      <w:tr w:rsidR="00BB6F1F" w:rsidRPr="00720FB2" w:rsidTr="00AC68FF">
        <w:tc>
          <w:tcPr>
            <w:cnfStyle w:val="001000000000" w:firstRow="0" w:lastRow="0" w:firstColumn="1" w:lastColumn="0" w:oddVBand="0" w:evenVBand="0" w:oddHBand="0" w:evenHBand="0" w:firstRowFirstColumn="0" w:firstRowLastColumn="0" w:lastRowFirstColumn="0" w:lastRowLastColumn="0"/>
            <w:tcW w:w="3543" w:type="dxa"/>
            <w:tcBorders>
              <w:top w:val="single" w:sz="6" w:space="0" w:color="auto"/>
              <w:left w:val="nil"/>
              <w:bottom w:val="single" w:sz="6" w:space="0" w:color="auto"/>
              <w:right w:val="nil"/>
            </w:tcBorders>
          </w:tcPr>
          <w:p w:rsidR="00BB6F1F" w:rsidRPr="00720FB2" w:rsidRDefault="00BB6F1F" w:rsidP="00AC68FF">
            <w:pPr>
              <w:keepLines w:val="0"/>
              <w:autoSpaceDE w:val="0"/>
              <w:autoSpaceDN w:val="0"/>
              <w:adjustRightInd w:val="0"/>
              <w:rPr>
                <w:rFonts w:eastAsiaTheme="minorEastAsia" w:cs="Calibri"/>
                <w:b/>
                <w:bCs/>
                <w:color w:val="000000"/>
                <w:szCs w:val="20"/>
                <w:lang w:eastAsia="en-AU"/>
              </w:rPr>
            </w:pPr>
            <w:r w:rsidRPr="00720FB2">
              <w:rPr>
                <w:rFonts w:eastAsiaTheme="minorEastAsia" w:cs="Calibri"/>
                <w:b/>
                <w:bCs/>
                <w:color w:val="000000"/>
                <w:szCs w:val="20"/>
                <w:lang w:eastAsia="en-AU"/>
              </w:rPr>
              <w:t>Total other commitments</w:t>
            </w:r>
          </w:p>
        </w:tc>
        <w:tc>
          <w:tcPr>
            <w:tcW w:w="1525" w:type="dxa"/>
            <w:tcBorders>
              <w:top w:val="single" w:sz="6" w:space="0" w:color="auto"/>
              <w:left w:val="nil"/>
              <w:bottom w:val="single" w:sz="6" w:space="0" w:color="auto"/>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9 591</w:t>
            </w:r>
          </w:p>
        </w:tc>
        <w:tc>
          <w:tcPr>
            <w:tcW w:w="1525" w:type="dxa"/>
            <w:tcBorders>
              <w:top w:val="single" w:sz="6" w:space="0" w:color="auto"/>
              <w:left w:val="nil"/>
              <w:bottom w:val="single" w:sz="6" w:space="0" w:color="auto"/>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9 227</w:t>
            </w:r>
          </w:p>
        </w:tc>
        <w:tc>
          <w:tcPr>
            <w:tcW w:w="1525" w:type="dxa"/>
            <w:tcBorders>
              <w:top w:val="single" w:sz="6" w:space="0" w:color="auto"/>
              <w:left w:val="nil"/>
              <w:bottom w:val="single" w:sz="6" w:space="0" w:color="auto"/>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9 099</w:t>
            </w:r>
          </w:p>
        </w:tc>
        <w:tc>
          <w:tcPr>
            <w:tcW w:w="1525" w:type="dxa"/>
            <w:tcBorders>
              <w:top w:val="single" w:sz="6" w:space="0" w:color="auto"/>
              <w:left w:val="nil"/>
              <w:bottom w:val="single" w:sz="6" w:space="0" w:color="auto"/>
              <w:right w:val="nil"/>
            </w:tcBorders>
          </w:tcPr>
          <w:p w:rsidR="00BB6F1F" w:rsidRPr="00720FB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20FB2">
              <w:rPr>
                <w:rFonts w:eastAsiaTheme="minorEastAsia" w:cs="Calibri"/>
                <w:b/>
                <w:bCs/>
                <w:color w:val="000000"/>
                <w:szCs w:val="20"/>
                <w:lang w:eastAsia="en-AU"/>
              </w:rPr>
              <w:t>8 834</w:t>
            </w:r>
          </w:p>
        </w:tc>
      </w:tr>
      <w:tr w:rsidR="00BB6F1F" w:rsidRPr="00720FB2"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Borders>
              <w:top w:val="single" w:sz="6" w:space="0" w:color="auto"/>
              <w:bottom w:val="single" w:sz="12" w:space="0" w:color="auto"/>
            </w:tcBorders>
          </w:tcPr>
          <w:p w:rsidR="00BB6F1F" w:rsidRPr="00720FB2" w:rsidRDefault="00BB6F1F" w:rsidP="00AC68FF">
            <w:pPr>
              <w:keepLines w:val="0"/>
              <w:autoSpaceDE w:val="0"/>
              <w:autoSpaceDN w:val="0"/>
              <w:adjustRightInd w:val="0"/>
              <w:rPr>
                <w:rFonts w:eastAsiaTheme="minorEastAsia" w:cs="Calibri"/>
                <w:bCs/>
                <w:color w:val="000000"/>
                <w:szCs w:val="20"/>
                <w:vertAlign w:val="superscript"/>
                <w:lang w:eastAsia="en-AU"/>
              </w:rPr>
            </w:pPr>
            <w:r w:rsidRPr="00720FB2">
              <w:rPr>
                <w:rFonts w:eastAsiaTheme="minorEastAsia" w:cs="Calibri"/>
                <w:bCs/>
                <w:color w:val="000000"/>
                <w:szCs w:val="20"/>
                <w:lang w:eastAsia="en-AU"/>
              </w:rPr>
              <w:t xml:space="preserve">Total commitments (inclusive of GST) </w:t>
            </w:r>
            <w:r w:rsidRPr="00720FB2">
              <w:rPr>
                <w:rFonts w:eastAsiaTheme="minorEastAsia" w:cs="Calibri"/>
                <w:bCs/>
                <w:color w:val="000000"/>
                <w:szCs w:val="20"/>
                <w:vertAlign w:val="superscript"/>
                <w:lang w:eastAsia="en-AU"/>
              </w:rPr>
              <w:t>(b)</w:t>
            </w:r>
          </w:p>
        </w:tc>
        <w:tc>
          <w:tcPr>
            <w:tcW w:w="1525" w:type="dxa"/>
            <w:tcBorders>
              <w:top w:val="single" w:sz="6" w:space="0" w:color="auto"/>
              <w:bottom w:val="single" w:sz="12" w:space="0" w:color="auto"/>
            </w:tcBorders>
          </w:tcPr>
          <w:p w:rsidR="00BB6F1F" w:rsidRPr="00720FB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720FB2">
              <w:rPr>
                <w:rFonts w:eastAsiaTheme="minorEastAsia" w:cs="Calibri"/>
                <w:bCs/>
                <w:color w:val="000000"/>
                <w:szCs w:val="20"/>
                <w:lang w:eastAsia="en-AU"/>
              </w:rPr>
              <w:t>52 451</w:t>
            </w:r>
          </w:p>
        </w:tc>
        <w:tc>
          <w:tcPr>
            <w:tcW w:w="1525" w:type="dxa"/>
            <w:tcBorders>
              <w:top w:val="single" w:sz="6" w:space="0" w:color="auto"/>
              <w:bottom w:val="single" w:sz="12" w:space="0" w:color="auto"/>
            </w:tcBorders>
          </w:tcPr>
          <w:p w:rsidR="00BB6F1F" w:rsidRPr="00720FB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720FB2">
              <w:rPr>
                <w:rFonts w:eastAsiaTheme="minorEastAsia" w:cs="Calibri"/>
                <w:bCs/>
                <w:color w:val="000000"/>
                <w:szCs w:val="20"/>
                <w:lang w:eastAsia="en-AU"/>
              </w:rPr>
              <w:t>50 033</w:t>
            </w:r>
          </w:p>
        </w:tc>
        <w:tc>
          <w:tcPr>
            <w:tcW w:w="1525" w:type="dxa"/>
            <w:tcBorders>
              <w:top w:val="single" w:sz="6" w:space="0" w:color="auto"/>
              <w:bottom w:val="single" w:sz="12" w:space="0" w:color="auto"/>
            </w:tcBorders>
          </w:tcPr>
          <w:p w:rsidR="00BB6F1F" w:rsidRPr="00720FB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720FB2">
              <w:rPr>
                <w:rFonts w:eastAsiaTheme="minorEastAsia" w:cs="Calibri"/>
                <w:bCs/>
                <w:color w:val="000000"/>
                <w:szCs w:val="20"/>
                <w:lang w:eastAsia="en-AU"/>
              </w:rPr>
              <w:t>48 537</w:t>
            </w:r>
          </w:p>
        </w:tc>
        <w:tc>
          <w:tcPr>
            <w:tcW w:w="1525" w:type="dxa"/>
            <w:tcBorders>
              <w:top w:val="single" w:sz="6" w:space="0" w:color="auto"/>
              <w:bottom w:val="single" w:sz="12" w:space="0" w:color="auto"/>
            </w:tcBorders>
          </w:tcPr>
          <w:p w:rsidR="00BB6F1F" w:rsidRPr="00720FB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720FB2">
              <w:rPr>
                <w:rFonts w:eastAsiaTheme="minorEastAsia" w:cs="Calibri"/>
                <w:bCs/>
                <w:color w:val="000000"/>
                <w:szCs w:val="20"/>
                <w:lang w:eastAsia="en-AU"/>
              </w:rPr>
              <w:t>46 469</w:t>
            </w:r>
          </w:p>
        </w:tc>
      </w:tr>
    </w:tbl>
    <w:p w:rsidR="00BB6F1F" w:rsidRDefault="00BB6F1F" w:rsidP="00AC68FF">
      <w:pPr>
        <w:pStyle w:val="Note"/>
      </w:pPr>
      <w:r>
        <w:t>Notes:</w:t>
      </w:r>
    </w:p>
    <w:p w:rsidR="00BB6F1F" w:rsidRDefault="00BB6F1F" w:rsidP="00AC68FF">
      <w:pPr>
        <w:pStyle w:val="Note"/>
      </w:pPr>
      <w:r>
        <w:t>(a)</w:t>
      </w:r>
      <w:r>
        <w:tab/>
        <w:t>The figures presented are inclusive of GST.</w:t>
      </w:r>
    </w:p>
    <w:p w:rsidR="00BB6F1F" w:rsidRDefault="00BB6F1F" w:rsidP="00AC68FF">
      <w:pPr>
        <w:pStyle w:val="Note"/>
      </w:pPr>
      <w:r>
        <w:t>(b)</w:t>
      </w:r>
      <w:r>
        <w:tab/>
      </w:r>
      <w:r w:rsidRPr="008C00E4">
        <w:t>June 2016 comparative figures have been restated to reflect more current information.</w:t>
      </w:r>
    </w:p>
    <w:p w:rsidR="00BB6F1F" w:rsidRDefault="00BB6F1F" w:rsidP="00AC68FF">
      <w:pPr>
        <w:pStyle w:val="Note"/>
        <w:sectPr w:rsidR="00BB6F1F" w:rsidSect="00AC68FF">
          <w:headerReference w:type="even" r:id="rId84"/>
          <w:type w:val="continuous"/>
          <w:pgSz w:w="11907" w:h="16839" w:code="9"/>
          <w:pgMar w:top="1134" w:right="1134" w:bottom="1134" w:left="1134" w:header="624" w:footer="567" w:gutter="0"/>
          <w:cols w:sep="1" w:space="567"/>
          <w:docGrid w:linePitch="360"/>
        </w:sectPr>
      </w:pPr>
    </w:p>
    <w:p w:rsidR="00BB6F1F" w:rsidRPr="00E07BEB" w:rsidRDefault="00BB6F1F" w:rsidP="00BB6F1F">
      <w:pPr>
        <w:pStyle w:val="Heading1"/>
        <w:numPr>
          <w:ilvl w:val="0"/>
          <w:numId w:val="24"/>
        </w:numPr>
        <w:pBdr>
          <w:bottom w:val="none" w:sz="0" w:space="0" w:color="auto"/>
        </w:pBdr>
        <w:sectPr w:rsidR="00BB6F1F" w:rsidRPr="00E07BEB" w:rsidSect="00AC68FF">
          <w:headerReference w:type="default" r:id="rId85"/>
          <w:pgSz w:w="11907" w:h="16839" w:code="9"/>
          <w:pgMar w:top="1134" w:right="1134" w:bottom="1134" w:left="1134" w:header="624" w:footer="567" w:gutter="0"/>
          <w:cols w:sep="1" w:space="567"/>
          <w:docGrid w:linePitch="360"/>
        </w:sectPr>
      </w:pPr>
      <w:bookmarkStart w:id="43" w:name="_Toc492985877"/>
      <w:bookmarkStart w:id="44" w:name="Section_06"/>
      <w:bookmarkEnd w:id="35"/>
      <w:r>
        <w:lastRenderedPageBreak/>
        <w:t xml:space="preserve">Other </w:t>
      </w:r>
      <w:r w:rsidRPr="00D330A2">
        <w:t>assets</w:t>
      </w:r>
      <w:r>
        <w:t xml:space="preserve"> and liabilities</w:t>
      </w:r>
      <w:bookmarkEnd w:id="43"/>
    </w:p>
    <w:p w:rsidR="00BB6F1F" w:rsidRDefault="00BB6F1F" w:rsidP="00AC68FF">
      <w:pPr>
        <w:pStyle w:val="Heading30"/>
      </w:pPr>
      <w:r>
        <w:lastRenderedPageBreak/>
        <w:t>Introduction</w:t>
      </w:r>
    </w:p>
    <w:p w:rsidR="00BB6F1F" w:rsidRDefault="00BB6F1F" w:rsidP="00AC68FF">
      <w:r>
        <w:t>This section sets out other assets and liabilities that arise from the State’s operations.</w:t>
      </w:r>
    </w:p>
    <w:p w:rsidR="00BB6F1F" w:rsidRDefault="00BB6F1F" w:rsidP="00AC68FF">
      <w:pPr>
        <w:pStyle w:val="Heading30"/>
      </w:pPr>
      <w:r>
        <w:br w:type="column"/>
      </w:r>
      <w:r>
        <w:lastRenderedPageBreak/>
        <w:t>Structure</w:t>
      </w:r>
    </w:p>
    <w:p w:rsidR="00BB6F1F" w:rsidRPr="00FC1BCD" w:rsidRDefault="00BB6F1F" w:rsidP="00AC68FF">
      <w:pPr>
        <w:rPr>
          <w:b/>
        </w:rPr>
      </w:pPr>
      <w:r w:rsidRPr="00FC1BCD">
        <w:rPr>
          <w:b/>
        </w:rPr>
        <w:t>Assets</w:t>
      </w:r>
    </w:p>
    <w:p w:rsidR="00BB6F1F" w:rsidRDefault="00BB6F1F">
      <w:pPr>
        <w:pStyle w:val="TOC9"/>
        <w:rPr>
          <w:rFonts w:eastAsiaTheme="minorEastAsia"/>
          <w:noProof/>
          <w:spacing w:val="0"/>
          <w:lang w:eastAsia="en-AU"/>
        </w:rPr>
      </w:pPr>
      <w:r>
        <w:fldChar w:fldCharType="begin"/>
      </w:r>
      <w:r>
        <w:instrText xml:space="preserve"> TOC \h \z \t "Heading 2 (#),9" \b Section_06 \* MERGEFORMAT </w:instrText>
      </w:r>
      <w:r>
        <w:fldChar w:fldCharType="separate"/>
      </w:r>
      <w:hyperlink w:anchor="_Toc492984862" w:history="1">
        <w:r w:rsidRPr="00421512">
          <w:rPr>
            <w:rStyle w:val="Hyperlink"/>
            <w:noProof/>
          </w:rPr>
          <w:t>6.1</w:t>
        </w:r>
        <w:r>
          <w:rPr>
            <w:rFonts w:eastAsiaTheme="minorEastAsia"/>
            <w:noProof/>
            <w:spacing w:val="0"/>
            <w:lang w:eastAsia="en-AU"/>
          </w:rPr>
          <w:tab/>
        </w:r>
        <w:r w:rsidRPr="00421512">
          <w:rPr>
            <w:rStyle w:val="Hyperlink"/>
            <w:noProof/>
          </w:rPr>
          <w:t>Investment in other sector entities</w:t>
        </w:r>
        <w:r>
          <w:rPr>
            <w:noProof/>
            <w:webHidden/>
          </w:rPr>
          <w:tab/>
        </w:r>
        <w:r>
          <w:rPr>
            <w:noProof/>
            <w:webHidden/>
          </w:rPr>
          <w:fldChar w:fldCharType="begin"/>
        </w:r>
        <w:r>
          <w:rPr>
            <w:noProof/>
            <w:webHidden/>
          </w:rPr>
          <w:instrText xml:space="preserve"> PAGEREF _Toc492984862 \h </w:instrText>
        </w:r>
        <w:r>
          <w:rPr>
            <w:noProof/>
            <w:webHidden/>
          </w:rPr>
        </w:r>
        <w:r>
          <w:rPr>
            <w:noProof/>
            <w:webHidden/>
          </w:rPr>
          <w:fldChar w:fldCharType="separate"/>
        </w:r>
        <w:r w:rsidR="002C7F26">
          <w:rPr>
            <w:noProof/>
            <w:webHidden/>
          </w:rPr>
          <w:t>69</w:t>
        </w:r>
        <w:r>
          <w:rPr>
            <w:noProof/>
            <w:webHidden/>
          </w:rPr>
          <w:fldChar w:fldCharType="end"/>
        </w:r>
      </w:hyperlink>
    </w:p>
    <w:p w:rsidR="00BB6F1F" w:rsidRDefault="00E73501">
      <w:pPr>
        <w:pStyle w:val="TOC9"/>
        <w:rPr>
          <w:rFonts w:eastAsiaTheme="minorEastAsia"/>
          <w:noProof/>
          <w:spacing w:val="0"/>
          <w:lang w:eastAsia="en-AU"/>
        </w:rPr>
      </w:pPr>
      <w:hyperlink w:anchor="_Toc492984863" w:history="1">
        <w:r w:rsidR="00BB6F1F" w:rsidRPr="00421512">
          <w:rPr>
            <w:rStyle w:val="Hyperlink"/>
            <w:noProof/>
          </w:rPr>
          <w:t>6.2</w:t>
        </w:r>
        <w:r w:rsidR="00BB6F1F">
          <w:rPr>
            <w:rFonts w:eastAsiaTheme="minorEastAsia"/>
            <w:noProof/>
            <w:spacing w:val="0"/>
            <w:lang w:eastAsia="en-AU"/>
          </w:rPr>
          <w:tab/>
        </w:r>
        <w:r w:rsidR="00BB6F1F" w:rsidRPr="00421512">
          <w:rPr>
            <w:rStyle w:val="Hyperlink"/>
            <w:noProof/>
          </w:rPr>
          <w:t>Inventories</w:t>
        </w:r>
        <w:r w:rsidR="00BB6F1F">
          <w:rPr>
            <w:noProof/>
            <w:webHidden/>
          </w:rPr>
          <w:tab/>
        </w:r>
        <w:r w:rsidR="00BB6F1F">
          <w:rPr>
            <w:noProof/>
            <w:webHidden/>
          </w:rPr>
          <w:fldChar w:fldCharType="begin"/>
        </w:r>
        <w:r w:rsidR="00BB6F1F">
          <w:rPr>
            <w:noProof/>
            <w:webHidden/>
          </w:rPr>
          <w:instrText xml:space="preserve"> PAGEREF _Toc492984863 \h </w:instrText>
        </w:r>
        <w:r w:rsidR="00BB6F1F">
          <w:rPr>
            <w:noProof/>
            <w:webHidden/>
          </w:rPr>
        </w:r>
        <w:r w:rsidR="00BB6F1F">
          <w:rPr>
            <w:noProof/>
            <w:webHidden/>
          </w:rPr>
          <w:fldChar w:fldCharType="separate"/>
        </w:r>
        <w:r w:rsidR="002C7F26">
          <w:rPr>
            <w:noProof/>
            <w:webHidden/>
          </w:rPr>
          <w:t>69</w:t>
        </w:r>
        <w:r w:rsidR="00BB6F1F">
          <w:rPr>
            <w:noProof/>
            <w:webHidden/>
          </w:rPr>
          <w:fldChar w:fldCharType="end"/>
        </w:r>
      </w:hyperlink>
    </w:p>
    <w:p w:rsidR="00BB6F1F" w:rsidRDefault="00E73501">
      <w:pPr>
        <w:pStyle w:val="TOC9"/>
        <w:rPr>
          <w:rStyle w:val="Hyperlink"/>
          <w:noProof/>
        </w:rPr>
      </w:pPr>
      <w:hyperlink w:anchor="_Toc492984864" w:history="1">
        <w:r w:rsidR="00BB6F1F" w:rsidRPr="00421512">
          <w:rPr>
            <w:rStyle w:val="Hyperlink"/>
            <w:noProof/>
          </w:rPr>
          <w:t>6.3</w:t>
        </w:r>
        <w:r w:rsidR="00BB6F1F">
          <w:rPr>
            <w:rFonts w:eastAsiaTheme="minorEastAsia"/>
            <w:noProof/>
            <w:spacing w:val="0"/>
            <w:lang w:eastAsia="en-AU"/>
          </w:rPr>
          <w:tab/>
        </w:r>
        <w:r w:rsidR="00BB6F1F" w:rsidRPr="00421512">
          <w:rPr>
            <w:rStyle w:val="Hyperlink"/>
            <w:noProof/>
          </w:rPr>
          <w:t>Receivables</w:t>
        </w:r>
        <w:r w:rsidR="00BB6F1F">
          <w:rPr>
            <w:noProof/>
            <w:webHidden/>
          </w:rPr>
          <w:tab/>
        </w:r>
        <w:r w:rsidR="00BB6F1F">
          <w:rPr>
            <w:noProof/>
            <w:webHidden/>
          </w:rPr>
          <w:fldChar w:fldCharType="begin"/>
        </w:r>
        <w:r w:rsidR="00BB6F1F">
          <w:rPr>
            <w:noProof/>
            <w:webHidden/>
          </w:rPr>
          <w:instrText xml:space="preserve"> PAGEREF _Toc492984864 \h </w:instrText>
        </w:r>
        <w:r w:rsidR="00BB6F1F">
          <w:rPr>
            <w:noProof/>
            <w:webHidden/>
          </w:rPr>
        </w:r>
        <w:r w:rsidR="00BB6F1F">
          <w:rPr>
            <w:noProof/>
            <w:webHidden/>
          </w:rPr>
          <w:fldChar w:fldCharType="separate"/>
        </w:r>
        <w:r w:rsidR="002C7F26">
          <w:rPr>
            <w:noProof/>
            <w:webHidden/>
          </w:rPr>
          <w:t>70</w:t>
        </w:r>
        <w:r w:rsidR="00BB6F1F">
          <w:rPr>
            <w:noProof/>
            <w:webHidden/>
          </w:rPr>
          <w:fldChar w:fldCharType="end"/>
        </w:r>
      </w:hyperlink>
    </w:p>
    <w:p w:rsidR="00BB6F1F" w:rsidRPr="00B24119" w:rsidRDefault="00BB6F1F" w:rsidP="00AC68FF">
      <w:pPr>
        <w:rPr>
          <w:b/>
          <w:noProof/>
        </w:rPr>
      </w:pPr>
      <w:r w:rsidRPr="00B24119">
        <w:rPr>
          <w:b/>
          <w:noProof/>
        </w:rPr>
        <w:t>Liabilities</w:t>
      </w:r>
    </w:p>
    <w:p w:rsidR="00BB6F1F" w:rsidRDefault="00E73501">
      <w:pPr>
        <w:pStyle w:val="TOC9"/>
        <w:rPr>
          <w:rFonts w:eastAsiaTheme="minorEastAsia"/>
          <w:noProof/>
          <w:spacing w:val="0"/>
          <w:lang w:eastAsia="en-AU"/>
        </w:rPr>
      </w:pPr>
      <w:hyperlink w:anchor="_Toc492984865" w:history="1">
        <w:r w:rsidR="00BB6F1F" w:rsidRPr="00421512">
          <w:rPr>
            <w:rStyle w:val="Hyperlink"/>
            <w:noProof/>
          </w:rPr>
          <w:t>6.4</w:t>
        </w:r>
        <w:r w:rsidR="00BB6F1F">
          <w:rPr>
            <w:rFonts w:eastAsiaTheme="minorEastAsia"/>
            <w:noProof/>
            <w:spacing w:val="0"/>
            <w:lang w:eastAsia="en-AU"/>
          </w:rPr>
          <w:tab/>
        </w:r>
        <w:r w:rsidR="00BB6F1F" w:rsidRPr="00421512">
          <w:rPr>
            <w:rStyle w:val="Hyperlink"/>
            <w:noProof/>
          </w:rPr>
          <w:t>Payables</w:t>
        </w:r>
        <w:r w:rsidR="00BB6F1F">
          <w:rPr>
            <w:noProof/>
            <w:webHidden/>
          </w:rPr>
          <w:tab/>
        </w:r>
        <w:r w:rsidR="00BB6F1F">
          <w:rPr>
            <w:noProof/>
            <w:webHidden/>
          </w:rPr>
          <w:fldChar w:fldCharType="begin"/>
        </w:r>
        <w:r w:rsidR="00BB6F1F">
          <w:rPr>
            <w:noProof/>
            <w:webHidden/>
          </w:rPr>
          <w:instrText xml:space="preserve"> PAGEREF _Toc492984865 \h </w:instrText>
        </w:r>
        <w:r w:rsidR="00BB6F1F">
          <w:rPr>
            <w:noProof/>
            <w:webHidden/>
          </w:rPr>
        </w:r>
        <w:r w:rsidR="00BB6F1F">
          <w:rPr>
            <w:noProof/>
            <w:webHidden/>
          </w:rPr>
          <w:fldChar w:fldCharType="separate"/>
        </w:r>
        <w:r w:rsidR="002C7F26">
          <w:rPr>
            <w:noProof/>
            <w:webHidden/>
          </w:rPr>
          <w:t>72</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866" w:history="1">
        <w:r w:rsidR="00BB6F1F" w:rsidRPr="00421512">
          <w:rPr>
            <w:rStyle w:val="Hyperlink"/>
            <w:noProof/>
          </w:rPr>
          <w:t>6.5</w:t>
        </w:r>
        <w:r w:rsidR="00BB6F1F">
          <w:rPr>
            <w:rFonts w:eastAsiaTheme="minorEastAsia"/>
            <w:noProof/>
            <w:spacing w:val="0"/>
            <w:lang w:eastAsia="en-AU"/>
          </w:rPr>
          <w:tab/>
        </w:r>
        <w:r w:rsidR="00BB6F1F" w:rsidRPr="00421512">
          <w:rPr>
            <w:rStyle w:val="Hyperlink"/>
            <w:noProof/>
          </w:rPr>
          <w:t>Superannuation</w:t>
        </w:r>
        <w:r w:rsidR="00BB6F1F">
          <w:rPr>
            <w:noProof/>
            <w:webHidden/>
          </w:rPr>
          <w:tab/>
        </w:r>
        <w:r w:rsidR="00BB6F1F">
          <w:rPr>
            <w:noProof/>
            <w:webHidden/>
          </w:rPr>
          <w:fldChar w:fldCharType="begin"/>
        </w:r>
        <w:r w:rsidR="00BB6F1F">
          <w:rPr>
            <w:noProof/>
            <w:webHidden/>
          </w:rPr>
          <w:instrText xml:space="preserve"> PAGEREF _Toc492984866 \h </w:instrText>
        </w:r>
        <w:r w:rsidR="00BB6F1F">
          <w:rPr>
            <w:noProof/>
            <w:webHidden/>
          </w:rPr>
        </w:r>
        <w:r w:rsidR="00BB6F1F">
          <w:rPr>
            <w:noProof/>
            <w:webHidden/>
          </w:rPr>
          <w:fldChar w:fldCharType="separate"/>
        </w:r>
        <w:r w:rsidR="002C7F26">
          <w:rPr>
            <w:noProof/>
            <w:webHidden/>
          </w:rPr>
          <w:t>72</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867" w:history="1">
        <w:r w:rsidR="00BB6F1F" w:rsidRPr="00421512">
          <w:rPr>
            <w:rStyle w:val="Hyperlink"/>
            <w:noProof/>
          </w:rPr>
          <w:t>6.6</w:t>
        </w:r>
        <w:r w:rsidR="00BB6F1F">
          <w:rPr>
            <w:rFonts w:eastAsiaTheme="minorEastAsia"/>
            <w:noProof/>
            <w:spacing w:val="0"/>
            <w:lang w:eastAsia="en-AU"/>
          </w:rPr>
          <w:tab/>
        </w:r>
        <w:r w:rsidR="00BB6F1F" w:rsidRPr="00421512">
          <w:rPr>
            <w:rStyle w:val="Hyperlink"/>
            <w:noProof/>
          </w:rPr>
          <w:t>Other provisions</w:t>
        </w:r>
        <w:r w:rsidR="00BB6F1F">
          <w:rPr>
            <w:noProof/>
            <w:webHidden/>
          </w:rPr>
          <w:tab/>
        </w:r>
        <w:r w:rsidR="00BB6F1F">
          <w:rPr>
            <w:noProof/>
            <w:webHidden/>
          </w:rPr>
          <w:fldChar w:fldCharType="begin"/>
        </w:r>
        <w:r w:rsidR="00BB6F1F">
          <w:rPr>
            <w:noProof/>
            <w:webHidden/>
          </w:rPr>
          <w:instrText xml:space="preserve"> PAGEREF _Toc492984867 \h </w:instrText>
        </w:r>
        <w:r w:rsidR="00BB6F1F">
          <w:rPr>
            <w:noProof/>
            <w:webHidden/>
          </w:rPr>
        </w:r>
        <w:r w:rsidR="00BB6F1F">
          <w:rPr>
            <w:noProof/>
            <w:webHidden/>
          </w:rPr>
          <w:fldChar w:fldCharType="separate"/>
        </w:r>
        <w:r w:rsidR="002C7F26">
          <w:rPr>
            <w:noProof/>
            <w:webHidden/>
          </w:rPr>
          <w:t>77</w:t>
        </w:r>
        <w:r w:rsidR="00BB6F1F">
          <w:rPr>
            <w:noProof/>
            <w:webHidden/>
          </w:rPr>
          <w:fldChar w:fldCharType="end"/>
        </w:r>
      </w:hyperlink>
    </w:p>
    <w:p w:rsidR="00BB6F1F" w:rsidRDefault="00BB6F1F" w:rsidP="00AC68FF">
      <w:pPr>
        <w:sectPr w:rsidR="00BB6F1F" w:rsidSect="00AC68FF">
          <w:type w:val="continuous"/>
          <w:pgSz w:w="11907" w:h="16839" w:code="9"/>
          <w:pgMar w:top="1134" w:right="1134" w:bottom="1134" w:left="1134" w:header="624" w:footer="567" w:gutter="0"/>
          <w:cols w:num="2" w:space="567"/>
          <w:docGrid w:linePitch="360"/>
        </w:sectPr>
      </w:pPr>
      <w:r>
        <w:fldChar w:fldCharType="end"/>
      </w:r>
    </w:p>
    <w:p w:rsidR="00BB6F1F" w:rsidRPr="00C5679C" w:rsidRDefault="00BB6F1F" w:rsidP="00AC68FF"/>
    <w:p w:rsidR="00BB6F1F" w:rsidRPr="00C5679C" w:rsidRDefault="00BB6F1F" w:rsidP="00AC68FF">
      <w:pPr>
        <w:sectPr w:rsidR="00BB6F1F" w:rsidRPr="00C5679C" w:rsidSect="00AC68FF">
          <w:type w:val="continuous"/>
          <w:pgSz w:w="11907" w:h="16839" w:code="9"/>
          <w:pgMar w:top="1134" w:right="1134" w:bottom="1134" w:left="1134" w:header="624" w:footer="567" w:gutter="0"/>
          <w:cols w:space="567"/>
          <w:docGrid w:linePitch="360"/>
        </w:sectPr>
      </w:pPr>
    </w:p>
    <w:p w:rsidR="00BB6F1F" w:rsidRDefault="00BB6F1F" w:rsidP="00BB6F1F">
      <w:pPr>
        <w:pStyle w:val="Heading2"/>
        <w:numPr>
          <w:ilvl w:val="1"/>
          <w:numId w:val="24"/>
        </w:numPr>
      </w:pPr>
      <w:bookmarkStart w:id="45" w:name="_Toc492984862"/>
      <w:r>
        <w:lastRenderedPageBreak/>
        <w:t>Investment in other sector entities</w:t>
      </w:r>
      <w:bookmarkEnd w:id="45"/>
    </w:p>
    <w:p w:rsidR="00BB6F1F" w:rsidRDefault="00BB6F1F" w:rsidP="00AC68FF">
      <w:r>
        <w:t>The general government sector investments in other sector entities are measured at net asset value.</w:t>
      </w:r>
    </w:p>
    <w:p w:rsidR="00BB6F1F" w:rsidRDefault="00BB6F1F" w:rsidP="00AC68FF">
      <w:r>
        <w:t>The net gain/(loss) on equity investments in other sector entities is measured at proportional share of the carrying amount of net assets/(liabilities) represents the net gain or loss relating to the equity held by the general government sector in other sector entities. It arises from a change in the carrying amount of net assets of the subsidiaries. The net gains are measured based on the proportional share of the subsidiary’s carrying amount of net assets/(liabilities) before elimination of inter-sector balances.</w:t>
      </w:r>
    </w:p>
    <w:p w:rsidR="00BB6F1F" w:rsidRPr="005A36FE" w:rsidRDefault="00BB6F1F" w:rsidP="00AC68FF">
      <w:pPr>
        <w:pStyle w:val="TableHeading"/>
        <w:rPr>
          <w:bCs/>
          <w:lang w:val="en-US"/>
        </w:rPr>
      </w:pPr>
      <w:r w:rsidRPr="00EA2408">
        <w:lastRenderedPageBreak/>
        <w:t>Investments in other sector entities</w:t>
      </w:r>
      <w:r w:rsidRPr="00EA2408">
        <w:tab/>
        <w:t>($ million)</w:t>
      </w:r>
    </w:p>
    <w:tbl>
      <w:tblPr>
        <w:tblStyle w:val="DTFTable"/>
        <w:tblW w:w="4536" w:type="dxa"/>
        <w:tblInd w:w="45" w:type="dxa"/>
        <w:tblLayout w:type="fixed"/>
        <w:tblCellMar>
          <w:left w:w="45" w:type="dxa"/>
          <w:right w:w="45" w:type="dxa"/>
        </w:tblCellMar>
        <w:tblLook w:val="06E0" w:firstRow="1" w:lastRow="1" w:firstColumn="1" w:lastColumn="0" w:noHBand="1" w:noVBand="1"/>
      </w:tblPr>
      <w:tblGrid>
        <w:gridCol w:w="2835"/>
        <w:gridCol w:w="794"/>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794"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5A36FE">
              <w:rPr>
                <w:rFonts w:eastAsiaTheme="minorEastAsia" w:cs="Calibri"/>
                <w:iCs/>
                <w:color w:val="FFFFFF"/>
                <w:szCs w:val="16"/>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Balance of investment in PNFC and PFC sectors at beginning of period</w:t>
            </w:r>
          </w:p>
        </w:tc>
        <w:tc>
          <w:tcPr>
            <w:tcW w:w="79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94 710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82 262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Net contributions/(returns) to other sectors by owner</w:t>
            </w:r>
          </w:p>
        </w:tc>
        <w:tc>
          <w:tcPr>
            <w:tcW w:w="79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(5 323)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1 916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Revaluation gain/(loss) for period</w:t>
            </w:r>
          </w:p>
        </w:tc>
        <w:tc>
          <w:tcPr>
            <w:tcW w:w="794"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3 122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5A36FE">
              <w:rPr>
                <w:rFonts w:eastAsiaTheme="minorEastAsia" w:cs="Calibri"/>
                <w:color w:val="000000"/>
                <w:szCs w:val="16"/>
                <w:lang w:eastAsia="en-AU"/>
              </w:rPr>
              <w:t>10 533</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6"/>
                <w:lang w:eastAsia="en-AU"/>
              </w:rPr>
            </w:pPr>
            <w:r w:rsidRPr="005A36FE">
              <w:rPr>
                <w:rFonts w:eastAsiaTheme="minorEastAsia" w:cs="Calibri"/>
                <w:bCs/>
                <w:color w:val="000000"/>
                <w:szCs w:val="16"/>
                <w:lang w:eastAsia="en-AU"/>
              </w:rPr>
              <w:t>Total investments in other sector entities</w:t>
            </w:r>
          </w:p>
        </w:tc>
        <w:tc>
          <w:tcPr>
            <w:tcW w:w="794"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92 509</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5A36FE">
              <w:rPr>
                <w:rFonts w:eastAsiaTheme="minorEastAsia" w:cs="Calibri"/>
                <w:bCs/>
                <w:color w:val="000000"/>
                <w:szCs w:val="16"/>
                <w:lang w:eastAsia="en-AU"/>
              </w:rPr>
              <w:t>94 710</w:t>
            </w:r>
          </w:p>
        </w:tc>
      </w:tr>
    </w:tbl>
    <w:p w:rsidR="00BB6F1F" w:rsidRPr="00C5679C" w:rsidRDefault="00BB6F1F" w:rsidP="00AC68FF"/>
    <w:p w:rsidR="00BB6F1F" w:rsidRPr="00E3798D" w:rsidRDefault="00BB6F1F" w:rsidP="00AC68FF">
      <w:pPr>
        <w:sectPr w:rsidR="00BB6F1F" w:rsidRPr="00E3798D" w:rsidSect="00AC68FF">
          <w:type w:val="continuous"/>
          <w:pgSz w:w="11907" w:h="16839" w:code="9"/>
          <w:pgMar w:top="1134" w:right="1134" w:bottom="1134" w:left="1134" w:header="624" w:footer="567" w:gutter="0"/>
          <w:cols w:num="2" w:space="567"/>
          <w:docGrid w:linePitch="360"/>
        </w:sectPr>
      </w:pPr>
    </w:p>
    <w:p w:rsidR="00BB6F1F" w:rsidRDefault="00BB6F1F" w:rsidP="00BB6F1F">
      <w:pPr>
        <w:pStyle w:val="Heading2"/>
        <w:numPr>
          <w:ilvl w:val="1"/>
          <w:numId w:val="24"/>
        </w:numPr>
      </w:pPr>
      <w:bookmarkStart w:id="46" w:name="_Toc492984863"/>
      <w:r w:rsidRPr="00BD026C">
        <w:lastRenderedPageBreak/>
        <w:t>Inventories</w:t>
      </w:r>
      <w:bookmarkEnd w:id="46"/>
    </w:p>
    <w:p w:rsidR="00BB6F1F" w:rsidRPr="005A36FE" w:rsidRDefault="00BB6F1F" w:rsidP="00AC68FF">
      <w:pPr>
        <w:pStyle w:val="TableUnits"/>
        <w:rPr>
          <w:bCs/>
          <w:lang w:val="en-US"/>
        </w:rPr>
      </w:pPr>
      <w:r w:rsidRPr="00BD026C">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5A36FE">
              <w:rPr>
                <w:rFonts w:eastAsiaTheme="minorEastAsia" w:cs="Calibri"/>
                <w:iCs/>
                <w:color w:val="FFFFFF"/>
                <w:szCs w:val="18"/>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At cost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Raw materials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Work in progress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Finished goods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Consumable stores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Land and other assets held as inventory</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387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414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At net realisable value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Finished goods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Consumable stores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rPr>
                <w:rFonts w:eastAsiaTheme="minorEastAsia" w:cs="Calibri"/>
                <w:bCs/>
                <w:color w:val="000000"/>
                <w:szCs w:val="16"/>
                <w:lang w:eastAsia="en-AU"/>
              </w:rPr>
            </w:pPr>
            <w:r w:rsidRPr="005A36FE">
              <w:rPr>
                <w:rFonts w:eastAsiaTheme="minorEastAsia" w:cs="Calibri"/>
                <w:bCs/>
                <w:color w:val="000000"/>
                <w:szCs w:val="16"/>
                <w:lang w:eastAsia="en-AU"/>
              </w:rPr>
              <w:t>Total inventories</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671</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709</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173</w:t>
            </w:r>
          </w:p>
        </w:tc>
        <w:tc>
          <w:tcPr>
            <w:tcW w:w="907" w:type="dxa"/>
            <w:tcBorders>
              <w:top w:val="single" w:sz="6" w:space="0" w:color="000000"/>
              <w:bottom w:val="single" w:sz="12" w:space="0" w:color="000000"/>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188</w:t>
            </w:r>
          </w:p>
        </w:tc>
      </w:tr>
    </w:tbl>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AC68FF">
      <w:pPr>
        <w:pStyle w:val="Note"/>
      </w:pPr>
    </w:p>
    <w:p w:rsidR="00BB6F1F" w:rsidRDefault="00BB6F1F" w:rsidP="00AC68FF">
      <w:r>
        <w:t xml:space="preserve">Inventories include goods and other property held either for sale, or for distribution at zero or nominal cost, or for consumption in the ordinary course of business operations. </w:t>
      </w:r>
    </w:p>
    <w:p w:rsidR="00BB6F1F" w:rsidRDefault="00BB6F1F" w:rsidP="00AC68FF">
      <w:pPr>
        <w:pStyle w:val="Note"/>
      </w:pPr>
      <w:r>
        <w:br w:type="column"/>
      </w:r>
    </w:p>
    <w:p w:rsidR="00BB6F1F" w:rsidRDefault="00BB6F1F" w:rsidP="00AC68FF">
      <w:r>
        <w:t xml:space="preserve">Inventories held for distribution are measured at cost, adjusted for any loss of service potential. All other inventories, including land held as inventory, are measured at the lower of cost and net realisable value. </w:t>
      </w:r>
    </w:p>
    <w:p w:rsidR="00BB6F1F" w:rsidRDefault="00BB6F1F" w:rsidP="00AC68FF">
      <w:r>
        <w:lastRenderedPageBreak/>
        <w:t>Where inventories are acquired for no cost or nominal consideration, they are measured at current replacement cost at the date of acquisition.</w:t>
      </w:r>
    </w:p>
    <w:p w:rsidR="00BB6F1F" w:rsidRDefault="00BB6F1F" w:rsidP="00AC68FF">
      <w:r>
        <w:t>Cost includes an appropriate portion of fixed and variable overhead expenses. Cost is assigned to land held as inventory (undeveloped, under development and developed) and to other high value, low volume inventory items on a specific identification of cost basis. Cost for all other inventory is measured on the basis of weighted average cost.</w:t>
      </w:r>
    </w:p>
    <w:p w:rsidR="00BB6F1F" w:rsidRDefault="00BB6F1F" w:rsidP="00AC68FF">
      <w:r>
        <w:lastRenderedPageBreak/>
        <w:t>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w:t>
      </w:r>
    </w:p>
    <w:p w:rsidR="00BB6F1F" w:rsidRDefault="00BB6F1F" w:rsidP="00AC68FF">
      <w:r>
        <w:t>Other inventories include raw materials, work in progress, finished goods and consumable stores and are measured at weighted average cost.</w:t>
      </w:r>
    </w:p>
    <w:p w:rsidR="00BB6F1F" w:rsidRDefault="00BB6F1F" w:rsidP="00BB6F1F">
      <w:pPr>
        <w:pStyle w:val="Heading2"/>
        <w:numPr>
          <w:ilvl w:val="1"/>
          <w:numId w:val="24"/>
        </w:numPr>
        <w:spacing w:after="120"/>
        <w:sectPr w:rsidR="00BB6F1F" w:rsidSect="00AC68FF">
          <w:type w:val="continuous"/>
          <w:pgSz w:w="11907" w:h="16839" w:code="9"/>
          <w:pgMar w:top="1134" w:right="1134" w:bottom="1134" w:left="1134" w:header="624" w:footer="567" w:gutter="0"/>
          <w:cols w:num="2" w:space="567"/>
          <w:docGrid w:linePitch="360"/>
        </w:sectPr>
      </w:pPr>
    </w:p>
    <w:p w:rsidR="00BB6F1F" w:rsidRDefault="00BB6F1F" w:rsidP="00D82AC2">
      <w:pPr>
        <w:pStyle w:val="Heading2"/>
        <w:numPr>
          <w:ilvl w:val="1"/>
          <w:numId w:val="24"/>
        </w:numPr>
      </w:pPr>
      <w:bookmarkStart w:id="47" w:name="_Toc492984864"/>
      <w:r>
        <w:lastRenderedPageBreak/>
        <w:t>Receivables</w:t>
      </w:r>
      <w:bookmarkEnd w:id="47"/>
    </w:p>
    <w:p w:rsidR="00BB6F1F" w:rsidRPr="005A36FE" w:rsidRDefault="00BB6F1F" w:rsidP="00AC68FF">
      <w:pPr>
        <w:pStyle w:val="TableUnits"/>
        <w:rPr>
          <w:bCs/>
          <w:lang w:val="en-US"/>
        </w:rPr>
      </w:pPr>
      <w:r>
        <w:t>($ million)</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5A36FE">
              <w:rPr>
                <w:rFonts w:eastAsiaTheme="minorEastAsia" w:cs="Calibri"/>
                <w:iCs/>
                <w:color w:val="FFFFFF"/>
                <w:szCs w:val="18"/>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Contractual</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Sales of goods and services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1 202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1 267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598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739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Accrued investment income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Other receivables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1 756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1 887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1 169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1 021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 xml:space="preserve">Provision for doubtful contractual receivables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Statutory</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 xml:space="preserve">Sales of goods and services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 xml:space="preserve">Taxes receivable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2 560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2 293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2 676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2 491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Fines and regulatory fees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2 052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1 896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2 052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1 896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GST input tax credits recoverable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976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963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352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324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Other receivables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 xml:space="preserve">Provision for doubtful statutory receivables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(838)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(839)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(838)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(839)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Other</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Actuarially determined</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406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413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Total receivables</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8 038</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7 793</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5 931</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5 566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Represented by:</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Current receivables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6 875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6 555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5 103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4 828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12" w:space="0" w:color="000000"/>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Non-current receivables</w:t>
            </w:r>
          </w:p>
        </w:tc>
        <w:tc>
          <w:tcPr>
            <w:tcW w:w="907" w:type="dxa"/>
            <w:tcBorders>
              <w:top w:val="nil"/>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1 163</w:t>
            </w:r>
          </w:p>
        </w:tc>
        <w:tc>
          <w:tcPr>
            <w:tcW w:w="907" w:type="dxa"/>
            <w:tcBorders>
              <w:top w:val="nil"/>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1 237</w:t>
            </w:r>
          </w:p>
        </w:tc>
        <w:tc>
          <w:tcPr>
            <w:tcW w:w="907" w:type="dxa"/>
            <w:tcBorders>
              <w:top w:val="nil"/>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828</w:t>
            </w:r>
          </w:p>
        </w:tc>
        <w:tc>
          <w:tcPr>
            <w:tcW w:w="907" w:type="dxa"/>
            <w:tcBorders>
              <w:top w:val="nil"/>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738</w:t>
            </w:r>
          </w:p>
        </w:tc>
      </w:tr>
    </w:tbl>
    <w:p w:rsidR="00BB6F1F" w:rsidRDefault="00BB6F1F" w:rsidP="00D82AC2">
      <w:pPr>
        <w:pStyle w:val="Note"/>
      </w:pPr>
    </w:p>
    <w:p w:rsidR="00BB6F1F" w:rsidRDefault="00BB6F1F" w:rsidP="00AC68FF">
      <w:pPr>
        <w:sectPr w:rsidR="00BB6F1F" w:rsidSect="00AC68FF">
          <w:headerReference w:type="default" r:id="rId86"/>
          <w:type w:val="continuous"/>
          <w:pgSz w:w="11907" w:h="16839" w:code="9"/>
          <w:pgMar w:top="1134" w:right="1134" w:bottom="1134" w:left="1134" w:header="624" w:footer="567" w:gutter="0"/>
          <w:cols w:sep="1" w:space="567"/>
          <w:docGrid w:linePitch="360"/>
        </w:sectPr>
      </w:pPr>
    </w:p>
    <w:p w:rsidR="00BB6F1F" w:rsidRDefault="00BB6F1F" w:rsidP="00AC68FF">
      <w:r>
        <w:lastRenderedPageBreak/>
        <w:t>Receivables consist of:</w:t>
      </w:r>
    </w:p>
    <w:p w:rsidR="00BB6F1F" w:rsidRDefault="00BB6F1F" w:rsidP="00AC68FF">
      <w:pPr>
        <w:pStyle w:val="ListBullet"/>
      </w:pPr>
      <w:r>
        <w:t xml:space="preserve">contractual receivables, are classified as financial instruments and categorised as loans and receivables; </w:t>
      </w:r>
    </w:p>
    <w:p w:rsidR="00BB6F1F" w:rsidRDefault="00BB6F1F" w:rsidP="00AC68FF">
      <w:pPr>
        <w:pStyle w:val="ListBullet"/>
      </w:pPr>
      <w:r>
        <w:t>statutory receivables that do not arise from contracts; and</w:t>
      </w:r>
    </w:p>
    <w:p w:rsidR="00BB6F1F" w:rsidRDefault="00BB6F1F" w:rsidP="00AC68FF">
      <w:pPr>
        <w:pStyle w:val="ListBullet"/>
      </w:pPr>
      <w:r>
        <w:t>other actuarially determined receivables.</w:t>
      </w:r>
    </w:p>
    <w:p w:rsidR="00D82AC2" w:rsidRDefault="00BB6F1F" w:rsidP="00AC68FF">
      <w:r w:rsidRPr="00BD026C">
        <w:rPr>
          <w:b/>
        </w:rPr>
        <w:t>Contractual receivables</w:t>
      </w:r>
      <w:r>
        <w:t xml:space="preserve"> are initially recognised at fair value plus any directly attributable transaction costs. Subsequent to initial measurement, loans and receivables are measured at amortised cost using the effective interest method, less any impairment. Contractual receivables are classified as financial instruments (Note 7.1).</w:t>
      </w:r>
    </w:p>
    <w:p w:rsidR="00BB6F1F" w:rsidRPr="000E174A" w:rsidRDefault="00BB6F1F" w:rsidP="000E174A">
      <w:r w:rsidRPr="000E174A">
        <w:rPr>
          <w:b/>
        </w:rPr>
        <w:t>Statutory receivables</w:t>
      </w:r>
      <w:r w:rsidRPr="000E174A">
        <w:t xml:space="preserve"> are recognised and measured similarly to contractual receivables (except for impairment), but are not classified as financial </w:t>
      </w:r>
      <w:r w:rsidR="000E174A">
        <w:br w:type="column"/>
      </w:r>
      <w:r w:rsidRPr="000E174A">
        <w:lastRenderedPageBreak/>
        <w:t>instruments because they do not arise from contracts.</w:t>
      </w:r>
    </w:p>
    <w:p w:rsidR="00BB6F1F" w:rsidRDefault="00BB6F1F" w:rsidP="00AC68FF">
      <w:r>
        <w:t>Other statutory receivables include GST input tax credits recoverable.</w:t>
      </w:r>
    </w:p>
    <w:p w:rsidR="00D82AC2" w:rsidRDefault="00BB6F1F" w:rsidP="00AC68FF">
      <w:r w:rsidRPr="00BD026C">
        <w:rPr>
          <w:b/>
        </w:rPr>
        <w:t>Doubtful debts</w:t>
      </w:r>
      <w:r>
        <w:t xml:space="preserve">: Receivables are assessed for bad and doubtful debts on a regular basis. A provision for doubtful receivables is recognised when there is objective evidence that the debts may not be collected and bad debts are written off when identified. </w:t>
      </w:r>
    </w:p>
    <w:p w:rsidR="00BB6F1F" w:rsidRDefault="00BB6F1F" w:rsidP="00AC68FF">
      <w:r>
        <w:t xml:space="preserve">Those bad debts considered as written off by mutual consent are classified as a transaction expense. Bad debts not written off by mutual consent and the allowance for doubtful receivables are classified as other economic flows in the net result. </w:t>
      </w:r>
    </w:p>
    <w:p w:rsidR="00D82AC2" w:rsidRDefault="00D82AC2" w:rsidP="00AC68FF"/>
    <w:p w:rsidR="00BB6F1F" w:rsidRDefault="00BB6F1F" w:rsidP="00AC68FF">
      <w:pPr>
        <w:pStyle w:val="TableHeading"/>
        <w:sectPr w:rsidR="00BB6F1F" w:rsidSect="00AC68FF">
          <w:headerReference w:type="default" r:id="rId87"/>
          <w:type w:val="continuous"/>
          <w:pgSz w:w="11907" w:h="16839" w:code="9"/>
          <w:pgMar w:top="1134" w:right="1134" w:bottom="1134" w:left="1134" w:header="624" w:footer="567" w:gutter="0"/>
          <w:cols w:num="2" w:space="567"/>
          <w:docGrid w:linePitch="360"/>
        </w:sectPr>
      </w:pPr>
    </w:p>
    <w:p w:rsidR="00BB6F1F" w:rsidRPr="005A36FE" w:rsidRDefault="00BB6F1F" w:rsidP="00626AEF">
      <w:pPr>
        <w:pStyle w:val="TableHeading"/>
        <w:spacing w:before="0"/>
        <w:rPr>
          <w:bCs/>
          <w:lang w:val="en-US"/>
        </w:rPr>
      </w:pPr>
      <w:r w:rsidRPr="00BD026C">
        <w:lastRenderedPageBreak/>
        <w:t>Ageing analysis of contractual receivables</w:t>
      </w:r>
      <w:r w:rsidRPr="00BD026C">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2693"/>
        <w:gridCol w:w="992"/>
        <w:gridCol w:w="992"/>
        <w:gridCol w:w="992"/>
        <w:gridCol w:w="992"/>
        <w:gridCol w:w="992"/>
        <w:gridCol w:w="992"/>
        <w:gridCol w:w="992"/>
      </w:tblGrid>
      <w:tr w:rsidR="002F016E" w:rsidRPr="005A36FE" w:rsidTr="002F01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000000" w:fill="auto"/>
          </w:tcPr>
          <w:p w:rsidR="002F016E" w:rsidRPr="005A36FE" w:rsidRDefault="002F016E" w:rsidP="00AC68FF">
            <w:pPr>
              <w:autoSpaceDE w:val="0"/>
              <w:autoSpaceDN w:val="0"/>
              <w:adjustRightInd w:val="0"/>
              <w:rPr>
                <w:rFonts w:eastAsiaTheme="minorEastAsia" w:cs="Calibri"/>
                <w:iCs/>
                <w:color w:val="FFFFFF"/>
                <w:szCs w:val="20"/>
                <w:lang w:eastAsia="en-AU"/>
              </w:rPr>
            </w:pPr>
            <w:r w:rsidRPr="005A36FE">
              <w:rPr>
                <w:rFonts w:eastAsiaTheme="minorEastAsia" w:cs="Calibri"/>
                <w:iCs/>
                <w:color w:val="FFFFFF"/>
                <w:szCs w:val="20"/>
                <w:lang w:eastAsia="en-AU"/>
              </w:rPr>
              <w:t>State of Victoria</w:t>
            </w:r>
          </w:p>
        </w:tc>
        <w:tc>
          <w:tcPr>
            <w:tcW w:w="992" w:type="dxa"/>
            <w:vMerge w:val="restart"/>
            <w:tcBorders>
              <w:top w:val="nil"/>
              <w:left w:val="nil"/>
              <w:right w:val="nil"/>
            </w:tcBorders>
            <w:shd w:val="solid" w:color="000000" w:fill="auto"/>
          </w:tcPr>
          <w:p w:rsidR="002F016E" w:rsidRPr="005A36FE" w:rsidRDefault="002F016E" w:rsidP="002F016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Not past due</w:t>
            </w:r>
            <w:r>
              <w:rPr>
                <w:rFonts w:eastAsiaTheme="minorEastAsia" w:cs="Calibri"/>
                <w:iCs/>
                <w:color w:val="FFFFFF"/>
                <w:szCs w:val="20"/>
                <w:lang w:eastAsia="en-AU"/>
              </w:rPr>
              <w:t xml:space="preserve"> </w:t>
            </w:r>
            <w:r w:rsidRPr="005A36FE">
              <w:rPr>
                <w:rFonts w:eastAsiaTheme="minorEastAsia" w:cs="Calibri"/>
                <w:iCs/>
                <w:color w:val="FFFFFF"/>
                <w:szCs w:val="20"/>
                <w:lang w:eastAsia="en-AU"/>
              </w:rPr>
              <w:t>and not</w:t>
            </w:r>
            <w:r>
              <w:rPr>
                <w:rFonts w:eastAsiaTheme="minorEastAsia" w:cs="Calibri"/>
                <w:iCs/>
                <w:color w:val="FFFFFF"/>
                <w:szCs w:val="20"/>
                <w:lang w:eastAsia="en-AU"/>
              </w:rPr>
              <w:br/>
            </w:r>
            <w:r w:rsidRPr="005A36FE">
              <w:rPr>
                <w:rFonts w:eastAsiaTheme="minorEastAsia" w:cs="Calibri"/>
                <w:iCs/>
                <w:color w:val="FFFFFF"/>
                <w:szCs w:val="20"/>
                <w:lang w:eastAsia="en-AU"/>
              </w:rPr>
              <w:t>impaired</w:t>
            </w:r>
          </w:p>
        </w:tc>
        <w:tc>
          <w:tcPr>
            <w:tcW w:w="3968" w:type="dxa"/>
            <w:gridSpan w:val="4"/>
            <w:tcBorders>
              <w:top w:val="nil"/>
              <w:left w:val="nil"/>
              <w:bottom w:val="single" w:sz="6" w:space="0" w:color="FFFFFF" w:themeColor="background1"/>
              <w:right w:val="nil"/>
            </w:tcBorders>
            <w:shd w:val="solid" w:color="000000" w:fill="auto"/>
          </w:tcPr>
          <w:p w:rsidR="002F016E" w:rsidRPr="005A36FE" w:rsidRDefault="002F016E"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Past due and not impaired</w:t>
            </w:r>
          </w:p>
        </w:tc>
        <w:tc>
          <w:tcPr>
            <w:tcW w:w="992" w:type="dxa"/>
            <w:vMerge w:val="restart"/>
            <w:tcBorders>
              <w:top w:val="nil"/>
              <w:left w:val="nil"/>
              <w:right w:val="nil"/>
            </w:tcBorders>
            <w:shd w:val="solid" w:color="000000" w:fill="auto"/>
          </w:tcPr>
          <w:p w:rsidR="002F016E" w:rsidRPr="005A36FE" w:rsidRDefault="002F016E" w:rsidP="00AC68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 xml:space="preserve">Impaired </w:t>
            </w:r>
          </w:p>
        </w:tc>
        <w:tc>
          <w:tcPr>
            <w:tcW w:w="992" w:type="dxa"/>
            <w:vMerge w:val="restart"/>
            <w:tcBorders>
              <w:top w:val="nil"/>
              <w:left w:val="nil"/>
              <w:right w:val="nil"/>
            </w:tcBorders>
            <w:shd w:val="solid" w:color="000000" w:fill="auto"/>
          </w:tcPr>
          <w:p w:rsidR="002F016E" w:rsidRPr="005A36FE" w:rsidRDefault="002F016E" w:rsidP="00AC68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Total</w:t>
            </w:r>
          </w:p>
        </w:tc>
      </w:tr>
      <w:tr w:rsidR="002F016E" w:rsidRPr="005A36FE" w:rsidTr="002F01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000000" w:fill="auto"/>
          </w:tcPr>
          <w:p w:rsidR="002F016E" w:rsidRPr="005A36FE" w:rsidRDefault="002F016E"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 xml:space="preserve"> </w:t>
            </w:r>
          </w:p>
        </w:tc>
        <w:tc>
          <w:tcPr>
            <w:tcW w:w="992" w:type="dxa"/>
            <w:vMerge/>
            <w:tcBorders>
              <w:left w:val="nil"/>
              <w:right w:val="nil"/>
            </w:tcBorders>
            <w:shd w:val="solid" w:color="000000" w:fill="auto"/>
          </w:tcPr>
          <w:p w:rsidR="002F016E" w:rsidRPr="005A36FE" w:rsidRDefault="002F016E" w:rsidP="00AC68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992" w:type="dxa"/>
            <w:vMerge w:val="restart"/>
            <w:tcBorders>
              <w:top w:val="single" w:sz="6" w:space="0" w:color="FFFFFF" w:themeColor="background1"/>
              <w:left w:val="nil"/>
              <w:right w:val="nil"/>
            </w:tcBorders>
            <w:shd w:val="solid" w:color="000000" w:fill="auto"/>
          </w:tcPr>
          <w:p w:rsidR="002F016E" w:rsidRPr="005A36FE" w:rsidRDefault="002F016E" w:rsidP="002F016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Less than</w:t>
            </w:r>
            <w:r>
              <w:rPr>
                <w:rFonts w:eastAsiaTheme="minorEastAsia" w:cs="Calibri"/>
                <w:iCs/>
                <w:color w:val="FFFFFF"/>
                <w:szCs w:val="20"/>
                <w:lang w:eastAsia="en-AU"/>
              </w:rPr>
              <w:br/>
            </w:r>
            <w:r w:rsidRPr="005A36FE">
              <w:rPr>
                <w:rFonts w:eastAsiaTheme="minorEastAsia" w:cs="Calibri"/>
                <w:iCs/>
                <w:color w:val="FFFFFF"/>
                <w:szCs w:val="20"/>
                <w:lang w:eastAsia="en-AU"/>
              </w:rPr>
              <w:t>1 month</w:t>
            </w:r>
          </w:p>
        </w:tc>
        <w:tc>
          <w:tcPr>
            <w:tcW w:w="992" w:type="dxa"/>
            <w:vMerge w:val="restart"/>
            <w:tcBorders>
              <w:top w:val="single" w:sz="6" w:space="0" w:color="FFFFFF" w:themeColor="background1"/>
              <w:left w:val="nil"/>
              <w:right w:val="nil"/>
            </w:tcBorders>
            <w:shd w:val="solid" w:color="000000" w:fill="auto"/>
          </w:tcPr>
          <w:p w:rsidR="002F016E" w:rsidRPr="005A36FE" w:rsidRDefault="002F016E" w:rsidP="002F016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1 month-</w:t>
            </w:r>
            <w:r>
              <w:rPr>
                <w:rFonts w:eastAsiaTheme="minorEastAsia" w:cs="Calibri"/>
                <w:iCs/>
                <w:color w:val="FFFFFF"/>
                <w:szCs w:val="20"/>
                <w:lang w:eastAsia="en-AU"/>
              </w:rPr>
              <w:br/>
            </w:r>
            <w:r w:rsidRPr="005A36FE">
              <w:rPr>
                <w:rFonts w:eastAsiaTheme="minorEastAsia" w:cs="Calibri"/>
                <w:iCs/>
                <w:color w:val="FFFFFF"/>
                <w:szCs w:val="20"/>
                <w:lang w:eastAsia="en-AU"/>
              </w:rPr>
              <w:t>3 months</w:t>
            </w:r>
          </w:p>
        </w:tc>
        <w:tc>
          <w:tcPr>
            <w:tcW w:w="992" w:type="dxa"/>
            <w:vMerge w:val="restart"/>
            <w:tcBorders>
              <w:top w:val="single" w:sz="6" w:space="0" w:color="FFFFFF" w:themeColor="background1"/>
              <w:left w:val="nil"/>
              <w:right w:val="nil"/>
            </w:tcBorders>
            <w:shd w:val="solid" w:color="000000" w:fill="auto"/>
          </w:tcPr>
          <w:p w:rsidR="002F016E" w:rsidRPr="005A36FE" w:rsidRDefault="002F016E" w:rsidP="002F016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3 months-</w:t>
            </w:r>
            <w:r>
              <w:rPr>
                <w:rFonts w:eastAsiaTheme="minorEastAsia" w:cs="Calibri"/>
                <w:iCs/>
                <w:color w:val="FFFFFF"/>
                <w:szCs w:val="20"/>
                <w:lang w:eastAsia="en-AU"/>
              </w:rPr>
              <w:br/>
            </w:r>
            <w:r w:rsidRPr="005A36FE">
              <w:rPr>
                <w:rFonts w:eastAsiaTheme="minorEastAsia" w:cs="Calibri"/>
                <w:iCs/>
                <w:color w:val="FFFFFF"/>
                <w:szCs w:val="20"/>
                <w:lang w:eastAsia="en-AU"/>
              </w:rPr>
              <w:t>1 year</w:t>
            </w:r>
          </w:p>
        </w:tc>
        <w:tc>
          <w:tcPr>
            <w:tcW w:w="992" w:type="dxa"/>
            <w:vMerge w:val="restart"/>
            <w:tcBorders>
              <w:top w:val="single" w:sz="6" w:space="0" w:color="FFFFFF" w:themeColor="background1"/>
              <w:left w:val="nil"/>
              <w:right w:val="nil"/>
            </w:tcBorders>
            <w:shd w:val="solid" w:color="000000" w:fill="auto"/>
          </w:tcPr>
          <w:p w:rsidR="002F016E" w:rsidRPr="005A36FE" w:rsidRDefault="002F016E" w:rsidP="002F016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More than</w:t>
            </w:r>
            <w:r>
              <w:rPr>
                <w:rFonts w:eastAsiaTheme="minorEastAsia" w:cs="Calibri"/>
                <w:iCs/>
                <w:color w:val="FFFFFF"/>
                <w:szCs w:val="20"/>
                <w:lang w:eastAsia="en-AU"/>
              </w:rPr>
              <w:br/>
            </w:r>
            <w:r w:rsidRPr="005A36FE">
              <w:rPr>
                <w:rFonts w:eastAsiaTheme="minorEastAsia" w:cs="Calibri"/>
                <w:iCs/>
                <w:color w:val="FFFFFF"/>
                <w:szCs w:val="20"/>
                <w:lang w:eastAsia="en-AU"/>
              </w:rPr>
              <w:t>1 year</w:t>
            </w:r>
          </w:p>
        </w:tc>
        <w:tc>
          <w:tcPr>
            <w:tcW w:w="992" w:type="dxa"/>
            <w:vMerge/>
            <w:tcBorders>
              <w:left w:val="nil"/>
              <w:right w:val="nil"/>
            </w:tcBorders>
            <w:shd w:val="solid" w:color="000000" w:fill="auto"/>
          </w:tcPr>
          <w:p w:rsidR="002F016E" w:rsidRPr="005A36FE" w:rsidRDefault="002F016E" w:rsidP="00AC68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992" w:type="dxa"/>
            <w:vMerge/>
            <w:tcBorders>
              <w:left w:val="nil"/>
              <w:right w:val="nil"/>
            </w:tcBorders>
            <w:shd w:val="solid" w:color="000000" w:fill="auto"/>
          </w:tcPr>
          <w:p w:rsidR="002F016E" w:rsidRPr="005A36FE" w:rsidRDefault="002F016E" w:rsidP="00AC68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r>
      <w:tr w:rsidR="002F016E" w:rsidRPr="005A36FE" w:rsidTr="002F01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000000" w:fill="auto"/>
          </w:tcPr>
          <w:p w:rsidR="002F016E" w:rsidRPr="005A36FE" w:rsidRDefault="002F016E" w:rsidP="00AC68FF">
            <w:pPr>
              <w:keepLines w:val="0"/>
              <w:autoSpaceDE w:val="0"/>
              <w:autoSpaceDN w:val="0"/>
              <w:adjustRightInd w:val="0"/>
              <w:rPr>
                <w:rFonts w:eastAsiaTheme="minorEastAsia" w:cs="Calibri"/>
                <w:iCs/>
                <w:color w:val="FFFFFF"/>
                <w:szCs w:val="20"/>
                <w:lang w:eastAsia="en-AU"/>
              </w:rPr>
            </w:pPr>
            <w:r w:rsidRPr="005A36FE">
              <w:rPr>
                <w:rFonts w:eastAsiaTheme="minorEastAsia" w:cs="Calibri"/>
                <w:iCs/>
                <w:color w:val="FFFFFF"/>
                <w:szCs w:val="20"/>
                <w:lang w:eastAsia="en-AU"/>
              </w:rPr>
              <w:t>2017</w:t>
            </w:r>
          </w:p>
        </w:tc>
        <w:tc>
          <w:tcPr>
            <w:tcW w:w="992" w:type="dxa"/>
            <w:vMerge/>
            <w:tcBorders>
              <w:left w:val="nil"/>
              <w:bottom w:val="nil"/>
              <w:right w:val="nil"/>
            </w:tcBorders>
            <w:shd w:val="solid" w:color="000000" w:fill="auto"/>
          </w:tcPr>
          <w:p w:rsidR="002F016E" w:rsidRPr="005A36FE" w:rsidRDefault="002F016E"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992" w:type="dxa"/>
            <w:vMerge/>
            <w:tcBorders>
              <w:left w:val="nil"/>
              <w:bottom w:val="nil"/>
              <w:right w:val="nil"/>
            </w:tcBorders>
            <w:shd w:val="solid" w:color="000000" w:fill="auto"/>
          </w:tcPr>
          <w:p w:rsidR="002F016E" w:rsidRPr="005A36FE" w:rsidRDefault="002F016E"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992" w:type="dxa"/>
            <w:vMerge/>
            <w:tcBorders>
              <w:left w:val="nil"/>
              <w:bottom w:val="nil"/>
              <w:right w:val="nil"/>
            </w:tcBorders>
            <w:shd w:val="solid" w:color="000000" w:fill="auto"/>
          </w:tcPr>
          <w:p w:rsidR="002F016E" w:rsidRPr="005A36FE" w:rsidRDefault="002F016E"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992" w:type="dxa"/>
            <w:vMerge/>
            <w:tcBorders>
              <w:left w:val="nil"/>
              <w:bottom w:val="nil"/>
              <w:right w:val="nil"/>
            </w:tcBorders>
            <w:shd w:val="solid" w:color="000000" w:fill="auto"/>
          </w:tcPr>
          <w:p w:rsidR="002F016E" w:rsidRPr="005A36FE" w:rsidRDefault="002F016E"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992" w:type="dxa"/>
            <w:vMerge/>
            <w:tcBorders>
              <w:left w:val="nil"/>
              <w:bottom w:val="nil"/>
              <w:right w:val="nil"/>
            </w:tcBorders>
            <w:shd w:val="solid" w:color="000000" w:fill="auto"/>
          </w:tcPr>
          <w:p w:rsidR="002F016E" w:rsidRPr="005A36FE" w:rsidRDefault="002F016E"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992" w:type="dxa"/>
            <w:vMerge/>
            <w:tcBorders>
              <w:left w:val="nil"/>
              <w:bottom w:val="nil"/>
              <w:right w:val="nil"/>
            </w:tcBorders>
            <w:shd w:val="solid" w:color="000000" w:fill="auto"/>
          </w:tcPr>
          <w:p w:rsidR="002F016E" w:rsidRPr="005A36FE" w:rsidRDefault="002F016E"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992" w:type="dxa"/>
            <w:vMerge/>
            <w:tcBorders>
              <w:left w:val="nil"/>
              <w:bottom w:val="nil"/>
              <w:right w:val="nil"/>
            </w:tcBorders>
            <w:shd w:val="solid" w:color="000000" w:fill="auto"/>
          </w:tcPr>
          <w:p w:rsidR="002F016E" w:rsidRPr="005A36FE" w:rsidRDefault="002F016E"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Sale of goods and services</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716</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150</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114</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127</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85</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1 202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Accrued investment income</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Other receivables</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1 521</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57</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110</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1 756</w:t>
            </w:r>
          </w:p>
        </w:tc>
      </w:tr>
      <w:tr w:rsidR="00BB6F1F" w:rsidRPr="005A36FE" w:rsidTr="002F016E">
        <w:tc>
          <w:tcPr>
            <w:cnfStyle w:val="001000000000" w:firstRow="0" w:lastRow="0" w:firstColumn="1" w:lastColumn="0" w:oddVBand="0" w:evenVBand="0" w:oddHBand="0" w:evenHBand="0" w:firstRowFirstColumn="0" w:firstRowLastColumn="0" w:lastRowFirstColumn="0" w:lastRowLastColumn="0"/>
            <w:tcW w:w="2693" w:type="dxa"/>
            <w:tcBorders>
              <w:top w:val="single" w:sz="6" w:space="0" w:color="auto"/>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20"/>
                <w:lang w:eastAsia="en-AU"/>
              </w:rPr>
            </w:pPr>
            <w:r w:rsidRPr="005A36FE">
              <w:rPr>
                <w:rFonts w:eastAsiaTheme="minorEastAsia" w:cs="Calibri"/>
                <w:b/>
                <w:bCs/>
                <w:color w:val="000000"/>
                <w:szCs w:val="20"/>
                <w:lang w:eastAsia="en-AU"/>
              </w:rPr>
              <w:t xml:space="preserve"> </w:t>
            </w:r>
          </w:p>
        </w:tc>
        <w:tc>
          <w:tcPr>
            <w:tcW w:w="992" w:type="dxa"/>
            <w:tcBorders>
              <w:top w:val="single" w:sz="6" w:space="0" w:color="auto"/>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2 301</w:t>
            </w:r>
          </w:p>
        </w:tc>
        <w:tc>
          <w:tcPr>
            <w:tcW w:w="992" w:type="dxa"/>
            <w:tcBorders>
              <w:top w:val="single" w:sz="6" w:space="0" w:color="auto"/>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207</w:t>
            </w:r>
          </w:p>
        </w:tc>
        <w:tc>
          <w:tcPr>
            <w:tcW w:w="992" w:type="dxa"/>
            <w:tcBorders>
              <w:top w:val="single" w:sz="6" w:space="0" w:color="auto"/>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146</w:t>
            </w:r>
          </w:p>
        </w:tc>
        <w:tc>
          <w:tcPr>
            <w:tcW w:w="992" w:type="dxa"/>
            <w:tcBorders>
              <w:top w:val="single" w:sz="6" w:space="0" w:color="auto"/>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159</w:t>
            </w:r>
          </w:p>
        </w:tc>
        <w:tc>
          <w:tcPr>
            <w:tcW w:w="992" w:type="dxa"/>
            <w:tcBorders>
              <w:top w:val="single" w:sz="6" w:space="0" w:color="auto"/>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195</w:t>
            </w:r>
          </w:p>
        </w:tc>
        <w:tc>
          <w:tcPr>
            <w:tcW w:w="992" w:type="dxa"/>
            <w:tcBorders>
              <w:top w:val="single" w:sz="6" w:space="0" w:color="auto"/>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14</w:t>
            </w:r>
          </w:p>
        </w:tc>
        <w:tc>
          <w:tcPr>
            <w:tcW w:w="992" w:type="dxa"/>
            <w:tcBorders>
              <w:top w:val="single" w:sz="6" w:space="0" w:color="auto"/>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3 021</w:t>
            </w:r>
          </w:p>
        </w:tc>
      </w:tr>
      <w:tr w:rsidR="00BB6F1F" w:rsidRPr="005A36FE" w:rsidTr="002F016E">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
                <w:iCs/>
                <w:color w:val="FFFFFF"/>
                <w:szCs w:val="20"/>
                <w:lang w:eastAsia="en-AU"/>
              </w:rPr>
            </w:pPr>
            <w:r w:rsidRPr="005A36FE">
              <w:rPr>
                <w:rFonts w:eastAsiaTheme="minorEastAsia" w:cs="Calibri"/>
                <w:i/>
                <w:iCs/>
                <w:color w:val="FFFFFF"/>
                <w:szCs w:val="20"/>
                <w:lang w:eastAsia="en-AU"/>
              </w:rPr>
              <w:t>2016</w:t>
            </w:r>
          </w:p>
        </w:tc>
        <w:tc>
          <w:tcPr>
            <w:tcW w:w="992"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c>
          <w:tcPr>
            <w:tcW w:w="992"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c>
          <w:tcPr>
            <w:tcW w:w="992"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c>
          <w:tcPr>
            <w:tcW w:w="992"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c>
          <w:tcPr>
            <w:tcW w:w="992"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c>
          <w:tcPr>
            <w:tcW w:w="992"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c>
          <w:tcPr>
            <w:tcW w:w="992"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r>
      <w:tr w:rsidR="00BB6F1F" w:rsidRPr="005A36FE" w:rsidTr="002F016E">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Sale of goods and services</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756</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157</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133</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119</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95</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1 267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Accrued investment income</w:t>
            </w:r>
          </w:p>
        </w:tc>
        <w:tc>
          <w:tcPr>
            <w:tcW w:w="992" w:type="dxa"/>
            <w:tcBorders>
              <w:top w:val="nil"/>
              <w:left w:val="nil"/>
              <w:bottom w:val="nil"/>
              <w:right w:val="nil"/>
            </w:tcBorders>
          </w:tcPr>
          <w:p w:rsidR="00BB6F1F" w:rsidRPr="005A36FE" w:rsidRDefault="00BB6F1F" w:rsidP="001B286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w:t>
            </w:r>
            <w:r w:rsidR="001B286A">
              <w:rPr>
                <w:rFonts w:eastAsiaTheme="minorEastAsia" w:cs="Calibri"/>
                <w:color w:val="000000"/>
                <w:szCs w:val="20"/>
                <w:lang w:eastAsia="en-AU"/>
              </w:rPr>
              <w:t>7</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Other receivables</w:t>
            </w:r>
            <w:r w:rsidR="001B286A">
              <w:rPr>
                <w:rFonts w:eastAsiaTheme="minorEastAsia" w:cs="Calibri"/>
                <w:color w:val="000000"/>
                <w:szCs w:val="20"/>
                <w:lang w:eastAsia="en-AU"/>
              </w:rPr>
              <w:t xml:space="preserve"> </w:t>
            </w:r>
            <w:r w:rsidRPr="005A36FE">
              <w:rPr>
                <w:rFonts w:eastAsiaTheme="minorEastAsia" w:cs="Calibri"/>
                <w:color w:val="000000"/>
                <w:szCs w:val="20"/>
                <w:vertAlign w:val="superscript"/>
                <w:lang w:eastAsia="en-AU"/>
              </w:rPr>
              <w:t>(a)</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1 633</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115</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1 887</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6" w:space="0" w:color="auto"/>
              <w:bottom w:val="single" w:sz="12" w:space="0" w:color="auto"/>
            </w:tcBorders>
          </w:tcPr>
          <w:p w:rsidR="00BB6F1F" w:rsidRPr="005A36FE" w:rsidRDefault="00BB6F1F" w:rsidP="00AC68FF">
            <w:pPr>
              <w:keepLines w:val="0"/>
              <w:autoSpaceDE w:val="0"/>
              <w:autoSpaceDN w:val="0"/>
              <w:adjustRightInd w:val="0"/>
              <w:rPr>
                <w:rFonts w:eastAsiaTheme="minorEastAsia" w:cs="Calibri"/>
                <w:bCs/>
                <w:color w:val="000000"/>
                <w:szCs w:val="20"/>
                <w:lang w:eastAsia="en-AU"/>
              </w:rPr>
            </w:pPr>
            <w:r w:rsidRPr="005A36FE">
              <w:rPr>
                <w:rFonts w:eastAsiaTheme="minorEastAsia" w:cs="Calibri"/>
                <w:bCs/>
                <w:color w:val="000000"/>
                <w:szCs w:val="20"/>
                <w:lang w:eastAsia="en-AU"/>
              </w:rPr>
              <w:t xml:space="preserve"> </w:t>
            </w:r>
          </w:p>
        </w:tc>
        <w:tc>
          <w:tcPr>
            <w:tcW w:w="992"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2 455</w:t>
            </w:r>
          </w:p>
        </w:tc>
        <w:tc>
          <w:tcPr>
            <w:tcW w:w="992"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207</w:t>
            </w:r>
          </w:p>
        </w:tc>
        <w:tc>
          <w:tcPr>
            <w:tcW w:w="992"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176</w:t>
            </w:r>
          </w:p>
        </w:tc>
        <w:tc>
          <w:tcPr>
            <w:tcW w:w="992"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234</w:t>
            </w:r>
          </w:p>
        </w:tc>
        <w:tc>
          <w:tcPr>
            <w:tcW w:w="992"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141</w:t>
            </w:r>
          </w:p>
        </w:tc>
        <w:tc>
          <w:tcPr>
            <w:tcW w:w="992"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8</w:t>
            </w:r>
          </w:p>
        </w:tc>
        <w:tc>
          <w:tcPr>
            <w:tcW w:w="992"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3 220</w:t>
            </w:r>
          </w:p>
        </w:tc>
      </w:tr>
    </w:tbl>
    <w:p w:rsidR="00BB6F1F" w:rsidRPr="000E174A" w:rsidRDefault="00BB6F1F" w:rsidP="000E174A"/>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2693"/>
        <w:gridCol w:w="992"/>
        <w:gridCol w:w="992"/>
        <w:gridCol w:w="992"/>
        <w:gridCol w:w="992"/>
        <w:gridCol w:w="992"/>
        <w:gridCol w:w="992"/>
        <w:gridCol w:w="992"/>
      </w:tblGrid>
      <w:tr w:rsidR="002F016E" w:rsidRPr="005A36FE" w:rsidTr="002F01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000000" w:fill="auto"/>
          </w:tcPr>
          <w:p w:rsidR="002F016E" w:rsidRPr="005A36FE" w:rsidRDefault="002F016E" w:rsidP="00AC68FF">
            <w:pPr>
              <w:autoSpaceDE w:val="0"/>
              <w:autoSpaceDN w:val="0"/>
              <w:adjustRightInd w:val="0"/>
              <w:rPr>
                <w:rFonts w:eastAsiaTheme="minorEastAsia" w:cs="Calibri"/>
                <w:iCs/>
                <w:color w:val="FFFFFF"/>
                <w:szCs w:val="20"/>
                <w:lang w:eastAsia="en-AU"/>
              </w:rPr>
            </w:pPr>
            <w:r w:rsidRPr="005A36FE">
              <w:rPr>
                <w:rFonts w:eastAsiaTheme="minorEastAsia" w:cs="Calibri"/>
                <w:iCs/>
                <w:color w:val="FFFFFF"/>
                <w:szCs w:val="20"/>
                <w:lang w:eastAsia="en-AU"/>
              </w:rPr>
              <w:t xml:space="preserve">General </w:t>
            </w:r>
            <w:r w:rsidRPr="00281AB4">
              <w:rPr>
                <w:rFonts w:eastAsiaTheme="minorEastAsia" w:cs="Calibri"/>
                <w:iCs/>
                <w:color w:val="FFFFFF"/>
                <w:szCs w:val="20"/>
                <w:lang w:eastAsia="en-AU"/>
              </w:rPr>
              <w:t>government sector</w:t>
            </w:r>
          </w:p>
        </w:tc>
        <w:tc>
          <w:tcPr>
            <w:tcW w:w="992" w:type="dxa"/>
            <w:vMerge w:val="restart"/>
            <w:tcBorders>
              <w:top w:val="nil"/>
              <w:left w:val="nil"/>
              <w:right w:val="nil"/>
            </w:tcBorders>
            <w:shd w:val="solid" w:color="000000" w:fill="auto"/>
          </w:tcPr>
          <w:p w:rsidR="002F016E" w:rsidRPr="005A36FE" w:rsidRDefault="002F016E" w:rsidP="002F016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Not past due</w:t>
            </w:r>
            <w:r>
              <w:rPr>
                <w:rFonts w:eastAsiaTheme="minorEastAsia" w:cs="Calibri"/>
                <w:iCs/>
                <w:color w:val="FFFFFF"/>
                <w:szCs w:val="20"/>
                <w:lang w:eastAsia="en-AU"/>
              </w:rPr>
              <w:br/>
            </w:r>
            <w:r w:rsidRPr="005A36FE">
              <w:rPr>
                <w:rFonts w:eastAsiaTheme="minorEastAsia" w:cs="Calibri"/>
                <w:iCs/>
                <w:color w:val="FFFFFF"/>
                <w:szCs w:val="20"/>
                <w:lang w:eastAsia="en-AU"/>
              </w:rPr>
              <w:t>and not</w:t>
            </w:r>
            <w:r>
              <w:rPr>
                <w:rFonts w:eastAsiaTheme="minorEastAsia" w:cs="Calibri"/>
                <w:iCs/>
                <w:color w:val="FFFFFF"/>
                <w:szCs w:val="20"/>
                <w:lang w:eastAsia="en-AU"/>
              </w:rPr>
              <w:br/>
            </w:r>
            <w:r w:rsidRPr="005A36FE">
              <w:rPr>
                <w:rFonts w:eastAsiaTheme="minorEastAsia" w:cs="Calibri"/>
                <w:iCs/>
                <w:color w:val="FFFFFF"/>
                <w:szCs w:val="20"/>
                <w:lang w:eastAsia="en-AU"/>
              </w:rPr>
              <w:t>impaired</w:t>
            </w:r>
          </w:p>
        </w:tc>
        <w:tc>
          <w:tcPr>
            <w:tcW w:w="3968" w:type="dxa"/>
            <w:gridSpan w:val="4"/>
            <w:tcBorders>
              <w:top w:val="nil"/>
              <w:left w:val="nil"/>
              <w:bottom w:val="single" w:sz="6" w:space="0" w:color="FFFFFF" w:themeColor="background1"/>
              <w:right w:val="nil"/>
            </w:tcBorders>
            <w:shd w:val="solid" w:color="000000" w:fill="auto"/>
          </w:tcPr>
          <w:p w:rsidR="002F016E" w:rsidRPr="005A36FE" w:rsidRDefault="002F016E"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Past due and not impaired</w:t>
            </w:r>
          </w:p>
        </w:tc>
        <w:tc>
          <w:tcPr>
            <w:tcW w:w="992" w:type="dxa"/>
            <w:vMerge w:val="restart"/>
            <w:tcBorders>
              <w:top w:val="nil"/>
              <w:left w:val="nil"/>
              <w:right w:val="nil"/>
            </w:tcBorders>
            <w:shd w:val="solid" w:color="000000" w:fill="auto"/>
          </w:tcPr>
          <w:p w:rsidR="002F016E" w:rsidRPr="005A36FE" w:rsidRDefault="002F016E" w:rsidP="00AC68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Impaired</w:t>
            </w:r>
          </w:p>
        </w:tc>
        <w:tc>
          <w:tcPr>
            <w:tcW w:w="992" w:type="dxa"/>
            <w:vMerge w:val="restart"/>
            <w:tcBorders>
              <w:top w:val="nil"/>
              <w:left w:val="nil"/>
              <w:right w:val="nil"/>
            </w:tcBorders>
            <w:shd w:val="solid" w:color="000000" w:fill="auto"/>
          </w:tcPr>
          <w:p w:rsidR="002F016E" w:rsidRPr="005A36FE" w:rsidRDefault="002F016E" w:rsidP="00AC68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Total</w:t>
            </w:r>
          </w:p>
        </w:tc>
      </w:tr>
      <w:tr w:rsidR="002F016E" w:rsidRPr="005A36FE" w:rsidTr="002F01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000000" w:fill="auto"/>
          </w:tcPr>
          <w:p w:rsidR="002F016E" w:rsidRPr="005A36FE" w:rsidRDefault="002F016E" w:rsidP="00AC68FF">
            <w:pPr>
              <w:keepLines w:val="0"/>
              <w:autoSpaceDE w:val="0"/>
              <w:autoSpaceDN w:val="0"/>
              <w:adjustRightInd w:val="0"/>
              <w:rPr>
                <w:rFonts w:eastAsiaTheme="minorEastAsia" w:cs="Calibri"/>
                <w:iCs/>
                <w:color w:val="FFFFFF"/>
                <w:szCs w:val="20"/>
                <w:lang w:eastAsia="en-AU"/>
              </w:rPr>
            </w:pPr>
          </w:p>
        </w:tc>
        <w:tc>
          <w:tcPr>
            <w:tcW w:w="992" w:type="dxa"/>
            <w:vMerge/>
            <w:tcBorders>
              <w:left w:val="nil"/>
              <w:right w:val="nil"/>
            </w:tcBorders>
            <w:shd w:val="solid" w:color="000000" w:fill="auto"/>
          </w:tcPr>
          <w:p w:rsidR="002F016E" w:rsidRPr="005A36FE" w:rsidRDefault="002F016E" w:rsidP="00AC68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992" w:type="dxa"/>
            <w:vMerge w:val="restart"/>
            <w:tcBorders>
              <w:top w:val="single" w:sz="6" w:space="0" w:color="FFFFFF" w:themeColor="background1"/>
              <w:left w:val="nil"/>
              <w:right w:val="nil"/>
            </w:tcBorders>
            <w:shd w:val="solid" w:color="000000" w:fill="auto"/>
          </w:tcPr>
          <w:p w:rsidR="002F016E" w:rsidRPr="005A36FE" w:rsidRDefault="002F016E" w:rsidP="002F016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Less than</w:t>
            </w:r>
            <w:r>
              <w:rPr>
                <w:rFonts w:eastAsiaTheme="minorEastAsia" w:cs="Calibri"/>
                <w:iCs/>
                <w:color w:val="FFFFFF"/>
                <w:szCs w:val="20"/>
                <w:lang w:eastAsia="en-AU"/>
              </w:rPr>
              <w:br/>
            </w:r>
            <w:r w:rsidRPr="005A36FE">
              <w:rPr>
                <w:rFonts w:eastAsiaTheme="minorEastAsia" w:cs="Calibri"/>
                <w:iCs/>
                <w:color w:val="FFFFFF"/>
                <w:szCs w:val="20"/>
                <w:lang w:eastAsia="en-AU"/>
              </w:rPr>
              <w:t>1 month</w:t>
            </w:r>
          </w:p>
        </w:tc>
        <w:tc>
          <w:tcPr>
            <w:tcW w:w="992" w:type="dxa"/>
            <w:vMerge w:val="restart"/>
            <w:tcBorders>
              <w:top w:val="single" w:sz="6" w:space="0" w:color="FFFFFF" w:themeColor="background1"/>
              <w:left w:val="nil"/>
              <w:right w:val="nil"/>
            </w:tcBorders>
            <w:shd w:val="solid" w:color="000000" w:fill="auto"/>
          </w:tcPr>
          <w:p w:rsidR="002F016E" w:rsidRPr="005A36FE" w:rsidRDefault="002F016E" w:rsidP="002F016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1 month-</w:t>
            </w:r>
            <w:r>
              <w:rPr>
                <w:rFonts w:eastAsiaTheme="minorEastAsia" w:cs="Calibri"/>
                <w:iCs/>
                <w:color w:val="FFFFFF"/>
                <w:szCs w:val="20"/>
                <w:lang w:eastAsia="en-AU"/>
              </w:rPr>
              <w:br/>
            </w:r>
            <w:r w:rsidRPr="005A36FE">
              <w:rPr>
                <w:rFonts w:eastAsiaTheme="minorEastAsia" w:cs="Calibri"/>
                <w:iCs/>
                <w:color w:val="FFFFFF"/>
                <w:szCs w:val="20"/>
                <w:lang w:eastAsia="en-AU"/>
              </w:rPr>
              <w:t>3 months</w:t>
            </w:r>
          </w:p>
        </w:tc>
        <w:tc>
          <w:tcPr>
            <w:tcW w:w="992" w:type="dxa"/>
            <w:vMerge w:val="restart"/>
            <w:tcBorders>
              <w:top w:val="single" w:sz="6" w:space="0" w:color="FFFFFF" w:themeColor="background1"/>
              <w:left w:val="nil"/>
              <w:right w:val="nil"/>
            </w:tcBorders>
            <w:shd w:val="solid" w:color="000000" w:fill="auto"/>
          </w:tcPr>
          <w:p w:rsidR="002F016E" w:rsidRPr="005A36FE" w:rsidRDefault="002F016E" w:rsidP="002F016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3 months-</w:t>
            </w:r>
            <w:r>
              <w:rPr>
                <w:rFonts w:eastAsiaTheme="minorEastAsia" w:cs="Calibri"/>
                <w:iCs/>
                <w:color w:val="FFFFFF"/>
                <w:szCs w:val="20"/>
                <w:lang w:eastAsia="en-AU"/>
              </w:rPr>
              <w:br/>
            </w:r>
            <w:r w:rsidRPr="005A36FE">
              <w:rPr>
                <w:rFonts w:eastAsiaTheme="minorEastAsia" w:cs="Calibri"/>
                <w:iCs/>
                <w:color w:val="FFFFFF"/>
                <w:szCs w:val="20"/>
                <w:lang w:eastAsia="en-AU"/>
              </w:rPr>
              <w:t>1 year</w:t>
            </w:r>
          </w:p>
        </w:tc>
        <w:tc>
          <w:tcPr>
            <w:tcW w:w="992" w:type="dxa"/>
            <w:vMerge w:val="restart"/>
            <w:tcBorders>
              <w:top w:val="single" w:sz="6" w:space="0" w:color="FFFFFF" w:themeColor="background1"/>
              <w:left w:val="nil"/>
              <w:right w:val="nil"/>
            </w:tcBorders>
            <w:shd w:val="solid" w:color="000000" w:fill="auto"/>
          </w:tcPr>
          <w:p w:rsidR="002F016E" w:rsidRPr="005A36FE" w:rsidRDefault="002F016E" w:rsidP="002F016E">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20"/>
                <w:lang w:eastAsia="en-AU"/>
              </w:rPr>
              <w:t>More than</w:t>
            </w:r>
            <w:r>
              <w:rPr>
                <w:rFonts w:eastAsiaTheme="minorEastAsia" w:cs="Calibri"/>
                <w:iCs/>
                <w:color w:val="FFFFFF"/>
                <w:szCs w:val="20"/>
                <w:lang w:eastAsia="en-AU"/>
              </w:rPr>
              <w:t xml:space="preserve"> </w:t>
            </w:r>
            <w:r>
              <w:rPr>
                <w:rFonts w:eastAsiaTheme="minorEastAsia" w:cs="Calibri"/>
                <w:iCs/>
                <w:color w:val="FFFFFF"/>
                <w:szCs w:val="20"/>
                <w:lang w:eastAsia="en-AU"/>
              </w:rPr>
              <w:br/>
            </w:r>
            <w:r w:rsidRPr="005A36FE">
              <w:rPr>
                <w:rFonts w:eastAsiaTheme="minorEastAsia" w:cs="Calibri"/>
                <w:iCs/>
                <w:color w:val="FFFFFF"/>
                <w:szCs w:val="20"/>
                <w:lang w:eastAsia="en-AU"/>
              </w:rPr>
              <w:t>1 year</w:t>
            </w:r>
          </w:p>
        </w:tc>
        <w:tc>
          <w:tcPr>
            <w:tcW w:w="992" w:type="dxa"/>
            <w:vMerge/>
            <w:tcBorders>
              <w:left w:val="nil"/>
              <w:right w:val="nil"/>
            </w:tcBorders>
            <w:shd w:val="solid" w:color="000000" w:fill="auto"/>
          </w:tcPr>
          <w:p w:rsidR="002F016E" w:rsidRPr="005A36FE" w:rsidRDefault="002F016E" w:rsidP="00AC68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992" w:type="dxa"/>
            <w:vMerge/>
            <w:tcBorders>
              <w:left w:val="nil"/>
              <w:right w:val="nil"/>
            </w:tcBorders>
            <w:shd w:val="solid" w:color="000000" w:fill="auto"/>
          </w:tcPr>
          <w:p w:rsidR="002F016E" w:rsidRPr="005A36FE" w:rsidRDefault="002F016E" w:rsidP="00AC68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r>
      <w:tr w:rsidR="002F016E" w:rsidRPr="005A36FE" w:rsidTr="002F01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000000" w:fill="auto"/>
          </w:tcPr>
          <w:p w:rsidR="002F016E" w:rsidRPr="005A36FE" w:rsidRDefault="002F016E" w:rsidP="00AC68FF">
            <w:pPr>
              <w:keepLines w:val="0"/>
              <w:autoSpaceDE w:val="0"/>
              <w:autoSpaceDN w:val="0"/>
              <w:adjustRightInd w:val="0"/>
              <w:rPr>
                <w:rFonts w:eastAsiaTheme="minorEastAsia" w:cs="Calibri"/>
                <w:iCs/>
                <w:color w:val="FFFFFF"/>
                <w:szCs w:val="20"/>
                <w:lang w:eastAsia="en-AU"/>
              </w:rPr>
            </w:pPr>
            <w:r w:rsidRPr="005A36FE">
              <w:rPr>
                <w:rFonts w:eastAsiaTheme="minorEastAsia" w:cs="Calibri"/>
                <w:iCs/>
                <w:color w:val="FFFFFF"/>
                <w:szCs w:val="20"/>
                <w:lang w:eastAsia="en-AU"/>
              </w:rPr>
              <w:t>2017</w:t>
            </w:r>
          </w:p>
        </w:tc>
        <w:tc>
          <w:tcPr>
            <w:tcW w:w="992" w:type="dxa"/>
            <w:vMerge/>
            <w:tcBorders>
              <w:left w:val="nil"/>
              <w:bottom w:val="nil"/>
              <w:right w:val="nil"/>
            </w:tcBorders>
            <w:shd w:val="solid" w:color="000000" w:fill="auto"/>
          </w:tcPr>
          <w:p w:rsidR="002F016E" w:rsidRPr="005A36FE" w:rsidRDefault="002F016E"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992" w:type="dxa"/>
            <w:vMerge/>
            <w:tcBorders>
              <w:left w:val="nil"/>
              <w:bottom w:val="nil"/>
              <w:right w:val="nil"/>
            </w:tcBorders>
            <w:shd w:val="solid" w:color="000000" w:fill="auto"/>
          </w:tcPr>
          <w:p w:rsidR="002F016E" w:rsidRPr="005A36FE" w:rsidRDefault="002F016E"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992" w:type="dxa"/>
            <w:vMerge/>
            <w:tcBorders>
              <w:left w:val="nil"/>
              <w:bottom w:val="nil"/>
              <w:right w:val="nil"/>
            </w:tcBorders>
            <w:shd w:val="solid" w:color="000000" w:fill="auto"/>
          </w:tcPr>
          <w:p w:rsidR="002F016E" w:rsidRPr="005A36FE" w:rsidRDefault="002F016E"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992" w:type="dxa"/>
            <w:vMerge/>
            <w:tcBorders>
              <w:left w:val="nil"/>
              <w:bottom w:val="nil"/>
              <w:right w:val="nil"/>
            </w:tcBorders>
            <w:shd w:val="solid" w:color="000000" w:fill="auto"/>
          </w:tcPr>
          <w:p w:rsidR="002F016E" w:rsidRPr="005A36FE" w:rsidRDefault="002F016E"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992" w:type="dxa"/>
            <w:vMerge/>
            <w:tcBorders>
              <w:left w:val="nil"/>
              <w:bottom w:val="nil"/>
              <w:right w:val="nil"/>
            </w:tcBorders>
            <w:shd w:val="solid" w:color="000000" w:fill="auto"/>
          </w:tcPr>
          <w:p w:rsidR="002F016E" w:rsidRPr="005A36FE" w:rsidRDefault="002F016E"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992" w:type="dxa"/>
            <w:vMerge/>
            <w:tcBorders>
              <w:left w:val="nil"/>
              <w:bottom w:val="nil"/>
              <w:right w:val="nil"/>
            </w:tcBorders>
            <w:shd w:val="solid" w:color="000000" w:fill="auto"/>
          </w:tcPr>
          <w:p w:rsidR="002F016E" w:rsidRPr="005A36FE" w:rsidRDefault="002F016E"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992" w:type="dxa"/>
            <w:vMerge/>
            <w:tcBorders>
              <w:left w:val="nil"/>
              <w:bottom w:val="nil"/>
              <w:right w:val="nil"/>
            </w:tcBorders>
            <w:shd w:val="solid" w:color="000000" w:fill="auto"/>
          </w:tcPr>
          <w:p w:rsidR="002F016E" w:rsidRPr="005A36FE" w:rsidRDefault="002F016E"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Sale of goods and services</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337</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52</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49</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76</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74</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Accrued investment income</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Other receivables</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1 024</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88</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1 169</w:t>
            </w:r>
          </w:p>
        </w:tc>
      </w:tr>
      <w:tr w:rsidR="00BB6F1F" w:rsidRPr="005A36FE" w:rsidTr="002F016E">
        <w:tc>
          <w:tcPr>
            <w:cnfStyle w:val="001000000000" w:firstRow="0" w:lastRow="0" w:firstColumn="1" w:lastColumn="0" w:oddVBand="0" w:evenVBand="0" w:oddHBand="0" w:evenHBand="0" w:firstRowFirstColumn="0" w:firstRowLastColumn="0" w:lastRowFirstColumn="0" w:lastRowLastColumn="0"/>
            <w:tcW w:w="2693" w:type="dxa"/>
            <w:tcBorders>
              <w:top w:val="single" w:sz="6" w:space="0" w:color="auto"/>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20"/>
                <w:lang w:eastAsia="en-AU"/>
              </w:rPr>
            </w:pPr>
            <w:r w:rsidRPr="005A36FE">
              <w:rPr>
                <w:rFonts w:eastAsiaTheme="minorEastAsia" w:cs="Calibri"/>
                <w:b/>
                <w:bCs/>
                <w:color w:val="000000"/>
                <w:szCs w:val="20"/>
                <w:lang w:eastAsia="en-AU"/>
              </w:rPr>
              <w:t xml:space="preserve"> </w:t>
            </w:r>
          </w:p>
        </w:tc>
        <w:tc>
          <w:tcPr>
            <w:tcW w:w="992" w:type="dxa"/>
            <w:tcBorders>
              <w:top w:val="single" w:sz="6" w:space="0" w:color="auto"/>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1 379</w:t>
            </w:r>
          </w:p>
        </w:tc>
        <w:tc>
          <w:tcPr>
            <w:tcW w:w="992" w:type="dxa"/>
            <w:tcBorders>
              <w:top w:val="single" w:sz="6" w:space="0" w:color="auto"/>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87</w:t>
            </w:r>
          </w:p>
        </w:tc>
        <w:tc>
          <w:tcPr>
            <w:tcW w:w="992" w:type="dxa"/>
            <w:tcBorders>
              <w:top w:val="single" w:sz="6" w:space="0" w:color="auto"/>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58</w:t>
            </w:r>
          </w:p>
        </w:tc>
        <w:tc>
          <w:tcPr>
            <w:tcW w:w="992" w:type="dxa"/>
            <w:tcBorders>
              <w:top w:val="single" w:sz="6" w:space="0" w:color="auto"/>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91</w:t>
            </w:r>
          </w:p>
        </w:tc>
        <w:tc>
          <w:tcPr>
            <w:tcW w:w="992" w:type="dxa"/>
            <w:tcBorders>
              <w:top w:val="single" w:sz="6" w:space="0" w:color="auto"/>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162</w:t>
            </w:r>
          </w:p>
        </w:tc>
        <w:tc>
          <w:tcPr>
            <w:tcW w:w="992" w:type="dxa"/>
            <w:tcBorders>
              <w:top w:val="single" w:sz="6" w:space="0" w:color="auto"/>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9</w:t>
            </w:r>
          </w:p>
        </w:tc>
        <w:tc>
          <w:tcPr>
            <w:tcW w:w="992" w:type="dxa"/>
            <w:tcBorders>
              <w:top w:val="single" w:sz="6" w:space="0" w:color="auto"/>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1 786</w:t>
            </w:r>
          </w:p>
        </w:tc>
      </w:tr>
      <w:tr w:rsidR="00BB6F1F" w:rsidRPr="005A36FE" w:rsidTr="002F016E">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
                <w:iCs/>
                <w:color w:val="FFFFFF"/>
                <w:szCs w:val="20"/>
                <w:lang w:eastAsia="en-AU"/>
              </w:rPr>
            </w:pPr>
            <w:r w:rsidRPr="005A36FE">
              <w:rPr>
                <w:rFonts w:eastAsiaTheme="minorEastAsia" w:cs="Calibri"/>
                <w:i/>
                <w:iCs/>
                <w:color w:val="FFFFFF"/>
                <w:szCs w:val="20"/>
                <w:lang w:eastAsia="en-AU"/>
              </w:rPr>
              <w:t>2016</w:t>
            </w:r>
          </w:p>
        </w:tc>
        <w:tc>
          <w:tcPr>
            <w:tcW w:w="992"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c>
          <w:tcPr>
            <w:tcW w:w="992"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c>
          <w:tcPr>
            <w:tcW w:w="992"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c>
          <w:tcPr>
            <w:tcW w:w="992"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c>
          <w:tcPr>
            <w:tcW w:w="992"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c>
          <w:tcPr>
            <w:tcW w:w="992"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c>
          <w:tcPr>
            <w:tcW w:w="992"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r>
      <w:tr w:rsidR="00BB6F1F" w:rsidRPr="005A36FE" w:rsidTr="002F016E">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Sale of goods and services</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393</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75</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106</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76</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84</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739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Accrued investment income</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Other receivables</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873</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99</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1 021</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6" w:space="0" w:color="auto"/>
              <w:bottom w:val="single" w:sz="12" w:space="0" w:color="auto"/>
            </w:tcBorders>
          </w:tcPr>
          <w:p w:rsidR="00BB6F1F" w:rsidRPr="005A36FE" w:rsidRDefault="00BB6F1F" w:rsidP="00AC68FF">
            <w:pPr>
              <w:keepLines w:val="0"/>
              <w:autoSpaceDE w:val="0"/>
              <w:autoSpaceDN w:val="0"/>
              <w:adjustRightInd w:val="0"/>
              <w:rPr>
                <w:rFonts w:eastAsiaTheme="minorEastAsia" w:cs="Calibri"/>
                <w:bCs/>
                <w:color w:val="000000"/>
                <w:szCs w:val="20"/>
                <w:lang w:eastAsia="en-AU"/>
              </w:rPr>
            </w:pPr>
            <w:r w:rsidRPr="005A36FE">
              <w:rPr>
                <w:rFonts w:eastAsiaTheme="minorEastAsia" w:cs="Calibri"/>
                <w:bCs/>
                <w:color w:val="000000"/>
                <w:szCs w:val="20"/>
                <w:lang w:eastAsia="en-AU"/>
              </w:rPr>
              <w:t xml:space="preserve"> </w:t>
            </w:r>
          </w:p>
        </w:tc>
        <w:tc>
          <w:tcPr>
            <w:tcW w:w="992"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1 284</w:t>
            </w:r>
          </w:p>
        </w:tc>
        <w:tc>
          <w:tcPr>
            <w:tcW w:w="992"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102</w:t>
            </w:r>
          </w:p>
        </w:tc>
        <w:tc>
          <w:tcPr>
            <w:tcW w:w="992"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126</w:t>
            </w:r>
          </w:p>
        </w:tc>
        <w:tc>
          <w:tcPr>
            <w:tcW w:w="992"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175</w:t>
            </w:r>
          </w:p>
        </w:tc>
        <w:tc>
          <w:tcPr>
            <w:tcW w:w="992"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86</w:t>
            </w:r>
          </w:p>
        </w:tc>
        <w:tc>
          <w:tcPr>
            <w:tcW w:w="992"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6</w:t>
            </w:r>
          </w:p>
        </w:tc>
        <w:tc>
          <w:tcPr>
            <w:tcW w:w="992"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1 778</w:t>
            </w:r>
          </w:p>
        </w:tc>
      </w:tr>
    </w:tbl>
    <w:p w:rsidR="00BB6F1F" w:rsidRDefault="00BB6F1F" w:rsidP="000E174A"/>
    <w:p w:rsidR="00BB6F1F" w:rsidRPr="005A36FE" w:rsidRDefault="00BB6F1F" w:rsidP="00AC68FF">
      <w:pPr>
        <w:pStyle w:val="TableHeading"/>
        <w:rPr>
          <w:bCs/>
          <w:lang w:val="en-US"/>
        </w:rPr>
      </w:pPr>
      <w:r w:rsidRPr="00BD026C">
        <w:t>Movement in provision for doubtful contractual receivables</w:t>
      </w:r>
      <w:r w:rsidRPr="00BD026C">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669"/>
        <w:gridCol w:w="992"/>
        <w:gridCol w:w="992"/>
        <w:gridCol w:w="992"/>
        <w:gridCol w:w="992"/>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9" w:type="dxa"/>
            <w:tcBorders>
              <w:top w:val="single" w:sz="6" w:space="0" w:color="auto"/>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color w:val="FFFFFF"/>
                <w:lang w:eastAsia="en-AU"/>
              </w:rPr>
            </w:pPr>
            <w:r w:rsidRPr="005A36FE">
              <w:rPr>
                <w:rFonts w:eastAsiaTheme="minorEastAsia" w:cs="Calibri"/>
                <w:color w:val="FFFFFF"/>
                <w:lang w:eastAsia="en-AU"/>
              </w:rPr>
              <w:t xml:space="preserve"> </w:t>
            </w:r>
          </w:p>
        </w:tc>
        <w:tc>
          <w:tcPr>
            <w:tcW w:w="1984" w:type="dxa"/>
            <w:gridSpan w:val="2"/>
            <w:tcBorders>
              <w:top w:val="single" w:sz="6" w:space="0" w:color="auto"/>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State of Victoria</w:t>
            </w:r>
          </w:p>
        </w:tc>
        <w:tc>
          <w:tcPr>
            <w:tcW w:w="1984" w:type="dxa"/>
            <w:gridSpan w:val="2"/>
            <w:tcBorders>
              <w:top w:val="single" w:sz="6" w:space="0" w:color="auto"/>
              <w:left w:val="nil"/>
              <w:bottom w:val="nil"/>
              <w:right w:val="nil"/>
            </w:tcBorders>
            <w:shd w:val="solid" w:color="000000" w:fill="auto"/>
          </w:tcPr>
          <w:p w:rsidR="00BB6F1F" w:rsidRPr="005A36FE" w:rsidRDefault="00BB6F1F" w:rsidP="001B286A">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 xml:space="preserve">General </w:t>
            </w:r>
            <w:r w:rsidR="001B286A">
              <w:rPr>
                <w:rFonts w:eastAsiaTheme="minorEastAsia" w:cs="Calibri"/>
                <w:iCs/>
                <w:color w:val="FFFFFF"/>
                <w:lang w:eastAsia="en-AU"/>
              </w:rPr>
              <w:br/>
            </w:r>
            <w:r w:rsidRPr="005A36FE">
              <w:rPr>
                <w:rFonts w:eastAsiaTheme="minorEastAsia" w:cs="Calibri"/>
                <w:iCs/>
                <w:color w:val="FFFFFF"/>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single" w:sz="6" w:space="0" w:color="auto"/>
              <w:right w:val="nil"/>
            </w:tcBorders>
            <w:shd w:val="solid" w:color="000000" w:fill="auto"/>
          </w:tcPr>
          <w:p w:rsidR="00BB6F1F" w:rsidRPr="005A36FE" w:rsidRDefault="00BB6F1F" w:rsidP="00AC68FF">
            <w:pPr>
              <w:keepLines w:val="0"/>
              <w:autoSpaceDE w:val="0"/>
              <w:autoSpaceDN w:val="0"/>
              <w:adjustRightInd w:val="0"/>
              <w:rPr>
                <w:rFonts w:eastAsiaTheme="minorEastAsia" w:cs="Calibri"/>
                <w:color w:val="FFFFFF"/>
                <w:lang w:eastAsia="en-AU"/>
              </w:rPr>
            </w:pPr>
            <w:r w:rsidRPr="005A36FE">
              <w:rPr>
                <w:rFonts w:eastAsiaTheme="minorEastAsia" w:cs="Calibri"/>
                <w:color w:val="FFFFFF"/>
                <w:lang w:eastAsia="en-AU"/>
              </w:rPr>
              <w:t xml:space="preserve"> </w:t>
            </w:r>
          </w:p>
        </w:tc>
        <w:tc>
          <w:tcPr>
            <w:tcW w:w="992" w:type="dxa"/>
            <w:tcBorders>
              <w:top w:val="nil"/>
              <w:left w:val="nil"/>
              <w:bottom w:val="single" w:sz="6" w:space="0" w:color="auto"/>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2017</w:t>
            </w:r>
          </w:p>
        </w:tc>
        <w:tc>
          <w:tcPr>
            <w:tcW w:w="992" w:type="dxa"/>
            <w:tcBorders>
              <w:top w:val="nil"/>
              <w:left w:val="nil"/>
              <w:bottom w:val="single" w:sz="6" w:space="0" w:color="auto"/>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2016</w:t>
            </w:r>
          </w:p>
        </w:tc>
        <w:tc>
          <w:tcPr>
            <w:tcW w:w="992" w:type="dxa"/>
            <w:tcBorders>
              <w:top w:val="nil"/>
              <w:left w:val="nil"/>
              <w:bottom w:val="single" w:sz="6" w:space="0" w:color="auto"/>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2017</w:t>
            </w:r>
          </w:p>
        </w:tc>
        <w:tc>
          <w:tcPr>
            <w:tcW w:w="992" w:type="dxa"/>
            <w:tcBorders>
              <w:top w:val="nil"/>
              <w:left w:val="nil"/>
              <w:bottom w:val="single" w:sz="6" w:space="0" w:color="auto"/>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5A36FE">
              <w:rPr>
                <w:rFonts w:eastAsiaTheme="minorEastAsia" w:cs="Calibri"/>
                <w:iCs/>
                <w:color w:val="FFFFFF"/>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669" w:type="dxa"/>
            <w:tcBorders>
              <w:top w:val="single" w:sz="6" w:space="0" w:color="auto"/>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Opening balance</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(157)</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(136)</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(90)</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Reversal of unused provision recognised in the net results</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15</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10</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Increase in provision recognised in the net results</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(64)</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(66)</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(51)</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lang w:eastAsia="en-AU"/>
              </w:rPr>
            </w:pPr>
            <w:r w:rsidRPr="005A36FE">
              <w:rPr>
                <w:rFonts w:eastAsiaTheme="minorEastAsia" w:cs="Calibri"/>
                <w:color w:val="000000"/>
                <w:lang w:eastAsia="en-AU"/>
              </w:rPr>
              <w:t>Reversal of provision of receivables written off during the year as uncollectible</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44</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40</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34</w:t>
            </w:r>
          </w:p>
        </w:tc>
        <w:tc>
          <w:tcPr>
            <w:tcW w:w="99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30</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tcBorders>
              <w:top w:val="single" w:sz="6" w:space="0" w:color="auto"/>
              <w:bottom w:val="single" w:sz="12" w:space="0" w:color="auto"/>
            </w:tcBorders>
          </w:tcPr>
          <w:p w:rsidR="00BB6F1F" w:rsidRPr="005A36FE" w:rsidRDefault="00BB6F1F" w:rsidP="00AC68FF">
            <w:pPr>
              <w:keepLines w:val="0"/>
              <w:autoSpaceDE w:val="0"/>
              <w:autoSpaceDN w:val="0"/>
              <w:adjustRightInd w:val="0"/>
              <w:rPr>
                <w:rFonts w:eastAsiaTheme="minorEastAsia" w:cs="Calibri"/>
                <w:bCs/>
                <w:color w:val="000000"/>
                <w:lang w:eastAsia="en-AU"/>
              </w:rPr>
            </w:pPr>
            <w:r w:rsidRPr="005A36FE">
              <w:rPr>
                <w:rFonts w:eastAsiaTheme="minorEastAsia" w:cs="Calibri"/>
                <w:bCs/>
                <w:color w:val="000000"/>
                <w:lang w:eastAsia="en-AU"/>
              </w:rPr>
              <w:t>Closing balance</w:t>
            </w:r>
          </w:p>
        </w:tc>
        <w:tc>
          <w:tcPr>
            <w:tcW w:w="992" w:type="dxa"/>
            <w:tcBorders>
              <w:top w:val="single" w:sz="6" w:space="0" w:color="auto"/>
              <w:bottom w:val="single" w:sz="12" w:space="0" w:color="auto"/>
            </w:tcBorders>
            <w:shd w:val="solid" w:color="FFFFFF" w:fill="auto"/>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(161)</w:t>
            </w:r>
          </w:p>
        </w:tc>
        <w:tc>
          <w:tcPr>
            <w:tcW w:w="992" w:type="dxa"/>
            <w:tcBorders>
              <w:top w:val="single" w:sz="6" w:space="0" w:color="auto"/>
              <w:bottom w:val="single" w:sz="12" w:space="0" w:color="auto"/>
            </w:tcBorders>
            <w:shd w:val="solid" w:color="FFFFFF" w:fill="auto"/>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(157)</w:t>
            </w:r>
          </w:p>
        </w:tc>
        <w:tc>
          <w:tcPr>
            <w:tcW w:w="992" w:type="dxa"/>
            <w:tcBorders>
              <w:top w:val="single" w:sz="6" w:space="0" w:color="auto"/>
              <w:bottom w:val="single" w:sz="12" w:space="0" w:color="auto"/>
            </w:tcBorders>
            <w:shd w:val="solid" w:color="FFFFFF" w:fill="auto"/>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(97)</w:t>
            </w:r>
          </w:p>
        </w:tc>
        <w:tc>
          <w:tcPr>
            <w:tcW w:w="992" w:type="dxa"/>
            <w:tcBorders>
              <w:top w:val="single" w:sz="6" w:space="0" w:color="auto"/>
              <w:bottom w:val="single" w:sz="12" w:space="0" w:color="auto"/>
            </w:tcBorders>
            <w:shd w:val="solid" w:color="FFFFFF" w:fill="auto"/>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(90)</w:t>
            </w:r>
          </w:p>
        </w:tc>
      </w:tr>
    </w:tbl>
    <w:p w:rsidR="00BB6F1F" w:rsidRPr="00920BA5" w:rsidRDefault="00BB6F1F" w:rsidP="00AC68FF">
      <w:pPr>
        <w:rPr>
          <w:b/>
          <w:bCs/>
          <w:lang w:val="en-US"/>
        </w:rPr>
      </w:pPr>
    </w:p>
    <w:p w:rsidR="00BB6F1F" w:rsidRDefault="00BB6F1F">
      <w:pPr>
        <w:keepLines w:val="0"/>
        <w:rPr>
          <w:rFonts w:asciiTheme="majorHAnsi" w:eastAsiaTheme="majorEastAsia" w:hAnsiTheme="majorHAnsi" w:cstheme="majorBidi"/>
          <w:b/>
          <w:spacing w:val="-2"/>
          <w:sz w:val="26"/>
          <w:szCs w:val="26"/>
        </w:rPr>
      </w:pPr>
      <w:r>
        <w:br w:type="page"/>
      </w:r>
    </w:p>
    <w:p w:rsidR="00BB6F1F" w:rsidRDefault="00BB6F1F" w:rsidP="00BB6F1F">
      <w:pPr>
        <w:pStyle w:val="Heading2"/>
        <w:numPr>
          <w:ilvl w:val="1"/>
          <w:numId w:val="24"/>
        </w:numPr>
        <w:spacing w:after="120"/>
      </w:pPr>
      <w:bookmarkStart w:id="48" w:name="_Toc492984865"/>
      <w:r w:rsidRPr="00BD026C">
        <w:lastRenderedPageBreak/>
        <w:t>Payables</w:t>
      </w:r>
      <w:bookmarkEnd w:id="48"/>
    </w:p>
    <w:p w:rsidR="00BB6F1F" w:rsidRPr="005A36FE" w:rsidRDefault="00BB6F1F" w:rsidP="00AC68FF">
      <w:pPr>
        <w:pStyle w:val="TableUnits"/>
        <w:rPr>
          <w:bCs/>
          <w:lang w:val="en-US"/>
        </w:rPr>
      </w:pPr>
      <w:r w:rsidRPr="00BD026C">
        <w:t>($ million)</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6009"/>
        <w:gridCol w:w="907"/>
        <w:gridCol w:w="907"/>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5A36FE">
              <w:rPr>
                <w:rFonts w:eastAsiaTheme="minorEastAsia" w:cs="Calibri"/>
                <w:iCs/>
                <w:color w:val="FFFFFF"/>
                <w:szCs w:val="18"/>
                <w:lang w:eastAsia="en-AU"/>
              </w:rPr>
              <w:t>government sector</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lang w:eastAsia="en-AU"/>
              </w:rPr>
            </w:pPr>
            <w:r w:rsidRPr="005A36FE">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Contractual</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Accounts payable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2 439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2 166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1 402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1 290</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Accrued expenses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2 618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2 298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2 239</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2 187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Unearned income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12 128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3 368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2 130</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2 258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Statutory</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Accrued taxes payable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Total payables</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17 233</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7 937</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5 815</w:t>
            </w:r>
          </w:p>
        </w:tc>
        <w:tc>
          <w:tcPr>
            <w:tcW w:w="907" w:type="dxa"/>
            <w:tcBorders>
              <w:top w:val="single" w:sz="6" w:space="0" w:color="000000"/>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5 773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16"/>
                <w:lang w:eastAsia="en-AU"/>
              </w:rPr>
            </w:pPr>
            <w:r w:rsidRPr="005A36FE">
              <w:rPr>
                <w:rFonts w:eastAsiaTheme="minorEastAsia" w:cs="Calibri"/>
                <w:b/>
                <w:bCs/>
                <w:color w:val="000000"/>
                <w:szCs w:val="16"/>
                <w:lang w:eastAsia="en-AU"/>
              </w:rPr>
              <w:t>Represented by:</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5A36FE">
              <w:rPr>
                <w:rFonts w:eastAsiaTheme="minorEastAsia" w:cs="Calibri"/>
                <w:b/>
                <w:bCs/>
                <w:color w:val="000000"/>
                <w:szCs w:val="18"/>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Current payables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6 868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6 084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4 134</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4 053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12" w:space="0" w:color="000000"/>
              <w:right w:val="nil"/>
            </w:tcBorders>
          </w:tcPr>
          <w:p w:rsidR="00BB6F1F" w:rsidRPr="005A36FE" w:rsidRDefault="00BB6F1F" w:rsidP="00AC68FF">
            <w:pPr>
              <w:keepLines w:val="0"/>
              <w:autoSpaceDE w:val="0"/>
              <w:autoSpaceDN w:val="0"/>
              <w:adjustRightInd w:val="0"/>
              <w:rPr>
                <w:rFonts w:eastAsiaTheme="minorEastAsia" w:cs="Calibri"/>
                <w:color w:val="000000"/>
                <w:szCs w:val="16"/>
                <w:lang w:eastAsia="en-AU"/>
              </w:rPr>
            </w:pPr>
            <w:r w:rsidRPr="005A36FE">
              <w:rPr>
                <w:rFonts w:eastAsiaTheme="minorEastAsia" w:cs="Calibri"/>
                <w:color w:val="000000"/>
                <w:szCs w:val="16"/>
                <w:lang w:eastAsia="en-AU"/>
              </w:rPr>
              <w:t>Non-current payables</w:t>
            </w:r>
          </w:p>
        </w:tc>
        <w:tc>
          <w:tcPr>
            <w:tcW w:w="907" w:type="dxa"/>
            <w:tcBorders>
              <w:top w:val="nil"/>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10 365</w:t>
            </w:r>
          </w:p>
        </w:tc>
        <w:tc>
          <w:tcPr>
            <w:tcW w:w="907" w:type="dxa"/>
            <w:tcBorders>
              <w:top w:val="nil"/>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1 854</w:t>
            </w:r>
          </w:p>
        </w:tc>
        <w:tc>
          <w:tcPr>
            <w:tcW w:w="907" w:type="dxa"/>
            <w:tcBorders>
              <w:top w:val="nil"/>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1 681</w:t>
            </w:r>
          </w:p>
        </w:tc>
        <w:tc>
          <w:tcPr>
            <w:tcW w:w="907" w:type="dxa"/>
            <w:tcBorders>
              <w:top w:val="nil"/>
              <w:left w:val="nil"/>
              <w:bottom w:val="single" w:sz="12" w:space="0" w:color="000000"/>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5A36FE">
              <w:rPr>
                <w:rFonts w:eastAsiaTheme="minorEastAsia" w:cs="Calibri"/>
                <w:color w:val="000000"/>
                <w:szCs w:val="18"/>
                <w:lang w:eastAsia="en-AU"/>
              </w:rPr>
              <w:t>1 720</w:t>
            </w:r>
          </w:p>
        </w:tc>
      </w:tr>
    </w:tbl>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AC68FF">
      <w:pPr>
        <w:pStyle w:val="Note"/>
      </w:pPr>
    </w:p>
    <w:p w:rsidR="00BB6F1F" w:rsidRDefault="00BB6F1F" w:rsidP="00AC68FF">
      <w:r>
        <w:t>Payables consist of:</w:t>
      </w:r>
    </w:p>
    <w:p w:rsidR="00BB6F1F" w:rsidRDefault="00BB6F1F" w:rsidP="00AC68FF">
      <w:pPr>
        <w:pStyle w:val="ListBullet"/>
      </w:pPr>
      <w:r>
        <w:t>contractual payables, such as accounts payable, and unearned revenue liability (including deferred revenue from concession notes and the medium-term lease over the operations of the Port of Melbourne); and</w:t>
      </w:r>
    </w:p>
    <w:p w:rsidR="00BB6F1F" w:rsidRDefault="00BB6F1F" w:rsidP="00AC68FF">
      <w:pPr>
        <w:pStyle w:val="ListBullet"/>
      </w:pPr>
      <w:r>
        <w:t>statutory payables (accrued taxes payable), such as GST and fringe benefits tax payables.</w:t>
      </w:r>
    </w:p>
    <w:p w:rsidR="00BB6F1F" w:rsidRDefault="00BB6F1F" w:rsidP="00AC68FF">
      <w:r w:rsidRPr="00BD026C">
        <w:rPr>
          <w:b/>
        </w:rPr>
        <w:t>Contractual payables</w:t>
      </w:r>
      <w:r>
        <w:t xml:space="preserve"> are classified as financial instruments (Note 7.1) and measured at amortised cost. Accounts payable represent liabilities for goods and services provided to the State prior to the end of the financial year that are unpaid, and arise when the State becomes obliged to make future payments in respect of the purchase of those goods and services.</w:t>
      </w:r>
    </w:p>
    <w:p w:rsidR="00BB6F1F" w:rsidRDefault="00BB6F1F" w:rsidP="00AC68FF">
      <w:r w:rsidRPr="00BD026C">
        <w:rPr>
          <w:b/>
        </w:rPr>
        <w:t>Statutory payables</w:t>
      </w:r>
      <w:r>
        <w:t xml:space="preserve"> are recognised and measured similarly to contractual payables, but are not classified as financial instruments and not included in the category of financial liabilities at amortised cost, because they do not arise from contracts.</w:t>
      </w:r>
    </w:p>
    <w:p w:rsidR="00BB6F1F" w:rsidRDefault="00BB6F1F" w:rsidP="00BB6F1F">
      <w:pPr>
        <w:pStyle w:val="Heading2"/>
        <w:numPr>
          <w:ilvl w:val="1"/>
          <w:numId w:val="24"/>
        </w:numPr>
      </w:pPr>
      <w:bookmarkStart w:id="49" w:name="_Toc492984866"/>
      <w:r>
        <w:t>Superannuation</w:t>
      </w:r>
      <w:bookmarkEnd w:id="49"/>
      <w:r>
        <w:t xml:space="preserve"> </w:t>
      </w:r>
    </w:p>
    <w:p w:rsidR="00BB6F1F" w:rsidRDefault="00BB6F1F" w:rsidP="00AC68FF">
      <w:r>
        <w:t>The disclosure in this note is for the consolidated State of Victoria only, as more than 99 per cent of the $24.9 billion superannuation liability is recorded in the general government sector.</w:t>
      </w:r>
    </w:p>
    <w:p w:rsidR="00BB6F1F" w:rsidRDefault="00BB6F1F" w:rsidP="00AC68FF">
      <w:pPr>
        <w:pStyle w:val="Heading30"/>
      </w:pPr>
      <w:r>
        <w:t>Net superannuation liability</w:t>
      </w:r>
    </w:p>
    <w:p w:rsidR="00BB6F1F" w:rsidRDefault="00BB6F1F" w:rsidP="00AC68FF">
      <w:r>
        <w:t xml:space="preserve">The State’s public sector defined benefit superannuation plans are responsible for the liability for employee superannuation entitlements. These plans are not consolidated in the Annual Financial Report as they are not controlled by the State. However, the majority of the superannuation liability is the responsibility of the State and is recognised accordingly. </w:t>
      </w:r>
    </w:p>
    <w:p w:rsidR="00BB6F1F" w:rsidRDefault="00BB6F1F" w:rsidP="00AC68FF">
      <w:pPr>
        <w:pStyle w:val="Note"/>
      </w:pPr>
      <w:r>
        <w:br w:type="column"/>
      </w:r>
    </w:p>
    <w:p w:rsidR="00BB6F1F" w:rsidRDefault="00BB6F1F" w:rsidP="00AC68FF">
      <w:r>
        <w:t xml:space="preserve">At each reporting date, a liability or asset in respect of defined benefit superannuation obligations is recognised. This is measured as the difference between the present value of the defined benefit obligations at the reporting date and the net market value of the superannuation plan’s assets. </w:t>
      </w:r>
    </w:p>
    <w:p w:rsidR="00BB6F1F" w:rsidRDefault="00BB6F1F" w:rsidP="00AC68FF">
      <w:r>
        <w:t>The superannuation liabilities of agencies for which the State is not responsible, such as universities, are not reflected in the balance sheet.</w:t>
      </w:r>
    </w:p>
    <w:p w:rsidR="00BB6F1F" w:rsidRDefault="00BB6F1F" w:rsidP="00AC68FF">
      <w:pPr>
        <w:pStyle w:val="HighlightBoxText"/>
      </w:pPr>
      <w:r w:rsidRPr="00BD026C">
        <w:rPr>
          <w:b/>
        </w:rPr>
        <w:t>Defined benefit plans</w:t>
      </w:r>
      <w:r>
        <w:t xml:space="preserve">: These provide benefits based on years of service and final average salary. At each reporting date, a liability or asset in respect of defined benefit superannuation obligations is recognised. </w:t>
      </w:r>
    </w:p>
    <w:p w:rsidR="00BB6F1F" w:rsidRDefault="00BB6F1F" w:rsidP="00AC68FF">
      <w:pPr>
        <w:pStyle w:val="HighlightBoxText"/>
      </w:pPr>
      <w:r>
        <w:t xml:space="preserve">The present value of defined benefit obligations is based upon future payments, which are expected to arise due to membership of the superannuation plan to date, taking into account the taxes payable by the plan. </w:t>
      </w:r>
    </w:p>
    <w:p w:rsidR="00BB6F1F" w:rsidRDefault="00BB6F1F" w:rsidP="00AC68FF">
      <w:pPr>
        <w:pStyle w:val="HighlightBoxText"/>
      </w:pPr>
      <w:r>
        <w:t>Consideration is given to expected future salary levels and employee departures. Expected future payments are discounted to present values using yields applying to long-term Commonwealth Government Bonds. Furthermore, the inflation assumption is based upon the relationship between nominal and index linked bond yields of similar duration. This approach ensures that the inflation assumption reflects market expectations and is compatible with the market-based discount rate that is used to value the outstanding liability.</w:t>
      </w:r>
    </w:p>
    <w:p w:rsidR="00BB6F1F" w:rsidRDefault="00BB6F1F" w:rsidP="00AC68FF">
      <w:pPr>
        <w:pStyle w:val="HighlightBoxText"/>
      </w:pPr>
      <w:r w:rsidRPr="00BD026C">
        <w:rPr>
          <w:b/>
        </w:rPr>
        <w:t>Defined contribution plans</w:t>
      </w:r>
      <w:r>
        <w:t>: The State has no obligation to fund any shortfall in these funds and is only responsible for meeting agreed and/or legislated contribution requirements.</w:t>
      </w:r>
    </w:p>
    <w:p w:rsidR="00BB6F1F" w:rsidRDefault="00BB6F1F" w:rsidP="00AC68FF">
      <w:pPr>
        <w:pStyle w:val="Note"/>
      </w:pPr>
    </w:p>
    <w:p w:rsidR="00BB6F1F" w:rsidRDefault="00BB6F1F" w:rsidP="00AC68FF"/>
    <w:p w:rsidR="00BB6F1F" w:rsidRDefault="00BB6F1F" w:rsidP="00AC68FF">
      <w:pPr>
        <w:sectPr w:rsidR="00BB6F1F" w:rsidSect="00AC68FF">
          <w:type w:val="continuous"/>
          <w:pgSz w:w="11907" w:h="16839" w:code="9"/>
          <w:pgMar w:top="1134" w:right="1134" w:bottom="1134" w:left="1134" w:header="624" w:footer="567" w:gutter="0"/>
          <w:cols w:num="2" w:space="709"/>
          <w:docGrid w:linePitch="360"/>
        </w:sectPr>
      </w:pPr>
    </w:p>
    <w:p w:rsidR="00BB6F1F" w:rsidRPr="005A36FE" w:rsidRDefault="00BB6F1F" w:rsidP="00626AEF">
      <w:pPr>
        <w:pStyle w:val="TableHeading"/>
        <w:spacing w:before="0"/>
        <w:rPr>
          <w:bCs/>
          <w:lang w:val="en-US"/>
        </w:rPr>
      </w:pPr>
      <w:r>
        <w:lastRenderedPageBreak/>
        <w:t>Net superannuation liability</w:t>
      </w:r>
      <w:r>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szCs w:val="20"/>
                <w:lang w:eastAsia="en-AU"/>
              </w:rPr>
            </w:pPr>
            <w:r w:rsidRPr="005A36FE">
              <w:rPr>
                <w:rFonts w:eastAsiaTheme="minorEastAsia" w:cs="Calibri"/>
                <w:iCs/>
                <w:color w:val="FFFFFF"/>
                <w:szCs w:val="20"/>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18"/>
                <w:lang w:eastAsia="en-AU"/>
              </w:rPr>
              <w:t>State of Victoria</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szCs w:val="20"/>
                <w:lang w:eastAsia="en-AU"/>
              </w:rPr>
            </w:pPr>
            <w:r w:rsidRPr="005A36FE">
              <w:rPr>
                <w:rFonts w:eastAsiaTheme="minorEastAsia" w:cs="Calibri"/>
                <w:iCs/>
                <w:color w:val="FFFFFF"/>
                <w:szCs w:val="20"/>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rPr>
                <w:rFonts w:eastAsiaTheme="minorEastAsia" w:cs="Calibri"/>
                <w:b/>
                <w:bCs/>
                <w:color w:val="000000"/>
                <w:szCs w:val="20"/>
                <w:lang w:eastAsia="en-AU"/>
              </w:rPr>
            </w:pPr>
            <w:r w:rsidRPr="005A36FE">
              <w:rPr>
                <w:rFonts w:eastAsiaTheme="minorEastAsia" w:cs="Calibri"/>
                <w:b/>
                <w:bCs/>
                <w:color w:val="000000"/>
                <w:szCs w:val="20"/>
                <w:lang w:eastAsia="en-AU"/>
              </w:rPr>
              <w:t>Emergency Services and State Super</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Defined benefit obligation</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41 824</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44 421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 xml:space="preserve">Tax liability </w:t>
            </w:r>
            <w:r w:rsidRPr="005A36FE">
              <w:rPr>
                <w:rFonts w:eastAsiaTheme="minorEastAsia" w:cs="Calibri"/>
                <w:color w:val="000000"/>
                <w:szCs w:val="20"/>
                <w:vertAlign w:val="superscript"/>
                <w:lang w:eastAsia="en-AU"/>
              </w:rPr>
              <w:t>(a)</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2 634</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2 923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Plan assets</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(20 655)</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(19 046)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left w:val="nil"/>
              <w:bottom w:val="single" w:sz="6" w:space="0" w:color="auto"/>
              <w:right w:val="nil"/>
            </w:tcBorders>
            <w:shd w:val="solid" w:color="FFFFFF" w:fill="auto"/>
          </w:tcPr>
          <w:p w:rsidR="00BB6F1F" w:rsidRPr="005A36FE" w:rsidRDefault="00BB6F1F" w:rsidP="00AC68FF">
            <w:pPr>
              <w:keepLines w:val="0"/>
              <w:autoSpaceDE w:val="0"/>
              <w:autoSpaceDN w:val="0"/>
              <w:adjustRightInd w:val="0"/>
              <w:rPr>
                <w:rFonts w:eastAsiaTheme="minorEastAsia" w:cs="Calibri"/>
                <w:b/>
                <w:bCs/>
                <w:color w:val="000000"/>
                <w:szCs w:val="20"/>
                <w:lang w:eastAsia="en-AU"/>
              </w:rPr>
            </w:pPr>
            <w:r w:rsidRPr="005A36FE">
              <w:rPr>
                <w:rFonts w:eastAsiaTheme="minorEastAsia" w:cs="Calibri"/>
                <w:b/>
                <w:bCs/>
                <w:color w:val="000000"/>
                <w:szCs w:val="20"/>
                <w:lang w:eastAsia="en-AU"/>
              </w:rPr>
              <w:t>Net liability/(asset)</w:t>
            </w:r>
          </w:p>
        </w:tc>
        <w:tc>
          <w:tcPr>
            <w:tcW w:w="907" w:type="dxa"/>
            <w:tcBorders>
              <w:top w:val="single" w:sz="6" w:space="0" w:color="auto"/>
              <w:left w:val="nil"/>
              <w:bottom w:val="single" w:sz="6" w:space="0" w:color="auto"/>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23 803</w:t>
            </w:r>
          </w:p>
        </w:tc>
        <w:tc>
          <w:tcPr>
            <w:tcW w:w="907" w:type="dxa"/>
            <w:tcBorders>
              <w:top w:val="single" w:sz="6" w:space="0" w:color="auto"/>
              <w:left w:val="nil"/>
              <w:bottom w:val="single" w:sz="6" w:space="0" w:color="auto"/>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28 298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rPr>
                <w:rFonts w:eastAsiaTheme="minorEastAsia" w:cs="Calibri"/>
                <w:b/>
                <w:bCs/>
                <w:color w:val="000000"/>
                <w:szCs w:val="20"/>
                <w:lang w:eastAsia="en-AU"/>
              </w:rPr>
            </w:pPr>
            <w:r w:rsidRPr="005A36FE">
              <w:rPr>
                <w:rFonts w:eastAsiaTheme="minorEastAsia" w:cs="Calibri"/>
                <w:b/>
                <w:bCs/>
                <w:color w:val="000000"/>
                <w:szCs w:val="20"/>
                <w:lang w:eastAsia="en-AU"/>
              </w:rPr>
              <w:t xml:space="preserve">Other funds </w:t>
            </w:r>
            <w:r w:rsidRPr="005A36FE">
              <w:rPr>
                <w:rFonts w:eastAsiaTheme="minorEastAsia" w:cs="Calibri"/>
                <w:b/>
                <w:bCs/>
                <w:color w:val="000000"/>
                <w:szCs w:val="20"/>
                <w:vertAlign w:val="superscript"/>
                <w:lang w:eastAsia="en-AU"/>
              </w:rPr>
              <w:t>(b)</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Defined benefit obligation</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2 661</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2 538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Tax liability</w:t>
            </w:r>
            <w:r w:rsidR="000E174A">
              <w:rPr>
                <w:rFonts w:eastAsiaTheme="minorEastAsia" w:cs="Calibri"/>
                <w:color w:val="000000"/>
                <w:szCs w:val="20"/>
                <w:lang w:eastAsia="en-AU"/>
              </w:rPr>
              <w:t xml:space="preserve"> </w:t>
            </w:r>
            <w:r w:rsidRPr="005A36FE">
              <w:rPr>
                <w:rFonts w:eastAsiaTheme="minorEastAsia" w:cs="Calibri"/>
                <w:color w:val="000000"/>
                <w:szCs w:val="20"/>
                <w:vertAlign w:val="superscript"/>
                <w:lang w:eastAsia="en-AU"/>
              </w:rPr>
              <w:t>(a)</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Plan assets</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(1 526)</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(1 482)</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left w:val="nil"/>
              <w:bottom w:val="single" w:sz="6" w:space="0" w:color="auto"/>
              <w:right w:val="nil"/>
            </w:tcBorders>
            <w:shd w:val="solid" w:color="FFFFFF" w:fill="auto"/>
          </w:tcPr>
          <w:p w:rsidR="00BB6F1F" w:rsidRPr="005A36FE" w:rsidRDefault="00BB6F1F" w:rsidP="00AC68FF">
            <w:pPr>
              <w:keepLines w:val="0"/>
              <w:autoSpaceDE w:val="0"/>
              <w:autoSpaceDN w:val="0"/>
              <w:adjustRightInd w:val="0"/>
              <w:rPr>
                <w:rFonts w:eastAsiaTheme="minorEastAsia" w:cs="Calibri"/>
                <w:b/>
                <w:bCs/>
                <w:color w:val="000000"/>
                <w:szCs w:val="20"/>
                <w:lang w:eastAsia="en-AU"/>
              </w:rPr>
            </w:pPr>
            <w:r w:rsidRPr="005A36FE">
              <w:rPr>
                <w:rFonts w:eastAsiaTheme="minorEastAsia" w:cs="Calibri"/>
                <w:b/>
                <w:bCs/>
                <w:color w:val="000000"/>
                <w:szCs w:val="20"/>
                <w:lang w:eastAsia="en-AU"/>
              </w:rPr>
              <w:t>Net liability/(asset)</w:t>
            </w:r>
          </w:p>
        </w:tc>
        <w:tc>
          <w:tcPr>
            <w:tcW w:w="907" w:type="dxa"/>
            <w:tcBorders>
              <w:top w:val="single" w:sz="6" w:space="0" w:color="auto"/>
              <w:left w:val="nil"/>
              <w:bottom w:val="single" w:sz="6" w:space="0" w:color="auto"/>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1 135</w:t>
            </w:r>
          </w:p>
        </w:tc>
        <w:tc>
          <w:tcPr>
            <w:tcW w:w="907" w:type="dxa"/>
            <w:tcBorders>
              <w:top w:val="single" w:sz="6" w:space="0" w:color="auto"/>
              <w:left w:val="nil"/>
              <w:bottom w:val="single" w:sz="6" w:space="0" w:color="auto"/>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1 056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rPr>
                <w:rFonts w:eastAsiaTheme="minorEastAsia" w:cs="Calibri"/>
                <w:b/>
                <w:bCs/>
                <w:color w:val="000000"/>
                <w:szCs w:val="20"/>
                <w:lang w:eastAsia="en-AU"/>
              </w:rPr>
            </w:pPr>
            <w:r w:rsidRPr="005A36FE">
              <w:rPr>
                <w:rFonts w:eastAsiaTheme="minorEastAsia" w:cs="Calibri"/>
                <w:b/>
                <w:bCs/>
                <w:color w:val="000000"/>
                <w:szCs w:val="20"/>
                <w:lang w:eastAsia="en-AU"/>
              </w:rPr>
              <w:t>Total superannuation</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Defined benefit obligation</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44 485</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46 959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Tax liability</w:t>
            </w:r>
            <w:r w:rsidR="000E174A">
              <w:rPr>
                <w:rFonts w:eastAsiaTheme="minorEastAsia" w:cs="Calibri"/>
                <w:color w:val="000000"/>
                <w:szCs w:val="20"/>
                <w:lang w:eastAsia="en-AU"/>
              </w:rPr>
              <w:t xml:space="preserve"> </w:t>
            </w:r>
            <w:r w:rsidRPr="005A36FE">
              <w:rPr>
                <w:rFonts w:eastAsiaTheme="minorEastAsia" w:cs="Calibri"/>
                <w:color w:val="000000"/>
                <w:szCs w:val="20"/>
                <w:vertAlign w:val="superscript"/>
                <w:lang w:eastAsia="en-AU"/>
              </w:rPr>
              <w:t>(a)</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2 634</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2 923</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Plan assets</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(22 181)</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(20 528)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left w:val="nil"/>
              <w:bottom w:val="single" w:sz="6" w:space="0" w:color="auto"/>
              <w:right w:val="nil"/>
            </w:tcBorders>
            <w:shd w:val="solid" w:color="FFFFFF" w:fill="auto"/>
          </w:tcPr>
          <w:p w:rsidR="00BB6F1F" w:rsidRPr="005A36FE" w:rsidRDefault="00BB6F1F" w:rsidP="00AC68FF">
            <w:pPr>
              <w:keepLines w:val="0"/>
              <w:autoSpaceDE w:val="0"/>
              <w:autoSpaceDN w:val="0"/>
              <w:adjustRightInd w:val="0"/>
              <w:rPr>
                <w:rFonts w:eastAsiaTheme="minorEastAsia" w:cs="Calibri"/>
                <w:b/>
                <w:bCs/>
                <w:color w:val="000000"/>
                <w:szCs w:val="20"/>
                <w:lang w:eastAsia="en-AU"/>
              </w:rPr>
            </w:pPr>
            <w:r w:rsidRPr="005A36FE">
              <w:rPr>
                <w:rFonts w:eastAsiaTheme="minorEastAsia" w:cs="Calibri"/>
                <w:b/>
                <w:bCs/>
                <w:color w:val="000000"/>
                <w:szCs w:val="20"/>
                <w:lang w:eastAsia="en-AU"/>
              </w:rPr>
              <w:t>Superannuation liability</w:t>
            </w:r>
          </w:p>
        </w:tc>
        <w:tc>
          <w:tcPr>
            <w:tcW w:w="907" w:type="dxa"/>
            <w:tcBorders>
              <w:top w:val="single" w:sz="6" w:space="0" w:color="auto"/>
              <w:left w:val="nil"/>
              <w:bottom w:val="single" w:sz="6" w:space="0" w:color="auto"/>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24 938</w:t>
            </w:r>
          </w:p>
        </w:tc>
        <w:tc>
          <w:tcPr>
            <w:tcW w:w="907" w:type="dxa"/>
            <w:tcBorders>
              <w:top w:val="single" w:sz="6" w:space="0" w:color="auto"/>
              <w:left w:val="nil"/>
              <w:bottom w:val="single" w:sz="6" w:space="0" w:color="auto"/>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29 354</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rPr>
                <w:rFonts w:eastAsiaTheme="minorEastAsia" w:cs="Calibri"/>
                <w:b/>
                <w:bCs/>
                <w:color w:val="000000"/>
                <w:szCs w:val="20"/>
                <w:lang w:eastAsia="en-AU"/>
              </w:rPr>
            </w:pPr>
            <w:r w:rsidRPr="005A36FE">
              <w:rPr>
                <w:rFonts w:eastAsiaTheme="minorEastAsia" w:cs="Calibri"/>
                <w:b/>
                <w:bCs/>
                <w:color w:val="000000"/>
                <w:szCs w:val="20"/>
                <w:lang w:eastAsia="en-AU"/>
              </w:rPr>
              <w:t>Represented by:</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Current liability</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1 040</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1 059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single" w:sz="6" w:space="0" w:color="auto"/>
              <w:right w:val="nil"/>
            </w:tcBorders>
            <w:shd w:val="solid" w:color="FFFFFF" w:fill="auto"/>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Non-current liability</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23 897</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28 295</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nil"/>
              <w:bottom w:val="single" w:sz="12" w:space="0" w:color="auto"/>
            </w:tcBorders>
            <w:shd w:val="solid" w:color="FFFFFF" w:fill="auto"/>
          </w:tcPr>
          <w:p w:rsidR="00BB6F1F" w:rsidRPr="005A36FE" w:rsidRDefault="00BB6F1F" w:rsidP="00AC68FF">
            <w:pPr>
              <w:keepLines w:val="0"/>
              <w:autoSpaceDE w:val="0"/>
              <w:autoSpaceDN w:val="0"/>
              <w:adjustRightInd w:val="0"/>
              <w:rPr>
                <w:rFonts w:eastAsiaTheme="minorEastAsia" w:cs="Calibri"/>
                <w:bCs/>
                <w:color w:val="000000"/>
                <w:szCs w:val="20"/>
                <w:lang w:eastAsia="en-AU"/>
              </w:rPr>
            </w:pPr>
            <w:r w:rsidRPr="005A36FE">
              <w:rPr>
                <w:rFonts w:eastAsiaTheme="minorEastAsia" w:cs="Calibri"/>
                <w:bCs/>
                <w:color w:val="000000"/>
                <w:szCs w:val="20"/>
                <w:lang w:eastAsia="en-AU"/>
              </w:rPr>
              <w:t>Total superannuation liability</w:t>
            </w:r>
          </w:p>
        </w:tc>
        <w:tc>
          <w:tcPr>
            <w:tcW w:w="907" w:type="dxa"/>
            <w:tcBorders>
              <w:top w:val="single" w:sz="6" w:space="0" w:color="auto"/>
              <w:bottom w:val="single" w:sz="12" w:space="0" w:color="auto"/>
            </w:tcBorders>
            <w:shd w:val="solid" w:color="FFFFFF" w:fill="auto"/>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24 938</w:t>
            </w:r>
          </w:p>
        </w:tc>
        <w:tc>
          <w:tcPr>
            <w:tcW w:w="907" w:type="dxa"/>
            <w:tcBorders>
              <w:top w:val="single" w:sz="6" w:space="0" w:color="auto"/>
              <w:bottom w:val="single" w:sz="12" w:space="0" w:color="auto"/>
            </w:tcBorders>
            <w:shd w:val="solid" w:color="FFFFFF" w:fill="auto"/>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29 354</w:t>
            </w:r>
          </w:p>
        </w:tc>
      </w:tr>
    </w:tbl>
    <w:p w:rsidR="00BB6F1F" w:rsidRDefault="00BB6F1F" w:rsidP="00AC68FF">
      <w:pPr>
        <w:pStyle w:val="Note"/>
      </w:pPr>
      <w:r>
        <w:t>Notes:</w:t>
      </w:r>
    </w:p>
    <w:p w:rsidR="00BB6F1F" w:rsidRDefault="00BB6F1F" w:rsidP="00AC68FF">
      <w:pPr>
        <w:pStyle w:val="Note"/>
      </w:pPr>
      <w:r>
        <w:t>(a)</w:t>
      </w:r>
      <w:r>
        <w:tab/>
        <w:t>Tax liability represents the present value of tax payments on contributions that are expected to be required to fund accrued benefits.</w:t>
      </w:r>
    </w:p>
    <w:p w:rsidR="00BB6F1F" w:rsidRDefault="00BB6F1F" w:rsidP="00AC68FF">
      <w:pPr>
        <w:pStyle w:val="Note"/>
      </w:pPr>
      <w:r>
        <w:t>(b)</w:t>
      </w:r>
      <w:r>
        <w:tab/>
        <w:t>Other funds include constitutionally protected schemes and the State’s share of liabilities of the defined benefit scheme of the Health Super Fund.</w:t>
      </w:r>
    </w:p>
    <w:p w:rsidR="00BB6F1F" w:rsidRDefault="00BB6F1F" w:rsidP="000E174A"/>
    <w:p w:rsidR="00BB6F1F" w:rsidRPr="005A36FE" w:rsidRDefault="00BB6F1F" w:rsidP="00AC68FF">
      <w:pPr>
        <w:pStyle w:val="TableHeading"/>
        <w:rPr>
          <w:bCs/>
          <w:lang w:val="en-US"/>
        </w:rPr>
      </w:pPr>
      <w:r>
        <w:t>Reconciliation of the defined benefit obligation</w:t>
      </w:r>
      <w:r>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szCs w:val="20"/>
                <w:lang w:eastAsia="en-AU"/>
              </w:rPr>
            </w:pPr>
            <w:r w:rsidRPr="005A36FE">
              <w:rPr>
                <w:rFonts w:eastAsiaTheme="minorEastAsia" w:cs="Calibri"/>
                <w:iCs/>
                <w:color w:val="FFFFFF"/>
                <w:szCs w:val="20"/>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18"/>
                <w:lang w:eastAsia="en-AU"/>
              </w:rPr>
              <w:t>State of Victoria</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szCs w:val="20"/>
                <w:lang w:eastAsia="en-AU"/>
              </w:rPr>
            </w:pPr>
            <w:r w:rsidRPr="005A36FE">
              <w:rPr>
                <w:rFonts w:eastAsiaTheme="minorEastAsia" w:cs="Calibri"/>
                <w:iCs/>
                <w:color w:val="FFFFFF"/>
                <w:szCs w:val="20"/>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b/>
                <w:bCs/>
                <w:color w:val="000000"/>
                <w:szCs w:val="20"/>
                <w:lang w:eastAsia="en-AU"/>
              </w:rPr>
            </w:pPr>
            <w:r w:rsidRPr="005A36FE">
              <w:rPr>
                <w:rFonts w:eastAsiaTheme="minorEastAsia" w:cs="Calibri"/>
                <w:b/>
                <w:bCs/>
                <w:color w:val="000000"/>
                <w:szCs w:val="20"/>
                <w:lang w:eastAsia="en-AU"/>
              </w:rPr>
              <w:t>Opening balance of defined benefit obligation</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49 882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46 535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Current service cost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848</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778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Interest cost</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1 155</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1 567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Contributions by plan participants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Remeasurements: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 xml:space="preserve">   Actuarial (gain)/loss arising from change in financial assumptions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(1 872)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2 811</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 xml:space="preserve">   Actuarial (gain)/loss arising from change in demographic assumptions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r w:rsidRPr="005A36FE">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r w:rsidRPr="005A36FE">
              <w:rPr>
                <w:rFonts w:eastAsiaTheme="minorEastAsia" w:cs="Calibri"/>
                <w:color w:val="000000"/>
                <w:szCs w:val="20"/>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 xml:space="preserve">   Actuarial (gain)/loss due to other experience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(983)</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single" w:sz="6" w:space="0" w:color="333333"/>
              <w:right w:val="nil"/>
            </w:tcBorders>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Benefits paid</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(2 132)</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(2 083)</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333333"/>
              <w:bottom w:val="single" w:sz="12" w:space="0" w:color="333333"/>
            </w:tcBorders>
          </w:tcPr>
          <w:p w:rsidR="00BB6F1F" w:rsidRPr="005A36FE" w:rsidRDefault="00BB6F1F" w:rsidP="00AC68FF">
            <w:pPr>
              <w:keepLines w:val="0"/>
              <w:autoSpaceDE w:val="0"/>
              <w:autoSpaceDN w:val="0"/>
              <w:adjustRightInd w:val="0"/>
              <w:rPr>
                <w:rFonts w:eastAsiaTheme="minorEastAsia" w:cs="Calibri"/>
                <w:bCs/>
                <w:color w:val="000000"/>
                <w:szCs w:val="20"/>
                <w:lang w:eastAsia="en-AU"/>
              </w:rPr>
            </w:pPr>
            <w:r w:rsidRPr="005A36FE">
              <w:rPr>
                <w:rFonts w:eastAsiaTheme="minorEastAsia" w:cs="Calibri"/>
                <w:bCs/>
                <w:color w:val="000000"/>
                <w:szCs w:val="20"/>
                <w:lang w:eastAsia="en-AU"/>
              </w:rPr>
              <w:t>Closing balance of defined benefit obligation</w:t>
            </w:r>
          </w:p>
        </w:tc>
        <w:tc>
          <w:tcPr>
            <w:tcW w:w="907" w:type="dxa"/>
            <w:tcBorders>
              <w:top w:val="single" w:sz="6" w:space="0" w:color="auto"/>
              <w:bottom w:val="single" w:sz="12" w:space="0" w:color="auto"/>
            </w:tcBorders>
            <w:shd w:val="solid" w:color="FFFFFF" w:fill="auto"/>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47 119</w:t>
            </w:r>
          </w:p>
        </w:tc>
        <w:tc>
          <w:tcPr>
            <w:tcW w:w="907" w:type="dxa"/>
            <w:tcBorders>
              <w:top w:val="single" w:sz="6" w:space="0" w:color="auto"/>
              <w:bottom w:val="single" w:sz="12" w:space="0" w:color="auto"/>
            </w:tcBorders>
            <w:shd w:val="solid" w:color="FFFFFF" w:fill="auto"/>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49 882</w:t>
            </w:r>
          </w:p>
        </w:tc>
      </w:tr>
    </w:tbl>
    <w:p w:rsidR="00BB6F1F" w:rsidRPr="00A20E61" w:rsidRDefault="00BB6F1F" w:rsidP="000E174A"/>
    <w:p w:rsidR="00BB6F1F" w:rsidRDefault="00BB6F1F" w:rsidP="000E174A"/>
    <w:p w:rsidR="00BB6F1F" w:rsidRDefault="00BB6F1F">
      <w:pPr>
        <w:keepLines w:val="0"/>
        <w:rPr>
          <w:rFonts w:asciiTheme="majorHAnsi" w:hAnsiTheme="majorHAnsi"/>
          <w:b/>
          <w:sz w:val="20"/>
          <w:szCs w:val="20"/>
        </w:rPr>
      </w:pPr>
      <w:r>
        <w:br w:type="page"/>
      </w:r>
    </w:p>
    <w:p w:rsidR="00BB6F1F" w:rsidRDefault="00BB6F1F" w:rsidP="00AC68FF">
      <w:pPr>
        <w:pStyle w:val="TableHeading"/>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AC68FF">
      <w:pPr>
        <w:pStyle w:val="TableHeading"/>
        <w:spacing w:before="0"/>
      </w:pPr>
      <w:r>
        <w:lastRenderedPageBreak/>
        <w:t>Reconciliation of the fair value of plan assets</w:t>
      </w:r>
    </w:p>
    <w:p w:rsidR="00BB6F1F" w:rsidRPr="005A36FE" w:rsidRDefault="00BB6F1F" w:rsidP="00AC68FF">
      <w:pPr>
        <w:pStyle w:val="TableUnits"/>
        <w:rPr>
          <w:bCs/>
          <w:lang w:val="en-US"/>
        </w:rPr>
      </w:pPr>
      <w:r>
        <w:t>($ million)</w:t>
      </w:r>
    </w:p>
    <w:tbl>
      <w:tblPr>
        <w:tblStyle w:val="DTFTable"/>
        <w:tblW w:w="4535" w:type="dxa"/>
        <w:tblInd w:w="45" w:type="dxa"/>
        <w:tblLayout w:type="fixed"/>
        <w:tblCellMar>
          <w:left w:w="45" w:type="dxa"/>
          <w:right w:w="45" w:type="dxa"/>
        </w:tblCellMar>
        <w:tblLook w:val="06E0" w:firstRow="1" w:lastRow="1" w:firstColumn="1" w:lastColumn="0" w:noHBand="1" w:noVBand="1"/>
      </w:tblPr>
      <w:tblGrid>
        <w:gridCol w:w="2721"/>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szCs w:val="20"/>
                <w:lang w:eastAsia="en-AU"/>
              </w:rPr>
            </w:pPr>
            <w:r w:rsidRPr="005A36FE">
              <w:rPr>
                <w:rFonts w:eastAsiaTheme="minorEastAsia" w:cs="Calibri"/>
                <w:iCs/>
                <w:color w:val="FFFFFF"/>
                <w:szCs w:val="20"/>
                <w:lang w:eastAsia="en-AU"/>
              </w:rPr>
              <w:t xml:space="preserve"> </w:t>
            </w:r>
          </w:p>
        </w:tc>
        <w:tc>
          <w:tcPr>
            <w:tcW w:w="1814" w:type="dxa"/>
            <w:gridSpan w:val="2"/>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5A36FE">
              <w:rPr>
                <w:rFonts w:eastAsiaTheme="minorEastAsia" w:cs="Calibri"/>
                <w:iCs/>
                <w:color w:val="FFFFFF"/>
                <w:szCs w:val="18"/>
                <w:lang w:eastAsia="en-AU"/>
              </w:rPr>
              <w:t>State of Victoria</w:t>
            </w:r>
          </w:p>
        </w:tc>
      </w:tr>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rPr>
                <w:rFonts w:eastAsiaTheme="minorEastAsia" w:cs="Calibri"/>
                <w:iCs/>
                <w:color w:val="FFFFFF"/>
                <w:szCs w:val="20"/>
                <w:lang w:eastAsia="en-AU"/>
              </w:rPr>
            </w:pPr>
            <w:r w:rsidRPr="005A36FE">
              <w:rPr>
                <w:rFonts w:eastAsiaTheme="minorEastAsia" w:cs="Calibri"/>
                <w:iCs/>
                <w:color w:val="FFFFFF"/>
                <w:szCs w:val="20"/>
                <w:lang w:eastAsia="en-AU"/>
              </w:rPr>
              <w:t xml:space="preserve"> </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5A36FE">
              <w:rPr>
                <w:rFonts w:eastAsiaTheme="minorEastAsia" w:cs="Calibri"/>
                <w:iCs/>
                <w:color w:val="FFFFFF"/>
                <w:szCs w:val="18"/>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rPr>
                <w:rFonts w:eastAsiaTheme="minorEastAsia" w:cs="Calibri"/>
                <w:b/>
                <w:bCs/>
                <w:color w:val="000000"/>
                <w:szCs w:val="20"/>
                <w:lang w:eastAsia="en-AU"/>
              </w:rPr>
            </w:pPr>
            <w:r w:rsidRPr="005A36FE">
              <w:rPr>
                <w:rFonts w:eastAsiaTheme="minorEastAsia" w:cs="Calibri"/>
                <w:b/>
                <w:bCs/>
                <w:color w:val="000000"/>
                <w:szCs w:val="20"/>
                <w:lang w:eastAsia="en-AU"/>
              </w:rPr>
              <w:t>Opening balance of plan assets</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20 528</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5A36FE">
              <w:rPr>
                <w:rFonts w:eastAsiaTheme="minorEastAsia" w:cs="Calibri"/>
                <w:b/>
                <w:bCs/>
                <w:color w:val="000000"/>
                <w:szCs w:val="20"/>
                <w:lang w:eastAsia="en-AU"/>
              </w:rPr>
              <w:t>20 546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Interest income</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462</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686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Remeasurements:</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 xml:space="preserve"> </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 xml:space="preserve">   Expected return on plan assets excluding interest income</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1 006</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787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 xml:space="preserve">   Actuarial gain/(loss) relative to expected return</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529</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(1 166)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Employer contributions</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1 566</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1 538</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Contributions by plan participants</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221</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219</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rPr>
                <w:rFonts w:eastAsiaTheme="minorEastAsia" w:cs="Calibri"/>
                <w:color w:val="000000"/>
                <w:szCs w:val="20"/>
                <w:lang w:eastAsia="en-AU"/>
              </w:rPr>
            </w:pPr>
            <w:r w:rsidRPr="005A36FE">
              <w:rPr>
                <w:rFonts w:eastAsiaTheme="minorEastAsia" w:cs="Calibri"/>
                <w:color w:val="000000"/>
                <w:szCs w:val="20"/>
                <w:lang w:eastAsia="en-AU"/>
              </w:rPr>
              <w:t>Benefits paid (including tax paid)</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(2 132)</w:t>
            </w:r>
          </w:p>
        </w:tc>
        <w:tc>
          <w:tcPr>
            <w:tcW w:w="907" w:type="dxa"/>
            <w:tcBorders>
              <w:top w:val="nil"/>
              <w:left w:val="nil"/>
              <w:bottom w:val="nil"/>
              <w:right w:val="nil"/>
            </w:tcBorders>
            <w:shd w:val="solid" w:color="FFFFFF" w:fill="auto"/>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5A36FE">
              <w:rPr>
                <w:rFonts w:eastAsiaTheme="minorEastAsia" w:cs="Calibri"/>
                <w:color w:val="000000"/>
                <w:szCs w:val="20"/>
                <w:lang w:eastAsia="en-AU"/>
              </w:rPr>
              <w:t>(2 083)</w:t>
            </w:r>
          </w:p>
        </w:tc>
      </w:tr>
      <w:tr w:rsidR="00BB6F1F" w:rsidRPr="005A36FE"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Borders>
              <w:top w:val="single" w:sz="6" w:space="0" w:color="auto"/>
              <w:bottom w:val="single" w:sz="12" w:space="0" w:color="auto"/>
            </w:tcBorders>
            <w:shd w:val="solid" w:color="FFFFFF" w:fill="auto"/>
          </w:tcPr>
          <w:p w:rsidR="00BB6F1F" w:rsidRPr="005A36FE" w:rsidRDefault="00BB6F1F" w:rsidP="00AC68FF">
            <w:pPr>
              <w:keepLines w:val="0"/>
              <w:autoSpaceDE w:val="0"/>
              <w:autoSpaceDN w:val="0"/>
              <w:adjustRightInd w:val="0"/>
              <w:rPr>
                <w:rFonts w:eastAsiaTheme="minorEastAsia" w:cs="Calibri"/>
                <w:bCs/>
                <w:color w:val="000000"/>
                <w:szCs w:val="20"/>
                <w:lang w:eastAsia="en-AU"/>
              </w:rPr>
            </w:pPr>
            <w:r w:rsidRPr="005A36FE">
              <w:rPr>
                <w:rFonts w:eastAsiaTheme="minorEastAsia" w:cs="Calibri"/>
                <w:bCs/>
                <w:color w:val="000000"/>
                <w:szCs w:val="20"/>
                <w:lang w:eastAsia="en-AU"/>
              </w:rPr>
              <w:t>Closing balance of plan assets</w:t>
            </w:r>
          </w:p>
        </w:tc>
        <w:tc>
          <w:tcPr>
            <w:tcW w:w="907" w:type="dxa"/>
            <w:tcBorders>
              <w:top w:val="single" w:sz="6" w:space="0" w:color="auto"/>
              <w:bottom w:val="single" w:sz="12" w:space="0" w:color="auto"/>
            </w:tcBorders>
            <w:shd w:val="solid" w:color="FFFFFF" w:fill="auto"/>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22 181</w:t>
            </w:r>
          </w:p>
        </w:tc>
        <w:tc>
          <w:tcPr>
            <w:tcW w:w="907" w:type="dxa"/>
            <w:tcBorders>
              <w:top w:val="single" w:sz="6" w:space="0" w:color="auto"/>
              <w:bottom w:val="single" w:sz="12" w:space="0" w:color="auto"/>
            </w:tcBorders>
            <w:shd w:val="solid" w:color="FFFFFF" w:fill="auto"/>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5A36FE">
              <w:rPr>
                <w:rFonts w:eastAsiaTheme="minorEastAsia" w:cs="Calibri"/>
                <w:bCs/>
                <w:color w:val="000000"/>
                <w:szCs w:val="20"/>
                <w:lang w:eastAsia="en-AU"/>
              </w:rPr>
              <w:t>20 528</w:t>
            </w:r>
          </w:p>
        </w:tc>
      </w:tr>
    </w:tbl>
    <w:p w:rsidR="00BB6F1F" w:rsidRPr="00A20E61" w:rsidRDefault="00BB6F1F" w:rsidP="00AC68FF"/>
    <w:p w:rsidR="00BB6F1F" w:rsidRPr="00D330A2" w:rsidRDefault="00BB6F1F" w:rsidP="00AC68FF">
      <w:pPr>
        <w:pStyle w:val="Heading30"/>
        <w:rPr>
          <w:spacing w:val="-4"/>
        </w:rPr>
      </w:pPr>
      <w:r w:rsidRPr="00D330A2">
        <w:rPr>
          <w:spacing w:val="-4"/>
        </w:rPr>
        <w:t>The State’s defined benefit superannuation plans</w:t>
      </w:r>
    </w:p>
    <w:p w:rsidR="00BB6F1F" w:rsidRDefault="00BB6F1F" w:rsidP="00AC68FF">
      <w:r>
        <w:t>The State’s defined benefit superannuation plans provide benefits based on years of service and final average salary. These are:</w:t>
      </w:r>
    </w:p>
    <w:p w:rsidR="00BB6F1F" w:rsidRDefault="00BB6F1F" w:rsidP="00AC68FF">
      <w:r w:rsidRPr="00887D11">
        <w:rPr>
          <w:b/>
        </w:rPr>
        <w:t>State Super Funds</w:t>
      </w:r>
      <w:r>
        <w:t xml:space="preserve"> (SSF), a collection of defined benefit schemes providing both lump sum and pension benefits (Revised Scheme, New Scheme, State Employees Retirement Benefits Scheme, Transport Scheme, Melbourne Water Corporation Employees Superannuation Scheme, Port of Melbourne Authority Superannuation Scheme and Parliamentary Contributory Superannuation Fund). All schemes are now closed to new members.</w:t>
      </w:r>
    </w:p>
    <w:p w:rsidR="00BB6F1F" w:rsidRDefault="00BB6F1F" w:rsidP="00AC68FF">
      <w:r w:rsidRPr="00887D11">
        <w:rPr>
          <w:b/>
        </w:rPr>
        <w:t>Emergency Services Superannuation Scheme Defined Benefit</w:t>
      </w:r>
      <w:r>
        <w:t xml:space="preserve"> (ESSS DB), a defined benefit lump sum scheme which remains open to new members. It also has a number of pensioners remaining from prior schemes.</w:t>
      </w:r>
    </w:p>
    <w:p w:rsidR="00BB6F1F" w:rsidRDefault="00BB6F1F" w:rsidP="00AC68FF">
      <w:r w:rsidRPr="00887D11">
        <w:rPr>
          <w:b/>
        </w:rPr>
        <w:t>Constitutionally Protected Pension Schemes</w:t>
      </w:r>
      <w:r>
        <w:t>, defined benefit pensions that continue to be provided to new office holders.</w:t>
      </w:r>
    </w:p>
    <w:p w:rsidR="00BB6F1F" w:rsidRDefault="00BB6F1F" w:rsidP="00AC68FF">
      <w:r w:rsidRPr="00887D11">
        <w:rPr>
          <w:b/>
        </w:rPr>
        <w:t>Health Super Division of First State Super</w:t>
      </w:r>
      <w:r>
        <w:t xml:space="preserve"> (Health Super), a defined benefit scheme that provides both lump sum and pension benefits. </w:t>
      </w:r>
      <w:r>
        <w:br/>
        <w:t>This scheme is closed to new members.</w:t>
      </w:r>
    </w:p>
    <w:p w:rsidR="00BB6F1F" w:rsidRDefault="00BB6F1F" w:rsidP="00AC68FF">
      <w:pPr>
        <w:spacing w:before="0"/>
      </w:pPr>
      <w:r>
        <w:br w:type="column"/>
      </w:r>
      <w:r>
        <w:lastRenderedPageBreak/>
        <w:t xml:space="preserve">The SSF, ESSS DB and Constitutionally Protected Pension Schemes are exempt public sector superannuation schemes. The schemes comply with national superannuation standards under a Heads of Government Agreement and are treated as complying for concessional tax and superannuation guarantee purposes. </w:t>
      </w:r>
    </w:p>
    <w:p w:rsidR="00BB6F1F" w:rsidRDefault="00BB6F1F" w:rsidP="00AC68FF">
      <w:r>
        <w:t xml:space="preserve">The Emergency Services Superannuation Board (ESSB) is responsible for the governance of the </w:t>
      </w:r>
    </w:p>
    <w:p w:rsidR="00BB6F1F" w:rsidRDefault="00BB6F1F" w:rsidP="00AC68FF">
      <w:r>
        <w:t>SSF and ESSS DB and acts as paying agent for constitutionally protected pensions. The ESSB has the following roles:</w:t>
      </w:r>
    </w:p>
    <w:p w:rsidR="00BB6F1F" w:rsidRDefault="00BB6F1F" w:rsidP="00AC68FF">
      <w:pPr>
        <w:pStyle w:val="ListBullet"/>
      </w:pPr>
      <w:r>
        <w:t>administration of the schemes, including payment of benefits to beneficiaries in accordance with the governing rules of the schemes;</w:t>
      </w:r>
    </w:p>
    <w:p w:rsidR="00BB6F1F" w:rsidRDefault="00BB6F1F" w:rsidP="00AC68FF">
      <w:pPr>
        <w:pStyle w:val="ListBullet"/>
      </w:pPr>
      <w:r>
        <w:t>management and investment of the assets of the schemes, the responsibility for which is outsourced to the Victorian Funds Management Corporation; and</w:t>
      </w:r>
    </w:p>
    <w:p w:rsidR="00BB6F1F" w:rsidRDefault="00BB6F1F" w:rsidP="00AC68FF">
      <w:pPr>
        <w:pStyle w:val="ListBullet"/>
      </w:pPr>
      <w:r>
        <w:t>compliance with superannuation law and other applicable regulations in accordance with the Heads of Government Agreement.</w:t>
      </w:r>
    </w:p>
    <w:p w:rsidR="00BB6F1F" w:rsidRDefault="00BB6F1F" w:rsidP="00AC68FF">
      <w:r>
        <w:t>However, please note that constitutionally protected pensions are governed by Victorian Acts for which the Attorney-General is responsible.</w:t>
      </w:r>
    </w:p>
    <w:p w:rsidR="00BB6F1F" w:rsidRDefault="00BB6F1F" w:rsidP="00AC68FF">
      <w:r>
        <w:t>First State Super is a regulated public offer superannuation fund. The FSS Trustee Corporation (FSSTC) is responsible for the governance of First State Super and therefore Health Super. As trustee, the FSSTC has the following roles:</w:t>
      </w:r>
    </w:p>
    <w:p w:rsidR="00BB6F1F" w:rsidRDefault="00BB6F1F" w:rsidP="00AC68FF">
      <w:pPr>
        <w:pStyle w:val="ListBullet"/>
      </w:pPr>
      <w:r>
        <w:t>administration of Health Super, including payment of benefits to beneficiaries in accordance with the governing rules;</w:t>
      </w:r>
    </w:p>
    <w:p w:rsidR="00BB6F1F" w:rsidRDefault="00BB6F1F" w:rsidP="00AC68FF">
      <w:pPr>
        <w:pStyle w:val="ListBullet"/>
      </w:pPr>
      <w:r>
        <w:t>management and investment of the assets of Health Super; and</w:t>
      </w:r>
    </w:p>
    <w:p w:rsidR="00BB6F1F" w:rsidRDefault="00BB6F1F" w:rsidP="00AC68FF">
      <w:pPr>
        <w:pStyle w:val="ListBullet"/>
      </w:pPr>
      <w:r>
        <w:t>compliance with superannuation law and other applicable regulations.</w:t>
      </w:r>
    </w:p>
    <w:p w:rsidR="00BB6F1F" w:rsidRDefault="00BB6F1F">
      <w:pPr>
        <w:keepLines w:val="0"/>
        <w:rPr>
          <w:rFonts w:asciiTheme="majorHAnsi" w:eastAsiaTheme="majorEastAsia" w:hAnsiTheme="majorHAnsi" w:cstheme="majorBidi"/>
          <w:b/>
          <w:bCs/>
          <w:spacing w:val="-2"/>
          <w:sz w:val="23"/>
          <w:szCs w:val="26"/>
        </w:rPr>
      </w:pPr>
      <w:r>
        <w:br w:type="page"/>
      </w:r>
    </w:p>
    <w:p w:rsidR="00BB6F1F" w:rsidRDefault="00BB6F1F" w:rsidP="00AC68FF">
      <w:pPr>
        <w:pStyle w:val="Heading30"/>
      </w:pPr>
      <w:r>
        <w:lastRenderedPageBreak/>
        <w:t>Superannuation assumptions</w:t>
      </w:r>
    </w:p>
    <w:p w:rsidR="00BB6F1F" w:rsidRDefault="00BB6F1F" w:rsidP="00AC68FF">
      <w:pPr>
        <w:spacing w:after="120"/>
      </w:pPr>
      <w:r>
        <w:t>The significant actuarial assumptions used for superannuation reporting purposes are the discount rate, future rates of wages growth and the inflation rate that is used to index pensions, as detailed below.</w:t>
      </w:r>
    </w:p>
    <w:p w:rsidR="00BB6F1F" w:rsidRDefault="00BB6F1F" w:rsidP="00AC68FF">
      <w:pPr>
        <w:spacing w:after="120"/>
        <w:rPr>
          <w:i/>
          <w:color w:val="FFFFFF"/>
        </w:rPr>
      </w:pPr>
      <w:r>
        <w:br w:type="column"/>
      </w:r>
    </w:p>
    <w:p w:rsidR="00BB6F1F" w:rsidRDefault="00BB6F1F" w:rsidP="00AC68FF">
      <w:pPr>
        <w:rPr>
          <w:i/>
          <w:color w:val="FFFFFF"/>
        </w:rPr>
        <w:sectPr w:rsidR="00BB6F1F" w:rsidSect="00AC68FF">
          <w:type w:val="continuous"/>
          <w:pgSz w:w="11907" w:h="16839" w:code="9"/>
          <w:pgMar w:top="1134" w:right="1134" w:bottom="1134" w:left="1134" w:header="624" w:footer="567" w:gutter="0"/>
          <w:cols w:num="2" w:space="567"/>
          <w:docGrid w:linePitch="360"/>
        </w:sectPr>
      </w:pPr>
    </w:p>
    <w:p w:rsidR="00BB6F1F" w:rsidRPr="005A36FE" w:rsidRDefault="00BB6F1F" w:rsidP="00AC68FF">
      <w:pPr>
        <w:pStyle w:val="Note"/>
        <w:rPr>
          <w:b/>
          <w:bCs/>
          <w:lang w:val="en-US"/>
        </w:rPr>
      </w:pP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2814"/>
        <w:gridCol w:w="2715"/>
        <w:gridCol w:w="2268"/>
        <w:gridCol w:w="1132"/>
        <w:gridCol w:w="709"/>
      </w:tblGrid>
      <w:tr w:rsidR="00D47122" w:rsidRPr="005A36FE" w:rsidTr="00D471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14" w:type="dxa"/>
            <w:vMerge w:val="restart"/>
            <w:tcBorders>
              <w:top w:val="nil"/>
              <w:left w:val="nil"/>
              <w:right w:val="nil"/>
            </w:tcBorders>
            <w:shd w:val="solid" w:color="000000" w:fill="auto"/>
          </w:tcPr>
          <w:p w:rsidR="00D47122" w:rsidRPr="005A36FE" w:rsidRDefault="00D47122" w:rsidP="00D47122">
            <w:pPr>
              <w:keepLines w:val="0"/>
              <w:autoSpaceDE w:val="0"/>
              <w:autoSpaceDN w:val="0"/>
              <w:adjustRightInd w:val="0"/>
              <w:rPr>
                <w:rFonts w:eastAsiaTheme="minorEastAsia" w:cs="Calibri"/>
                <w:iCs/>
                <w:color w:val="FFFFFF"/>
                <w:szCs w:val="17"/>
                <w:lang w:eastAsia="en-AU"/>
              </w:rPr>
            </w:pPr>
            <w:r w:rsidRPr="005A36FE">
              <w:rPr>
                <w:rFonts w:eastAsiaTheme="minorEastAsia" w:cs="Calibri"/>
                <w:iCs/>
                <w:color w:val="FFFFFF"/>
                <w:szCs w:val="17"/>
                <w:lang w:eastAsia="en-AU"/>
              </w:rPr>
              <w:t>Victorian statutory</w:t>
            </w:r>
            <w:r>
              <w:rPr>
                <w:rFonts w:eastAsiaTheme="minorEastAsia" w:cs="Calibri"/>
                <w:iCs/>
                <w:color w:val="FFFFFF"/>
                <w:szCs w:val="17"/>
                <w:lang w:eastAsia="en-AU"/>
              </w:rPr>
              <w:br/>
            </w:r>
            <w:r w:rsidRPr="005A36FE">
              <w:rPr>
                <w:rFonts w:eastAsiaTheme="minorEastAsia" w:cs="Calibri"/>
                <w:iCs/>
                <w:color w:val="FFFFFF"/>
                <w:szCs w:val="17"/>
                <w:lang w:eastAsia="en-AU"/>
              </w:rPr>
              <w:t>superannuation funds</w:t>
            </w:r>
          </w:p>
        </w:tc>
        <w:tc>
          <w:tcPr>
            <w:tcW w:w="2715" w:type="dxa"/>
            <w:vMerge w:val="restart"/>
            <w:tcBorders>
              <w:top w:val="nil"/>
              <w:left w:val="nil"/>
              <w:right w:val="nil"/>
            </w:tcBorders>
            <w:shd w:val="solid" w:color="000000" w:fill="auto"/>
          </w:tcPr>
          <w:p w:rsidR="00D47122" w:rsidRPr="005A36FE" w:rsidRDefault="00D47122" w:rsidP="00AC68FF">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5A36FE">
              <w:rPr>
                <w:rFonts w:eastAsiaTheme="minorEastAsia" w:cs="Calibri"/>
                <w:iCs/>
                <w:color w:val="FFFFFF"/>
                <w:szCs w:val="17"/>
                <w:lang w:eastAsia="en-AU"/>
              </w:rPr>
              <w:t>Actuary</w:t>
            </w:r>
          </w:p>
        </w:tc>
        <w:tc>
          <w:tcPr>
            <w:tcW w:w="2268" w:type="dxa"/>
            <w:vMerge w:val="restart"/>
            <w:tcBorders>
              <w:top w:val="nil"/>
              <w:left w:val="nil"/>
              <w:right w:val="nil"/>
            </w:tcBorders>
            <w:shd w:val="solid" w:color="000000" w:fill="auto"/>
          </w:tcPr>
          <w:p w:rsidR="00D47122" w:rsidRPr="005A36FE" w:rsidRDefault="00D47122" w:rsidP="00D47122">
            <w:pPr>
              <w:keepLines w:val="0"/>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Pr>
                <w:rFonts w:eastAsiaTheme="minorEastAsia" w:cs="Calibri"/>
                <w:iCs/>
                <w:color w:val="FFFFFF"/>
                <w:szCs w:val="17"/>
                <w:lang w:eastAsia="en-AU"/>
              </w:rPr>
              <w:t xml:space="preserve">Financial </w:t>
            </w:r>
            <w:r>
              <w:rPr>
                <w:rFonts w:eastAsiaTheme="minorEastAsia" w:cs="Calibri"/>
                <w:iCs/>
                <w:color w:val="FFFFFF"/>
                <w:szCs w:val="17"/>
                <w:lang w:eastAsia="en-AU"/>
              </w:rPr>
              <w:br/>
            </w:r>
            <w:r w:rsidRPr="005A36FE">
              <w:rPr>
                <w:rFonts w:eastAsiaTheme="minorEastAsia" w:cs="Calibri"/>
                <w:iCs/>
                <w:color w:val="FFFFFF"/>
                <w:szCs w:val="17"/>
                <w:lang w:eastAsia="en-AU"/>
              </w:rPr>
              <w:t>assumptions</w:t>
            </w:r>
          </w:p>
        </w:tc>
        <w:tc>
          <w:tcPr>
            <w:tcW w:w="1841" w:type="dxa"/>
            <w:gridSpan w:val="2"/>
            <w:tcBorders>
              <w:top w:val="nil"/>
              <w:left w:val="nil"/>
              <w:bottom w:val="nil"/>
              <w:right w:val="nil"/>
            </w:tcBorders>
            <w:shd w:val="solid" w:color="000000" w:fill="auto"/>
          </w:tcPr>
          <w:p w:rsidR="00D47122" w:rsidRPr="005A36FE" w:rsidRDefault="00D47122"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5A36FE">
              <w:rPr>
                <w:rFonts w:eastAsiaTheme="minorEastAsia" w:cs="Calibri"/>
                <w:iCs/>
                <w:color w:val="FFFFFF"/>
                <w:szCs w:val="17"/>
                <w:lang w:eastAsia="en-AU"/>
              </w:rPr>
              <w:t>Per cent per annum</w:t>
            </w:r>
          </w:p>
        </w:tc>
      </w:tr>
      <w:tr w:rsidR="00D47122" w:rsidRPr="005A36FE" w:rsidTr="00D471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14" w:type="dxa"/>
            <w:vMerge/>
            <w:tcBorders>
              <w:left w:val="nil"/>
              <w:bottom w:val="nil"/>
              <w:right w:val="nil"/>
            </w:tcBorders>
            <w:shd w:val="solid" w:color="000000" w:fill="auto"/>
          </w:tcPr>
          <w:p w:rsidR="00D47122" w:rsidRPr="005A36FE" w:rsidRDefault="00D47122" w:rsidP="00AC68FF">
            <w:pPr>
              <w:keepLines w:val="0"/>
              <w:autoSpaceDE w:val="0"/>
              <w:autoSpaceDN w:val="0"/>
              <w:adjustRightInd w:val="0"/>
              <w:rPr>
                <w:rFonts w:eastAsiaTheme="minorEastAsia" w:cs="Calibri"/>
                <w:iCs/>
                <w:color w:val="FFFFFF"/>
                <w:szCs w:val="17"/>
                <w:lang w:eastAsia="en-AU"/>
              </w:rPr>
            </w:pPr>
          </w:p>
        </w:tc>
        <w:tc>
          <w:tcPr>
            <w:tcW w:w="2715" w:type="dxa"/>
            <w:vMerge/>
            <w:tcBorders>
              <w:left w:val="nil"/>
              <w:bottom w:val="nil"/>
              <w:right w:val="nil"/>
            </w:tcBorders>
            <w:shd w:val="solid" w:color="000000" w:fill="auto"/>
          </w:tcPr>
          <w:p w:rsidR="00D47122" w:rsidRPr="005A36FE" w:rsidRDefault="00D47122" w:rsidP="00AC68FF">
            <w:pPr>
              <w:keepLines w:val="0"/>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p>
        </w:tc>
        <w:tc>
          <w:tcPr>
            <w:tcW w:w="2268" w:type="dxa"/>
            <w:vMerge/>
            <w:tcBorders>
              <w:left w:val="nil"/>
              <w:bottom w:val="nil"/>
              <w:right w:val="nil"/>
            </w:tcBorders>
            <w:shd w:val="solid" w:color="000000" w:fill="auto"/>
          </w:tcPr>
          <w:p w:rsidR="00D47122" w:rsidRPr="005A36FE" w:rsidRDefault="00D47122" w:rsidP="00AC68FF">
            <w:pPr>
              <w:keepLines w:val="0"/>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p>
        </w:tc>
        <w:tc>
          <w:tcPr>
            <w:tcW w:w="1132" w:type="dxa"/>
            <w:tcBorders>
              <w:top w:val="nil"/>
              <w:left w:val="nil"/>
              <w:bottom w:val="nil"/>
              <w:right w:val="nil"/>
            </w:tcBorders>
            <w:shd w:val="solid" w:color="000000" w:fill="auto"/>
          </w:tcPr>
          <w:p w:rsidR="00D47122" w:rsidRPr="005A36FE" w:rsidRDefault="00D47122"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5A36FE">
              <w:rPr>
                <w:rFonts w:eastAsiaTheme="minorEastAsia" w:cs="Calibri"/>
                <w:iCs/>
                <w:color w:val="FFFFFF"/>
                <w:szCs w:val="17"/>
                <w:lang w:eastAsia="en-AU"/>
              </w:rPr>
              <w:t>2017</w:t>
            </w:r>
          </w:p>
        </w:tc>
        <w:tc>
          <w:tcPr>
            <w:tcW w:w="709" w:type="dxa"/>
            <w:tcBorders>
              <w:top w:val="nil"/>
              <w:left w:val="nil"/>
              <w:bottom w:val="nil"/>
              <w:right w:val="nil"/>
            </w:tcBorders>
            <w:shd w:val="solid" w:color="000000" w:fill="auto"/>
          </w:tcPr>
          <w:p w:rsidR="00D47122" w:rsidRPr="005A36FE" w:rsidRDefault="00D47122"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5A36FE">
              <w:rPr>
                <w:rFonts w:eastAsiaTheme="minorEastAsia" w:cs="Calibri"/>
                <w:iCs/>
                <w:color w:val="FFFFFF"/>
                <w:szCs w:val="17"/>
                <w:lang w:eastAsia="en-AU"/>
              </w:rPr>
              <w:t>2016</w:t>
            </w:r>
          </w:p>
        </w:tc>
      </w:tr>
      <w:tr w:rsidR="00BB6F1F" w:rsidRPr="005A36FE" w:rsidTr="00D47122">
        <w:tc>
          <w:tcPr>
            <w:cnfStyle w:val="001000000000" w:firstRow="0" w:lastRow="0" w:firstColumn="1" w:lastColumn="0" w:oddVBand="0" w:evenVBand="0" w:oddHBand="0" w:evenHBand="0" w:firstRowFirstColumn="0" w:firstRowLastColumn="0" w:lastRowFirstColumn="0" w:lastRowLastColumn="0"/>
            <w:tcW w:w="281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Emergency Services and State Super</w:t>
            </w:r>
          </w:p>
        </w:tc>
        <w:tc>
          <w:tcPr>
            <w:tcW w:w="2715" w:type="dxa"/>
            <w:tcBorders>
              <w:top w:val="nil"/>
              <w:left w:val="nil"/>
              <w:bottom w:val="nil"/>
              <w:right w:val="nil"/>
            </w:tcBorders>
          </w:tcPr>
          <w:p w:rsidR="00BB6F1F" w:rsidRPr="005A36FE"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vertAlign w:val="superscript"/>
                <w:lang w:eastAsia="en-AU"/>
              </w:rPr>
            </w:pPr>
            <w:r w:rsidRPr="005A36FE">
              <w:rPr>
                <w:rFonts w:eastAsiaTheme="minorEastAsia" w:cs="Calibri"/>
                <w:color w:val="000000"/>
                <w:szCs w:val="17"/>
                <w:lang w:eastAsia="en-AU"/>
              </w:rPr>
              <w:t xml:space="preserve">PricewaterhouseCoopers (PwC) </w:t>
            </w:r>
            <w:r w:rsidRPr="005A36FE">
              <w:rPr>
                <w:rFonts w:eastAsiaTheme="minorEastAsia" w:cs="Calibri"/>
                <w:color w:val="000000"/>
                <w:szCs w:val="17"/>
                <w:vertAlign w:val="superscript"/>
                <w:lang w:eastAsia="en-AU"/>
              </w:rPr>
              <w:t>(a)</w:t>
            </w:r>
          </w:p>
        </w:tc>
        <w:tc>
          <w:tcPr>
            <w:tcW w:w="2268" w:type="dxa"/>
            <w:tcBorders>
              <w:top w:val="nil"/>
              <w:left w:val="nil"/>
              <w:bottom w:val="nil"/>
              <w:right w:val="nil"/>
            </w:tcBorders>
          </w:tcPr>
          <w:p w:rsidR="00BB6F1F" w:rsidRPr="005A36FE"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vertAlign w:val="superscript"/>
                <w:lang w:eastAsia="en-AU"/>
              </w:rPr>
            </w:pPr>
            <w:r w:rsidRPr="005A36FE">
              <w:rPr>
                <w:rFonts w:eastAsiaTheme="minorEastAsia" w:cs="Calibri"/>
                <w:color w:val="000000"/>
                <w:szCs w:val="17"/>
                <w:lang w:eastAsia="en-AU"/>
              </w:rPr>
              <w:t xml:space="preserve">Expected return on assets </w:t>
            </w:r>
            <w:r w:rsidRPr="005A36FE">
              <w:rPr>
                <w:rFonts w:eastAsiaTheme="minorEastAsia" w:cs="Calibri"/>
                <w:color w:val="000000"/>
                <w:szCs w:val="17"/>
                <w:vertAlign w:val="superscript"/>
                <w:lang w:eastAsia="en-AU"/>
              </w:rPr>
              <w:t>(b)</w:t>
            </w:r>
          </w:p>
        </w:tc>
        <w:tc>
          <w:tcPr>
            <w:tcW w:w="113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8</w:t>
            </w:r>
          </w:p>
        </w:tc>
        <w:tc>
          <w:tcPr>
            <w:tcW w:w="70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8</w:t>
            </w:r>
          </w:p>
        </w:tc>
      </w:tr>
      <w:tr w:rsidR="00BB6F1F" w:rsidRPr="005A36FE" w:rsidTr="00D47122">
        <w:tc>
          <w:tcPr>
            <w:cnfStyle w:val="001000000000" w:firstRow="0" w:lastRow="0" w:firstColumn="1" w:lastColumn="0" w:oddVBand="0" w:evenVBand="0" w:oddHBand="0" w:evenHBand="0" w:firstRowFirstColumn="0" w:firstRowLastColumn="0" w:lastRowFirstColumn="0" w:lastRowLastColumn="0"/>
            <w:tcW w:w="281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715" w:type="dxa"/>
            <w:tcBorders>
              <w:top w:val="nil"/>
              <w:left w:val="nil"/>
              <w:bottom w:val="nil"/>
              <w:right w:val="nil"/>
            </w:tcBorders>
          </w:tcPr>
          <w:p w:rsidR="00BB6F1F" w:rsidRPr="005A36FE"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268" w:type="dxa"/>
            <w:tcBorders>
              <w:top w:val="nil"/>
              <w:left w:val="nil"/>
              <w:bottom w:val="nil"/>
              <w:right w:val="nil"/>
            </w:tcBorders>
          </w:tcPr>
          <w:p w:rsidR="00BB6F1F" w:rsidRPr="005A36FE"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vertAlign w:val="superscript"/>
                <w:lang w:eastAsia="en-AU"/>
              </w:rPr>
            </w:pPr>
            <w:r w:rsidRPr="005A36FE">
              <w:rPr>
                <w:rFonts w:eastAsiaTheme="minorEastAsia" w:cs="Calibri"/>
                <w:color w:val="000000"/>
                <w:szCs w:val="17"/>
                <w:lang w:eastAsia="en-AU"/>
              </w:rPr>
              <w:t xml:space="preserve">Discount rate </w:t>
            </w:r>
            <w:r w:rsidRPr="005A36FE">
              <w:rPr>
                <w:rFonts w:eastAsiaTheme="minorEastAsia" w:cs="Calibri"/>
                <w:color w:val="000000"/>
                <w:szCs w:val="17"/>
                <w:vertAlign w:val="superscript"/>
                <w:lang w:eastAsia="en-AU"/>
              </w:rPr>
              <w:t>(c)</w:t>
            </w:r>
          </w:p>
        </w:tc>
        <w:tc>
          <w:tcPr>
            <w:tcW w:w="113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3</w:t>
            </w:r>
          </w:p>
        </w:tc>
        <w:tc>
          <w:tcPr>
            <w:tcW w:w="70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2.4</w:t>
            </w:r>
          </w:p>
        </w:tc>
      </w:tr>
      <w:tr w:rsidR="00BB6F1F" w:rsidRPr="005A36FE" w:rsidTr="00D47122">
        <w:tc>
          <w:tcPr>
            <w:cnfStyle w:val="001000000000" w:firstRow="0" w:lastRow="0" w:firstColumn="1" w:lastColumn="0" w:oddVBand="0" w:evenVBand="0" w:oddHBand="0" w:evenHBand="0" w:firstRowFirstColumn="0" w:firstRowLastColumn="0" w:lastRowFirstColumn="0" w:lastRowLastColumn="0"/>
            <w:tcW w:w="281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715" w:type="dxa"/>
            <w:tcBorders>
              <w:top w:val="nil"/>
              <w:left w:val="nil"/>
              <w:bottom w:val="nil"/>
              <w:right w:val="nil"/>
            </w:tcBorders>
          </w:tcPr>
          <w:p w:rsidR="00BB6F1F" w:rsidRPr="005A36FE"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268" w:type="dxa"/>
            <w:tcBorders>
              <w:top w:val="nil"/>
              <w:left w:val="nil"/>
              <w:bottom w:val="nil"/>
              <w:right w:val="nil"/>
            </w:tcBorders>
          </w:tcPr>
          <w:p w:rsidR="00BB6F1F" w:rsidRPr="005A36FE"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vertAlign w:val="superscript"/>
                <w:lang w:eastAsia="en-AU"/>
              </w:rPr>
            </w:pPr>
            <w:r w:rsidRPr="005A36FE">
              <w:rPr>
                <w:rFonts w:eastAsiaTheme="minorEastAsia" w:cs="Calibri"/>
                <w:color w:val="000000"/>
                <w:szCs w:val="17"/>
                <w:lang w:eastAsia="en-AU"/>
              </w:rPr>
              <w:t xml:space="preserve">Wages growth </w:t>
            </w:r>
            <w:r w:rsidRPr="005A36FE">
              <w:rPr>
                <w:rFonts w:eastAsiaTheme="minorEastAsia" w:cs="Calibri"/>
                <w:color w:val="000000"/>
                <w:szCs w:val="17"/>
                <w:vertAlign w:val="superscript"/>
                <w:lang w:eastAsia="en-AU"/>
              </w:rPr>
              <w:t>(d)</w:t>
            </w:r>
          </w:p>
        </w:tc>
        <w:tc>
          <w:tcPr>
            <w:tcW w:w="113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3.4</w:t>
            </w:r>
          </w:p>
        </w:tc>
        <w:tc>
          <w:tcPr>
            <w:tcW w:w="70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3.1</w:t>
            </w:r>
          </w:p>
        </w:tc>
      </w:tr>
      <w:tr w:rsidR="00BB6F1F" w:rsidRPr="005A36FE" w:rsidTr="00D47122">
        <w:tc>
          <w:tcPr>
            <w:cnfStyle w:val="001000000000" w:firstRow="0" w:lastRow="0" w:firstColumn="1" w:lastColumn="0" w:oddVBand="0" w:evenVBand="0" w:oddHBand="0" w:evenHBand="0" w:firstRowFirstColumn="0" w:firstRowLastColumn="0" w:lastRowFirstColumn="0" w:lastRowLastColumn="0"/>
            <w:tcW w:w="2814" w:type="dxa"/>
            <w:tcBorders>
              <w:top w:val="nil"/>
              <w:left w:val="nil"/>
              <w:bottom w:val="single" w:sz="6" w:space="0" w:color="auto"/>
              <w:right w:val="nil"/>
            </w:tcBorders>
          </w:tcPr>
          <w:p w:rsidR="00BB6F1F" w:rsidRPr="005A36FE" w:rsidRDefault="00BB6F1F" w:rsidP="00AC68FF">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715" w:type="dxa"/>
            <w:tcBorders>
              <w:top w:val="nil"/>
              <w:left w:val="nil"/>
              <w:bottom w:val="single" w:sz="6" w:space="0" w:color="auto"/>
              <w:right w:val="nil"/>
            </w:tcBorders>
          </w:tcPr>
          <w:p w:rsidR="00BB6F1F" w:rsidRPr="005A36FE"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268" w:type="dxa"/>
            <w:tcBorders>
              <w:top w:val="nil"/>
              <w:left w:val="nil"/>
              <w:bottom w:val="single" w:sz="6" w:space="0" w:color="auto"/>
              <w:right w:val="nil"/>
            </w:tcBorders>
          </w:tcPr>
          <w:p w:rsidR="00BB6F1F" w:rsidRPr="005A36FE"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Inflation rate</w:t>
            </w:r>
          </w:p>
        </w:tc>
        <w:tc>
          <w:tcPr>
            <w:tcW w:w="1132" w:type="dxa"/>
            <w:tcBorders>
              <w:top w:val="nil"/>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1.9</w:t>
            </w:r>
          </w:p>
        </w:tc>
        <w:tc>
          <w:tcPr>
            <w:tcW w:w="709" w:type="dxa"/>
            <w:tcBorders>
              <w:top w:val="nil"/>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1.6</w:t>
            </w:r>
          </w:p>
        </w:tc>
      </w:tr>
      <w:tr w:rsidR="00BB6F1F" w:rsidRPr="005A36FE" w:rsidTr="00D47122">
        <w:tc>
          <w:tcPr>
            <w:cnfStyle w:val="001000000000" w:firstRow="0" w:lastRow="0" w:firstColumn="1" w:lastColumn="0" w:oddVBand="0" w:evenVBand="0" w:oddHBand="0" w:evenHBand="0" w:firstRowFirstColumn="0" w:firstRowLastColumn="0" w:lastRowFirstColumn="0" w:lastRowLastColumn="0"/>
            <w:tcW w:w="281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Constitutionally Protected Pensions</w:t>
            </w:r>
          </w:p>
        </w:tc>
        <w:tc>
          <w:tcPr>
            <w:tcW w:w="2715" w:type="dxa"/>
            <w:tcBorders>
              <w:top w:val="nil"/>
              <w:left w:val="nil"/>
              <w:bottom w:val="nil"/>
              <w:right w:val="nil"/>
            </w:tcBorders>
          </w:tcPr>
          <w:p w:rsidR="00BB6F1F" w:rsidRPr="005A36FE"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vertAlign w:val="superscript"/>
                <w:lang w:eastAsia="en-AU"/>
              </w:rPr>
            </w:pPr>
            <w:r w:rsidRPr="005A36FE">
              <w:rPr>
                <w:rFonts w:eastAsiaTheme="minorEastAsia" w:cs="Calibri"/>
                <w:color w:val="000000"/>
                <w:szCs w:val="17"/>
                <w:lang w:eastAsia="en-AU"/>
              </w:rPr>
              <w:t xml:space="preserve">PwC </w:t>
            </w:r>
            <w:r w:rsidRPr="005A36FE">
              <w:rPr>
                <w:rFonts w:eastAsiaTheme="minorEastAsia" w:cs="Calibri"/>
                <w:color w:val="000000"/>
                <w:szCs w:val="17"/>
                <w:vertAlign w:val="superscript"/>
                <w:lang w:eastAsia="en-AU"/>
              </w:rPr>
              <w:t>(a)</w:t>
            </w:r>
          </w:p>
        </w:tc>
        <w:tc>
          <w:tcPr>
            <w:tcW w:w="2268" w:type="dxa"/>
            <w:tcBorders>
              <w:top w:val="nil"/>
              <w:left w:val="nil"/>
              <w:bottom w:val="nil"/>
              <w:right w:val="nil"/>
            </w:tcBorders>
          </w:tcPr>
          <w:p w:rsidR="00BB6F1F" w:rsidRPr="005A36FE"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vertAlign w:val="superscript"/>
                <w:lang w:eastAsia="en-AU"/>
              </w:rPr>
            </w:pPr>
            <w:r w:rsidRPr="005A36FE">
              <w:rPr>
                <w:rFonts w:eastAsiaTheme="minorEastAsia" w:cs="Calibri"/>
                <w:color w:val="000000"/>
                <w:szCs w:val="17"/>
                <w:lang w:eastAsia="en-AU"/>
              </w:rPr>
              <w:t xml:space="preserve">Discount rate </w:t>
            </w:r>
            <w:r w:rsidRPr="005A36FE">
              <w:rPr>
                <w:rFonts w:eastAsiaTheme="minorEastAsia" w:cs="Calibri"/>
                <w:color w:val="000000"/>
                <w:szCs w:val="17"/>
                <w:vertAlign w:val="superscript"/>
                <w:lang w:eastAsia="en-AU"/>
              </w:rPr>
              <w:t>(c)</w:t>
            </w:r>
          </w:p>
        </w:tc>
        <w:tc>
          <w:tcPr>
            <w:tcW w:w="113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3</w:t>
            </w:r>
          </w:p>
        </w:tc>
        <w:tc>
          <w:tcPr>
            <w:tcW w:w="70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2.4</w:t>
            </w:r>
          </w:p>
        </w:tc>
      </w:tr>
      <w:tr w:rsidR="00BB6F1F" w:rsidRPr="005A36FE" w:rsidTr="00D47122">
        <w:tc>
          <w:tcPr>
            <w:cnfStyle w:val="001000000000" w:firstRow="0" w:lastRow="0" w:firstColumn="1" w:lastColumn="0" w:oddVBand="0" w:evenVBand="0" w:oddHBand="0" w:evenHBand="0" w:firstRowFirstColumn="0" w:firstRowLastColumn="0" w:lastRowFirstColumn="0" w:lastRowLastColumn="0"/>
            <w:tcW w:w="281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715" w:type="dxa"/>
            <w:tcBorders>
              <w:top w:val="nil"/>
              <w:left w:val="nil"/>
              <w:bottom w:val="nil"/>
              <w:right w:val="nil"/>
            </w:tcBorders>
          </w:tcPr>
          <w:p w:rsidR="00BB6F1F" w:rsidRPr="005A36FE"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268" w:type="dxa"/>
            <w:tcBorders>
              <w:top w:val="nil"/>
              <w:left w:val="nil"/>
              <w:bottom w:val="nil"/>
              <w:right w:val="nil"/>
            </w:tcBorders>
          </w:tcPr>
          <w:p w:rsidR="00BB6F1F" w:rsidRPr="005A36FE"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vertAlign w:val="superscript"/>
                <w:lang w:eastAsia="en-AU"/>
              </w:rPr>
            </w:pPr>
            <w:r w:rsidRPr="005A36FE">
              <w:rPr>
                <w:rFonts w:eastAsiaTheme="minorEastAsia" w:cs="Calibri"/>
                <w:color w:val="000000"/>
                <w:szCs w:val="17"/>
                <w:lang w:eastAsia="en-AU"/>
              </w:rPr>
              <w:t xml:space="preserve">Wages growth </w:t>
            </w:r>
            <w:r w:rsidRPr="005A36FE">
              <w:rPr>
                <w:rFonts w:eastAsiaTheme="minorEastAsia" w:cs="Calibri"/>
                <w:color w:val="000000"/>
                <w:szCs w:val="17"/>
                <w:vertAlign w:val="superscript"/>
                <w:lang w:eastAsia="en-AU"/>
              </w:rPr>
              <w:t>(d)</w:t>
            </w:r>
          </w:p>
        </w:tc>
        <w:tc>
          <w:tcPr>
            <w:tcW w:w="113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3.4</w:t>
            </w:r>
          </w:p>
        </w:tc>
        <w:tc>
          <w:tcPr>
            <w:tcW w:w="70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3.1</w:t>
            </w:r>
          </w:p>
        </w:tc>
      </w:tr>
      <w:tr w:rsidR="00BB6F1F" w:rsidRPr="005A36FE" w:rsidTr="00D47122">
        <w:tc>
          <w:tcPr>
            <w:cnfStyle w:val="001000000000" w:firstRow="0" w:lastRow="0" w:firstColumn="1" w:lastColumn="0" w:oddVBand="0" w:evenVBand="0" w:oddHBand="0" w:evenHBand="0" w:firstRowFirstColumn="0" w:firstRowLastColumn="0" w:lastRowFirstColumn="0" w:lastRowLastColumn="0"/>
            <w:tcW w:w="2814" w:type="dxa"/>
            <w:tcBorders>
              <w:top w:val="nil"/>
              <w:left w:val="nil"/>
              <w:bottom w:val="single" w:sz="6" w:space="0" w:color="auto"/>
              <w:right w:val="nil"/>
            </w:tcBorders>
          </w:tcPr>
          <w:p w:rsidR="00BB6F1F" w:rsidRPr="005A36FE" w:rsidRDefault="00BB6F1F" w:rsidP="00AC68FF">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715" w:type="dxa"/>
            <w:tcBorders>
              <w:top w:val="nil"/>
              <w:left w:val="nil"/>
              <w:bottom w:val="single" w:sz="6" w:space="0" w:color="auto"/>
              <w:right w:val="nil"/>
            </w:tcBorders>
          </w:tcPr>
          <w:p w:rsidR="00BB6F1F" w:rsidRPr="005A36FE"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268" w:type="dxa"/>
            <w:tcBorders>
              <w:top w:val="nil"/>
              <w:left w:val="nil"/>
              <w:bottom w:val="single" w:sz="6" w:space="0" w:color="auto"/>
              <w:right w:val="nil"/>
            </w:tcBorders>
          </w:tcPr>
          <w:p w:rsidR="00BB6F1F" w:rsidRPr="005A36FE"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Inflation rate</w:t>
            </w:r>
          </w:p>
        </w:tc>
        <w:tc>
          <w:tcPr>
            <w:tcW w:w="1132" w:type="dxa"/>
            <w:tcBorders>
              <w:top w:val="nil"/>
              <w:left w:val="nil"/>
              <w:bottom w:val="single" w:sz="6" w:space="0" w:color="auto"/>
              <w:right w:val="nil"/>
            </w:tcBorders>
          </w:tcPr>
          <w:p w:rsidR="00BB6F1F" w:rsidRPr="005A36FE" w:rsidRDefault="00BB6F1F" w:rsidP="000E174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proofErr w:type="spellStart"/>
            <w:r w:rsidRPr="005A36FE">
              <w:rPr>
                <w:rFonts w:eastAsiaTheme="minorEastAsia" w:cs="Calibri"/>
                <w:color w:val="000000"/>
                <w:szCs w:val="17"/>
                <w:lang w:eastAsia="en-AU"/>
              </w:rPr>
              <w:t>n</w:t>
            </w:r>
            <w:r w:rsidR="000E174A">
              <w:rPr>
                <w:rFonts w:eastAsiaTheme="minorEastAsia" w:cs="Calibri"/>
                <w:color w:val="000000"/>
                <w:szCs w:val="17"/>
                <w:lang w:eastAsia="en-AU"/>
              </w:rPr>
              <w:t>.</w:t>
            </w:r>
            <w:r w:rsidRPr="005A36FE">
              <w:rPr>
                <w:rFonts w:eastAsiaTheme="minorEastAsia" w:cs="Calibri"/>
                <w:color w:val="000000"/>
                <w:szCs w:val="17"/>
                <w:lang w:eastAsia="en-AU"/>
              </w:rPr>
              <w:t>a</w:t>
            </w:r>
            <w:proofErr w:type="spellEnd"/>
            <w:r w:rsidR="000E174A">
              <w:rPr>
                <w:rFonts w:eastAsiaTheme="minorEastAsia" w:cs="Calibri"/>
                <w:color w:val="000000"/>
                <w:szCs w:val="17"/>
                <w:lang w:eastAsia="en-AU"/>
              </w:rPr>
              <w:t>.</w:t>
            </w:r>
          </w:p>
        </w:tc>
        <w:tc>
          <w:tcPr>
            <w:tcW w:w="709" w:type="dxa"/>
            <w:tcBorders>
              <w:top w:val="nil"/>
              <w:left w:val="nil"/>
              <w:bottom w:val="single" w:sz="6" w:space="0" w:color="auto"/>
              <w:right w:val="nil"/>
            </w:tcBorders>
          </w:tcPr>
          <w:p w:rsidR="00BB6F1F" w:rsidRPr="005A36FE" w:rsidRDefault="00BB6F1F" w:rsidP="000E174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proofErr w:type="spellStart"/>
            <w:r w:rsidRPr="005A36FE">
              <w:rPr>
                <w:rFonts w:eastAsiaTheme="minorEastAsia" w:cs="Calibri"/>
                <w:color w:val="000000"/>
                <w:szCs w:val="17"/>
                <w:lang w:eastAsia="en-AU"/>
              </w:rPr>
              <w:t>n</w:t>
            </w:r>
            <w:r w:rsidR="000E174A">
              <w:rPr>
                <w:rFonts w:eastAsiaTheme="minorEastAsia" w:cs="Calibri"/>
                <w:color w:val="000000"/>
                <w:szCs w:val="17"/>
                <w:lang w:eastAsia="en-AU"/>
              </w:rPr>
              <w:t>.</w:t>
            </w:r>
            <w:r w:rsidRPr="005A36FE">
              <w:rPr>
                <w:rFonts w:eastAsiaTheme="minorEastAsia" w:cs="Calibri"/>
                <w:color w:val="000000"/>
                <w:szCs w:val="17"/>
                <w:lang w:eastAsia="en-AU"/>
              </w:rPr>
              <w:t>a</w:t>
            </w:r>
            <w:proofErr w:type="spellEnd"/>
            <w:r w:rsidR="000E174A">
              <w:rPr>
                <w:rFonts w:eastAsiaTheme="minorEastAsia" w:cs="Calibri"/>
                <w:color w:val="000000"/>
                <w:szCs w:val="17"/>
                <w:lang w:eastAsia="en-AU"/>
              </w:rPr>
              <w:t>.</w:t>
            </w:r>
          </w:p>
        </w:tc>
      </w:tr>
      <w:tr w:rsidR="00BB6F1F" w:rsidRPr="005A36FE" w:rsidTr="00D47122">
        <w:tc>
          <w:tcPr>
            <w:cnfStyle w:val="001000000000" w:firstRow="0" w:lastRow="0" w:firstColumn="1" w:lastColumn="0" w:oddVBand="0" w:evenVBand="0" w:oddHBand="0" w:evenHBand="0" w:firstRowFirstColumn="0" w:firstRowLastColumn="0" w:lastRowFirstColumn="0" w:lastRowLastColumn="0"/>
            <w:tcW w:w="281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Health Super Fund</w:t>
            </w:r>
          </w:p>
        </w:tc>
        <w:tc>
          <w:tcPr>
            <w:tcW w:w="2715" w:type="dxa"/>
            <w:tcBorders>
              <w:top w:val="nil"/>
              <w:left w:val="nil"/>
              <w:bottom w:val="nil"/>
              <w:right w:val="nil"/>
            </w:tcBorders>
          </w:tcPr>
          <w:p w:rsidR="00BB6F1F" w:rsidRPr="005A36FE"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vertAlign w:val="superscript"/>
                <w:lang w:eastAsia="en-AU"/>
              </w:rPr>
            </w:pPr>
            <w:r w:rsidRPr="005A36FE">
              <w:rPr>
                <w:rFonts w:eastAsiaTheme="minorEastAsia" w:cs="Calibri"/>
                <w:color w:val="000000"/>
                <w:szCs w:val="17"/>
                <w:lang w:eastAsia="en-AU"/>
              </w:rPr>
              <w:t xml:space="preserve">Mercer </w:t>
            </w:r>
            <w:r w:rsidRPr="005A36FE">
              <w:rPr>
                <w:rFonts w:eastAsiaTheme="minorEastAsia" w:cs="Calibri"/>
                <w:color w:val="000000"/>
                <w:szCs w:val="17"/>
                <w:vertAlign w:val="superscript"/>
                <w:lang w:eastAsia="en-AU"/>
              </w:rPr>
              <w:t>(e)</w:t>
            </w:r>
          </w:p>
        </w:tc>
        <w:tc>
          <w:tcPr>
            <w:tcW w:w="2268" w:type="dxa"/>
            <w:tcBorders>
              <w:top w:val="nil"/>
              <w:left w:val="nil"/>
              <w:bottom w:val="nil"/>
              <w:right w:val="nil"/>
            </w:tcBorders>
          </w:tcPr>
          <w:p w:rsidR="00BB6F1F" w:rsidRPr="005A36FE"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vertAlign w:val="superscript"/>
                <w:lang w:eastAsia="en-AU"/>
              </w:rPr>
            </w:pPr>
            <w:r w:rsidRPr="005A36FE">
              <w:rPr>
                <w:rFonts w:eastAsiaTheme="minorEastAsia" w:cs="Calibri"/>
                <w:color w:val="000000"/>
                <w:szCs w:val="17"/>
                <w:lang w:eastAsia="en-AU"/>
              </w:rPr>
              <w:t xml:space="preserve">Expected return on assets </w:t>
            </w:r>
            <w:r w:rsidRPr="005A36FE">
              <w:rPr>
                <w:rFonts w:eastAsiaTheme="minorEastAsia" w:cs="Calibri"/>
                <w:color w:val="000000"/>
                <w:szCs w:val="17"/>
                <w:vertAlign w:val="superscript"/>
                <w:lang w:eastAsia="en-AU"/>
              </w:rPr>
              <w:t>(b)</w:t>
            </w:r>
          </w:p>
        </w:tc>
        <w:tc>
          <w:tcPr>
            <w:tcW w:w="113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5.7</w:t>
            </w:r>
          </w:p>
        </w:tc>
        <w:tc>
          <w:tcPr>
            <w:tcW w:w="70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5.8</w:t>
            </w:r>
          </w:p>
        </w:tc>
      </w:tr>
      <w:tr w:rsidR="00BB6F1F" w:rsidRPr="005A36FE" w:rsidTr="00D47122">
        <w:tc>
          <w:tcPr>
            <w:cnfStyle w:val="001000000000" w:firstRow="0" w:lastRow="0" w:firstColumn="1" w:lastColumn="0" w:oddVBand="0" w:evenVBand="0" w:oddHBand="0" w:evenHBand="0" w:firstRowFirstColumn="0" w:firstRowLastColumn="0" w:lastRowFirstColumn="0" w:lastRowLastColumn="0"/>
            <w:tcW w:w="281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715" w:type="dxa"/>
            <w:tcBorders>
              <w:top w:val="nil"/>
              <w:left w:val="nil"/>
              <w:bottom w:val="nil"/>
              <w:right w:val="nil"/>
            </w:tcBorders>
          </w:tcPr>
          <w:p w:rsidR="00BB6F1F" w:rsidRPr="005A36FE"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268" w:type="dxa"/>
            <w:tcBorders>
              <w:top w:val="nil"/>
              <w:left w:val="nil"/>
              <w:bottom w:val="nil"/>
              <w:right w:val="nil"/>
            </w:tcBorders>
          </w:tcPr>
          <w:p w:rsidR="00BB6F1F" w:rsidRPr="005A36FE"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vertAlign w:val="superscript"/>
                <w:lang w:eastAsia="en-AU"/>
              </w:rPr>
            </w:pPr>
            <w:r w:rsidRPr="005A36FE">
              <w:rPr>
                <w:rFonts w:eastAsiaTheme="minorEastAsia" w:cs="Calibri"/>
                <w:color w:val="000000"/>
                <w:szCs w:val="17"/>
                <w:lang w:eastAsia="en-AU"/>
              </w:rPr>
              <w:t xml:space="preserve">Discount rate </w:t>
            </w:r>
            <w:r w:rsidRPr="005A36FE">
              <w:rPr>
                <w:rFonts w:eastAsiaTheme="minorEastAsia" w:cs="Calibri"/>
                <w:color w:val="000000"/>
                <w:szCs w:val="17"/>
                <w:vertAlign w:val="superscript"/>
                <w:lang w:eastAsia="en-AU"/>
              </w:rPr>
              <w:t>(c)</w:t>
            </w:r>
          </w:p>
        </w:tc>
        <w:tc>
          <w:tcPr>
            <w:tcW w:w="113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3</w:t>
            </w:r>
          </w:p>
        </w:tc>
        <w:tc>
          <w:tcPr>
            <w:tcW w:w="70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2.4</w:t>
            </w:r>
          </w:p>
        </w:tc>
      </w:tr>
      <w:tr w:rsidR="00BB6F1F" w:rsidRPr="005A36FE" w:rsidTr="00D47122">
        <w:tc>
          <w:tcPr>
            <w:cnfStyle w:val="001000000000" w:firstRow="0" w:lastRow="0" w:firstColumn="1" w:lastColumn="0" w:oddVBand="0" w:evenVBand="0" w:oddHBand="0" w:evenHBand="0" w:firstRowFirstColumn="0" w:firstRowLastColumn="0" w:lastRowFirstColumn="0" w:lastRowLastColumn="0"/>
            <w:tcW w:w="281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715" w:type="dxa"/>
            <w:tcBorders>
              <w:top w:val="nil"/>
              <w:left w:val="nil"/>
              <w:bottom w:val="nil"/>
              <w:right w:val="nil"/>
            </w:tcBorders>
          </w:tcPr>
          <w:p w:rsidR="00BB6F1F" w:rsidRPr="005A36FE"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268" w:type="dxa"/>
            <w:tcBorders>
              <w:top w:val="nil"/>
              <w:left w:val="nil"/>
              <w:bottom w:val="nil"/>
              <w:right w:val="nil"/>
            </w:tcBorders>
          </w:tcPr>
          <w:p w:rsidR="00BB6F1F" w:rsidRPr="005A36FE"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vertAlign w:val="superscript"/>
                <w:lang w:eastAsia="en-AU"/>
              </w:rPr>
            </w:pPr>
            <w:r w:rsidRPr="005A36FE">
              <w:rPr>
                <w:rFonts w:eastAsiaTheme="minorEastAsia" w:cs="Calibri"/>
                <w:color w:val="000000"/>
                <w:szCs w:val="17"/>
                <w:lang w:eastAsia="en-AU"/>
              </w:rPr>
              <w:t xml:space="preserve">Wages growth </w:t>
            </w:r>
            <w:r w:rsidRPr="005A36FE">
              <w:rPr>
                <w:rFonts w:eastAsiaTheme="minorEastAsia" w:cs="Calibri"/>
                <w:color w:val="000000"/>
                <w:szCs w:val="17"/>
                <w:vertAlign w:val="superscript"/>
                <w:lang w:eastAsia="en-AU"/>
              </w:rPr>
              <w:t>(d)</w:t>
            </w:r>
          </w:p>
        </w:tc>
        <w:tc>
          <w:tcPr>
            <w:tcW w:w="1132"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3.4</w:t>
            </w:r>
          </w:p>
        </w:tc>
        <w:tc>
          <w:tcPr>
            <w:tcW w:w="709"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3.1</w:t>
            </w:r>
          </w:p>
        </w:tc>
      </w:tr>
      <w:tr w:rsidR="00BB6F1F" w:rsidRPr="005A36FE" w:rsidTr="00D4712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4" w:type="dxa"/>
            <w:tcBorders>
              <w:top w:val="nil"/>
              <w:bottom w:val="single" w:sz="12" w:space="0" w:color="auto"/>
            </w:tcBorders>
          </w:tcPr>
          <w:p w:rsidR="00BB6F1F" w:rsidRPr="005A36FE" w:rsidRDefault="00BB6F1F" w:rsidP="00AC68FF">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715" w:type="dxa"/>
            <w:tcBorders>
              <w:top w:val="nil"/>
              <w:bottom w:val="single" w:sz="12" w:space="0" w:color="auto"/>
            </w:tcBorders>
          </w:tcPr>
          <w:p w:rsidR="00BB6F1F" w:rsidRPr="005A36FE" w:rsidRDefault="00BB6F1F" w:rsidP="00AC68FF">
            <w:pPr>
              <w:keepLines w:val="0"/>
              <w:autoSpaceDE w:val="0"/>
              <w:autoSpaceDN w:val="0"/>
              <w:adjustRightInd w:val="0"/>
              <w:jc w:val="left"/>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268" w:type="dxa"/>
            <w:tcBorders>
              <w:top w:val="nil"/>
              <w:bottom w:val="single" w:sz="12" w:space="0" w:color="auto"/>
            </w:tcBorders>
          </w:tcPr>
          <w:p w:rsidR="00BB6F1F" w:rsidRPr="005A36FE" w:rsidRDefault="00BB6F1F" w:rsidP="00AC68FF">
            <w:pPr>
              <w:keepLines w:val="0"/>
              <w:autoSpaceDE w:val="0"/>
              <w:autoSpaceDN w:val="0"/>
              <w:adjustRightInd w:val="0"/>
              <w:jc w:val="left"/>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Inflation rate</w:t>
            </w:r>
          </w:p>
        </w:tc>
        <w:tc>
          <w:tcPr>
            <w:tcW w:w="1132" w:type="dxa"/>
            <w:tcBorders>
              <w:top w:val="nil"/>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1.9</w:t>
            </w:r>
          </w:p>
        </w:tc>
        <w:tc>
          <w:tcPr>
            <w:tcW w:w="709" w:type="dxa"/>
            <w:tcBorders>
              <w:top w:val="nil"/>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1.6</w:t>
            </w:r>
          </w:p>
        </w:tc>
      </w:tr>
    </w:tbl>
    <w:p w:rsidR="00BB6F1F" w:rsidRDefault="00BB6F1F" w:rsidP="00AC68FF">
      <w:pPr>
        <w:pStyle w:val="Note"/>
      </w:pPr>
      <w:r>
        <w:t>Notes:</w:t>
      </w:r>
    </w:p>
    <w:p w:rsidR="00BB6F1F" w:rsidRDefault="00BB6F1F" w:rsidP="00AC68FF">
      <w:pPr>
        <w:pStyle w:val="Note"/>
      </w:pPr>
      <w:r>
        <w:t>(a)</w:t>
      </w:r>
      <w:r>
        <w:tab/>
        <w:t>PricewaterhouseCoopers Securities Ltd.</w:t>
      </w:r>
    </w:p>
    <w:p w:rsidR="00BB6F1F" w:rsidRDefault="00BB6F1F" w:rsidP="00AC68FF">
      <w:pPr>
        <w:pStyle w:val="Note"/>
      </w:pPr>
      <w:r>
        <w:t>(b)</w:t>
      </w:r>
      <w:r>
        <w:tab/>
        <w:t>The expected return on assets stated is gross of tax. This rate is adjusted in the calculation process to reflect the assumed rate of tax payable by each scheme.</w:t>
      </w:r>
    </w:p>
    <w:p w:rsidR="00BB6F1F" w:rsidRDefault="00BB6F1F" w:rsidP="00AC68FF">
      <w:pPr>
        <w:pStyle w:val="Note"/>
      </w:pPr>
      <w:r>
        <w:t>(c)</w:t>
      </w:r>
      <w:r>
        <w:tab/>
        <w:t>In accordance with accounting standards, the discount rate is based on a long-term Commonwealth bond rate. The rate stated above is an annual effective rate, gross of tax.</w:t>
      </w:r>
    </w:p>
    <w:p w:rsidR="00BB6F1F" w:rsidRDefault="00BB6F1F" w:rsidP="00AC68FF">
      <w:pPr>
        <w:pStyle w:val="Note"/>
      </w:pPr>
      <w:r>
        <w:t>(d)</w:t>
      </w:r>
      <w:r>
        <w:tab/>
        <w:t>The wages growth assumption is derived from the yields on Commonwealth government bonds.</w:t>
      </w:r>
    </w:p>
    <w:p w:rsidR="00BB6F1F" w:rsidRDefault="00BB6F1F" w:rsidP="00AC68FF">
      <w:pPr>
        <w:pStyle w:val="Note"/>
      </w:pPr>
      <w:r>
        <w:t>(e)</w:t>
      </w:r>
      <w:r>
        <w:tab/>
        <w:t>Mercer (Australia) Pty Ltd.</w:t>
      </w:r>
    </w:p>
    <w:p w:rsidR="00BB6F1F" w:rsidRDefault="00BB6F1F" w:rsidP="00AC68FF"/>
    <w:p w:rsidR="00BB6F1F" w:rsidRPr="00F4474C" w:rsidRDefault="00BB6F1F" w:rsidP="00AC68FF">
      <w:pPr>
        <w:sectPr w:rsidR="00BB6F1F" w:rsidRPr="00F4474C" w:rsidSect="00AC68FF">
          <w:type w:val="continuous"/>
          <w:pgSz w:w="11907" w:h="16839" w:code="9"/>
          <w:pgMar w:top="1134" w:right="1134" w:bottom="1134" w:left="1134" w:header="624" w:footer="567" w:gutter="0"/>
          <w:cols w:sep="1" w:space="567"/>
          <w:docGrid w:linePitch="360"/>
        </w:sectPr>
      </w:pPr>
    </w:p>
    <w:p w:rsidR="00BB6F1F" w:rsidRDefault="00BB6F1F" w:rsidP="00AC68FF">
      <w:pPr>
        <w:pStyle w:val="Heading30"/>
      </w:pPr>
      <w:r>
        <w:lastRenderedPageBreak/>
        <w:t>Sensitivity analysis</w:t>
      </w:r>
    </w:p>
    <w:p w:rsidR="00BB6F1F" w:rsidRDefault="00BB6F1F" w:rsidP="00AC68FF">
      <w:r>
        <w:t>The key risks associated with the State’s defined benefit superannuation plans are:</w:t>
      </w:r>
    </w:p>
    <w:p w:rsidR="00BB6F1F" w:rsidRDefault="00BB6F1F" w:rsidP="00AC68FF">
      <w:pPr>
        <w:pStyle w:val="ListBullet"/>
      </w:pPr>
      <w:r>
        <w:t>investment risk – the risk that investment returns will be lower than assumed and that State contributions will need to increase to offset the shortfall;</w:t>
      </w:r>
    </w:p>
    <w:p w:rsidR="00BB6F1F" w:rsidRDefault="00BB6F1F" w:rsidP="00AC68FF">
      <w:pPr>
        <w:pStyle w:val="ListBullet"/>
      </w:pPr>
      <w:r>
        <w:t>wages growth risk – the risk that wages or salaries (on which future benefits are based) will rise more rapidly than assumed, thereby increasing defined benefits and requiring additional employer contributions;</w:t>
      </w:r>
    </w:p>
    <w:p w:rsidR="00BB6F1F" w:rsidRDefault="00BB6F1F" w:rsidP="00AC68FF">
      <w:pPr>
        <w:pStyle w:val="ListBullet"/>
      </w:pPr>
      <w:r>
        <w:t>pension growth risk – the risk that CPI and therefore pension increases will be higher than assumed, thereby increasing defined benefit pension payments and requiring additional employer contributions; and</w:t>
      </w:r>
    </w:p>
    <w:p w:rsidR="00BB6F1F" w:rsidRDefault="00BB6F1F" w:rsidP="00AC68FF">
      <w:pPr>
        <w:pStyle w:val="Heading30"/>
        <w:pBdr>
          <w:bottom w:val="none" w:sz="0" w:space="0" w:color="auto"/>
        </w:pBdr>
      </w:pPr>
    </w:p>
    <w:p w:rsidR="00BB6F1F" w:rsidRDefault="00BB6F1F" w:rsidP="00D47122">
      <w:pPr>
        <w:pStyle w:val="ListBullet"/>
        <w:spacing w:before="100"/>
      </w:pPr>
      <w:r w:rsidRPr="00D330A2">
        <w:t>longevity</w:t>
      </w:r>
      <w:r>
        <w:t xml:space="preserve"> risk – the risk that pensioners will live longer than expected, thereby increasing defined benefit pension payments and requiring additional employer contributions.</w:t>
      </w:r>
    </w:p>
    <w:p w:rsidR="00BB6F1F" w:rsidRDefault="00BB6F1F" w:rsidP="00AC68FF">
      <w:r>
        <w:t xml:space="preserve">To illustrate the impact that movements in these assumptions can have on the State’s superannuation liability, the defined benefit obligation has been remeasured under the scenarios below. </w:t>
      </w:r>
    </w:p>
    <w:p w:rsidR="00BB6F1F" w:rsidRDefault="00BB6F1F" w:rsidP="00AC68FF">
      <w:r>
        <w:t>The assumptions below have been adjusted while maintaining all other assumptions. There have been no changes to the methods and assumptions used to prepare this sensitivity analysis since the prior period.</w:t>
      </w:r>
    </w:p>
    <w:p w:rsidR="00BB6F1F" w:rsidRDefault="00BB6F1F" w:rsidP="00AC68FF">
      <w:pPr>
        <w:spacing w:after="120"/>
        <w:sectPr w:rsidR="00BB6F1F" w:rsidSect="00AC68FF">
          <w:type w:val="continuous"/>
          <w:pgSz w:w="11907" w:h="16839" w:code="9"/>
          <w:pgMar w:top="1134" w:right="1134" w:bottom="1134" w:left="1134" w:header="624" w:footer="567" w:gutter="0"/>
          <w:cols w:num="2" w:space="709"/>
          <w:docGrid w:linePitch="360"/>
        </w:sectPr>
      </w:pPr>
    </w:p>
    <w:p w:rsidR="00BB6F1F" w:rsidRDefault="00BB6F1F" w:rsidP="00AC68FF">
      <w:pPr>
        <w:spacing w:after="120"/>
      </w:pPr>
    </w:p>
    <w:p w:rsidR="00BB6F1F" w:rsidRPr="005A36FE" w:rsidRDefault="00BB6F1F" w:rsidP="00AC68FF">
      <w:pPr>
        <w:spacing w:after="120"/>
        <w:rPr>
          <w:b/>
          <w:bCs/>
          <w:lang w:val="en-US"/>
        </w:rPr>
      </w:pPr>
      <w:r>
        <w:t>These scenarios are expected to have the following impact on the State’s defined benefit obligation:</w:t>
      </w:r>
    </w:p>
    <w:tbl>
      <w:tblPr>
        <w:tblStyle w:val="DTFTable"/>
        <w:tblW w:w="9639" w:type="dxa"/>
        <w:tblInd w:w="45" w:type="dxa"/>
        <w:tblLayout w:type="fixed"/>
        <w:tblCellMar>
          <w:left w:w="45" w:type="dxa"/>
          <w:right w:w="45" w:type="dxa"/>
        </w:tblCellMar>
        <w:tblLook w:val="06E0" w:firstRow="1" w:lastRow="1" w:firstColumn="1" w:lastColumn="0" w:noHBand="1" w:noVBand="1"/>
      </w:tblPr>
      <w:tblGrid>
        <w:gridCol w:w="3544"/>
        <w:gridCol w:w="1275"/>
        <w:gridCol w:w="992"/>
        <w:gridCol w:w="1276"/>
        <w:gridCol w:w="1276"/>
        <w:gridCol w:w="1276"/>
      </w:tblGrid>
      <w:tr w:rsidR="00D47122" w:rsidRPr="005A36FE" w:rsidTr="00E97FD9">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4819" w:type="dxa"/>
            <w:gridSpan w:val="2"/>
            <w:tcBorders>
              <w:top w:val="nil"/>
              <w:left w:val="nil"/>
              <w:right w:val="nil"/>
            </w:tcBorders>
            <w:shd w:val="solid" w:color="000000" w:fill="auto"/>
          </w:tcPr>
          <w:p w:rsidR="00D47122" w:rsidRPr="005A36FE" w:rsidRDefault="00D47122" w:rsidP="00AC68FF">
            <w:pPr>
              <w:autoSpaceDE w:val="0"/>
              <w:autoSpaceDN w:val="0"/>
              <w:adjustRightInd w:val="0"/>
              <w:rPr>
                <w:rFonts w:eastAsiaTheme="minorEastAsia" w:cs="Calibri"/>
                <w:i w:val="0"/>
                <w:iCs/>
                <w:color w:val="FFFFFF"/>
                <w:szCs w:val="17"/>
                <w:lang w:eastAsia="en-AU"/>
              </w:rPr>
            </w:pPr>
            <w:r w:rsidRPr="005A36FE">
              <w:rPr>
                <w:rFonts w:eastAsiaTheme="minorEastAsia" w:cs="Calibri"/>
                <w:iCs/>
                <w:color w:val="FFFFFF"/>
                <w:szCs w:val="17"/>
                <w:lang w:eastAsia="en-AU"/>
              </w:rPr>
              <w:t xml:space="preserve"> </w:t>
            </w:r>
          </w:p>
          <w:p w:rsidR="00D47122" w:rsidRPr="005A36FE" w:rsidRDefault="00D47122" w:rsidP="00AC68FF">
            <w:pPr>
              <w:autoSpaceDE w:val="0"/>
              <w:autoSpaceDN w:val="0"/>
              <w:adjustRightInd w:val="0"/>
              <w:rPr>
                <w:rFonts w:eastAsiaTheme="minorEastAsia" w:cs="Calibri"/>
                <w:iCs/>
                <w:color w:val="FFFFFF"/>
                <w:szCs w:val="17"/>
                <w:lang w:eastAsia="en-AU"/>
              </w:rPr>
            </w:pPr>
            <w:r w:rsidRPr="005A36FE">
              <w:rPr>
                <w:rFonts w:eastAsiaTheme="minorEastAsia" w:cs="Calibri"/>
                <w:iCs/>
                <w:color w:val="FFFFFF"/>
                <w:szCs w:val="17"/>
                <w:lang w:eastAsia="en-AU"/>
              </w:rPr>
              <w:t xml:space="preserve"> </w:t>
            </w:r>
          </w:p>
        </w:tc>
        <w:tc>
          <w:tcPr>
            <w:tcW w:w="992" w:type="dxa"/>
            <w:tcBorders>
              <w:top w:val="nil"/>
              <w:left w:val="nil"/>
              <w:right w:val="nil"/>
            </w:tcBorders>
            <w:shd w:val="solid" w:color="000000" w:fill="auto"/>
          </w:tcPr>
          <w:p w:rsidR="00D47122" w:rsidRPr="005A36FE" w:rsidRDefault="00D47122" w:rsidP="00AC68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5A36FE">
              <w:rPr>
                <w:rFonts w:eastAsiaTheme="minorEastAsia" w:cs="Calibri"/>
                <w:iCs/>
                <w:color w:val="FFFFFF"/>
                <w:szCs w:val="17"/>
                <w:lang w:eastAsia="en-AU"/>
              </w:rPr>
              <w:t xml:space="preserve">Base case </w:t>
            </w:r>
          </w:p>
        </w:tc>
        <w:tc>
          <w:tcPr>
            <w:tcW w:w="1276" w:type="dxa"/>
            <w:tcBorders>
              <w:top w:val="nil"/>
              <w:left w:val="nil"/>
              <w:right w:val="nil"/>
            </w:tcBorders>
            <w:shd w:val="solid" w:color="000000" w:fill="auto"/>
          </w:tcPr>
          <w:p w:rsidR="00D47122" w:rsidRPr="005A36FE" w:rsidRDefault="00D47122" w:rsidP="00D47122">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5A36FE">
              <w:rPr>
                <w:rFonts w:eastAsiaTheme="minorEastAsia" w:cs="Calibri"/>
                <w:iCs/>
                <w:color w:val="FFFFFF"/>
                <w:szCs w:val="17"/>
                <w:lang w:eastAsia="en-AU"/>
              </w:rPr>
              <w:t>Discount rate</w:t>
            </w:r>
            <w:r>
              <w:rPr>
                <w:rFonts w:eastAsiaTheme="minorEastAsia" w:cs="Calibri"/>
                <w:iCs/>
                <w:color w:val="FFFFFF"/>
                <w:szCs w:val="17"/>
                <w:lang w:eastAsia="en-AU"/>
              </w:rPr>
              <w:br/>
            </w:r>
            <w:r w:rsidRPr="005A36FE">
              <w:rPr>
                <w:rFonts w:eastAsiaTheme="minorEastAsia" w:cs="Calibri"/>
                <w:iCs/>
                <w:color w:val="FFFFFF"/>
                <w:szCs w:val="17"/>
                <w:lang w:eastAsia="en-AU"/>
              </w:rPr>
              <w:t>plus 1 per cent</w:t>
            </w:r>
          </w:p>
        </w:tc>
        <w:tc>
          <w:tcPr>
            <w:tcW w:w="1276" w:type="dxa"/>
            <w:tcBorders>
              <w:top w:val="nil"/>
              <w:left w:val="nil"/>
              <w:right w:val="nil"/>
            </w:tcBorders>
            <w:shd w:val="solid" w:color="000000" w:fill="auto"/>
          </w:tcPr>
          <w:p w:rsidR="00D47122" w:rsidRPr="005A36FE" w:rsidRDefault="00D47122" w:rsidP="00D47122">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5A36FE">
              <w:rPr>
                <w:rFonts w:eastAsiaTheme="minorEastAsia" w:cs="Calibri"/>
                <w:iCs/>
                <w:color w:val="FFFFFF"/>
                <w:szCs w:val="17"/>
                <w:lang w:eastAsia="en-AU"/>
              </w:rPr>
              <w:t>Wage growth</w:t>
            </w:r>
            <w:r>
              <w:rPr>
                <w:rFonts w:eastAsiaTheme="minorEastAsia" w:cs="Calibri"/>
                <w:iCs/>
                <w:color w:val="FFFFFF"/>
                <w:szCs w:val="17"/>
                <w:lang w:eastAsia="en-AU"/>
              </w:rPr>
              <w:br/>
            </w:r>
            <w:r w:rsidRPr="005A36FE">
              <w:rPr>
                <w:rFonts w:eastAsiaTheme="minorEastAsia" w:cs="Calibri"/>
                <w:iCs/>
                <w:color w:val="FFFFFF"/>
                <w:szCs w:val="17"/>
                <w:lang w:eastAsia="en-AU"/>
              </w:rPr>
              <w:t>plus 1 per cent</w:t>
            </w:r>
          </w:p>
        </w:tc>
        <w:tc>
          <w:tcPr>
            <w:tcW w:w="1276" w:type="dxa"/>
            <w:tcBorders>
              <w:top w:val="nil"/>
              <w:left w:val="nil"/>
              <w:right w:val="nil"/>
            </w:tcBorders>
            <w:shd w:val="solid" w:color="000000" w:fill="auto"/>
          </w:tcPr>
          <w:p w:rsidR="00D47122" w:rsidRPr="005A36FE" w:rsidRDefault="00D47122" w:rsidP="00D47122">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5A36FE">
              <w:rPr>
                <w:rFonts w:eastAsiaTheme="minorEastAsia" w:cs="Calibri"/>
                <w:iCs/>
                <w:color w:val="FFFFFF"/>
                <w:szCs w:val="17"/>
                <w:lang w:eastAsia="en-AU"/>
              </w:rPr>
              <w:t>Inflation rate</w:t>
            </w:r>
            <w:r>
              <w:rPr>
                <w:rFonts w:eastAsiaTheme="minorEastAsia" w:cs="Calibri"/>
                <w:iCs/>
                <w:color w:val="FFFFFF"/>
                <w:szCs w:val="17"/>
                <w:lang w:eastAsia="en-AU"/>
              </w:rPr>
              <w:br/>
            </w:r>
            <w:r w:rsidRPr="005A36FE">
              <w:rPr>
                <w:rFonts w:eastAsiaTheme="minorEastAsia" w:cs="Calibri"/>
                <w:iCs/>
                <w:color w:val="FFFFFF"/>
                <w:szCs w:val="17"/>
                <w:lang w:eastAsia="en-AU"/>
              </w:rPr>
              <w:t>plus 1 per cent</w:t>
            </w:r>
          </w:p>
        </w:tc>
      </w:tr>
      <w:tr w:rsidR="000E174A" w:rsidRPr="005A36FE" w:rsidTr="000E174A">
        <w:tc>
          <w:tcPr>
            <w:cnfStyle w:val="001000000000" w:firstRow="0" w:lastRow="0" w:firstColumn="1" w:lastColumn="0" w:oddVBand="0" w:evenVBand="0" w:oddHBand="0" w:evenHBand="0" w:firstRowFirstColumn="0" w:firstRowLastColumn="0" w:lastRowFirstColumn="0" w:lastRowLastColumn="0"/>
            <w:tcW w:w="3544" w:type="dxa"/>
            <w:tcBorders>
              <w:top w:val="nil"/>
              <w:left w:val="nil"/>
              <w:bottom w:val="nil"/>
              <w:right w:val="nil"/>
            </w:tcBorders>
          </w:tcPr>
          <w:p w:rsidR="000E174A" w:rsidRPr="005A36FE" w:rsidRDefault="000E174A" w:rsidP="000E174A">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 xml:space="preserve">Discount rate </w:t>
            </w:r>
          </w:p>
        </w:tc>
        <w:tc>
          <w:tcPr>
            <w:tcW w:w="1275" w:type="dxa"/>
            <w:tcBorders>
              <w:top w:val="nil"/>
              <w:left w:val="nil"/>
              <w:bottom w:val="nil"/>
              <w:right w:val="nil"/>
            </w:tcBorders>
          </w:tcPr>
          <w:p w:rsidR="000E174A" w:rsidRPr="005A36FE" w:rsidRDefault="000E174A" w:rsidP="000E174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(per cent a year)</w:t>
            </w:r>
          </w:p>
        </w:tc>
        <w:tc>
          <w:tcPr>
            <w:tcW w:w="992" w:type="dxa"/>
            <w:tcBorders>
              <w:top w:val="nil"/>
              <w:left w:val="nil"/>
              <w:bottom w:val="nil"/>
              <w:right w:val="nil"/>
            </w:tcBorders>
          </w:tcPr>
          <w:p w:rsidR="000E174A" w:rsidRPr="005A36FE" w:rsidRDefault="000E174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3</w:t>
            </w:r>
          </w:p>
        </w:tc>
        <w:tc>
          <w:tcPr>
            <w:tcW w:w="1276" w:type="dxa"/>
            <w:tcBorders>
              <w:top w:val="nil"/>
              <w:left w:val="nil"/>
              <w:bottom w:val="nil"/>
              <w:right w:val="nil"/>
            </w:tcBorders>
          </w:tcPr>
          <w:p w:rsidR="000E174A" w:rsidRPr="005A36FE" w:rsidRDefault="000E174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4</w:t>
            </w:r>
          </w:p>
        </w:tc>
        <w:tc>
          <w:tcPr>
            <w:tcW w:w="1276" w:type="dxa"/>
            <w:tcBorders>
              <w:top w:val="nil"/>
              <w:left w:val="nil"/>
              <w:bottom w:val="nil"/>
              <w:right w:val="nil"/>
            </w:tcBorders>
          </w:tcPr>
          <w:p w:rsidR="000E174A" w:rsidRPr="005A36FE" w:rsidRDefault="000E174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3</w:t>
            </w:r>
          </w:p>
        </w:tc>
        <w:tc>
          <w:tcPr>
            <w:tcW w:w="1276" w:type="dxa"/>
            <w:tcBorders>
              <w:top w:val="nil"/>
              <w:left w:val="nil"/>
              <w:bottom w:val="nil"/>
              <w:right w:val="nil"/>
            </w:tcBorders>
          </w:tcPr>
          <w:p w:rsidR="000E174A" w:rsidRPr="005A36FE" w:rsidRDefault="000E174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3</w:t>
            </w:r>
          </w:p>
        </w:tc>
      </w:tr>
      <w:tr w:rsidR="000E174A" w:rsidRPr="005A36FE" w:rsidTr="000E174A">
        <w:tc>
          <w:tcPr>
            <w:cnfStyle w:val="001000000000" w:firstRow="0" w:lastRow="0" w:firstColumn="1" w:lastColumn="0" w:oddVBand="0" w:evenVBand="0" w:oddHBand="0" w:evenHBand="0" w:firstRowFirstColumn="0" w:firstRowLastColumn="0" w:lastRowFirstColumn="0" w:lastRowLastColumn="0"/>
            <w:tcW w:w="3544" w:type="dxa"/>
            <w:tcBorders>
              <w:top w:val="nil"/>
              <w:left w:val="nil"/>
              <w:bottom w:val="nil"/>
              <w:right w:val="nil"/>
            </w:tcBorders>
          </w:tcPr>
          <w:p w:rsidR="000E174A" w:rsidRPr="005A36FE" w:rsidRDefault="000E174A" w:rsidP="000E174A">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 xml:space="preserve">Salary growth </w:t>
            </w:r>
          </w:p>
        </w:tc>
        <w:tc>
          <w:tcPr>
            <w:tcW w:w="1275" w:type="dxa"/>
            <w:tcBorders>
              <w:top w:val="nil"/>
              <w:left w:val="nil"/>
              <w:bottom w:val="nil"/>
              <w:right w:val="nil"/>
            </w:tcBorders>
          </w:tcPr>
          <w:p w:rsidR="000E174A" w:rsidRPr="005A36FE" w:rsidRDefault="000E174A" w:rsidP="000E174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(per cent a year)</w:t>
            </w:r>
          </w:p>
        </w:tc>
        <w:tc>
          <w:tcPr>
            <w:tcW w:w="992" w:type="dxa"/>
            <w:tcBorders>
              <w:top w:val="nil"/>
              <w:left w:val="nil"/>
              <w:bottom w:val="nil"/>
              <w:right w:val="nil"/>
            </w:tcBorders>
          </w:tcPr>
          <w:p w:rsidR="000E174A" w:rsidRPr="005A36FE" w:rsidRDefault="000E174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3.4</w:t>
            </w:r>
          </w:p>
        </w:tc>
        <w:tc>
          <w:tcPr>
            <w:tcW w:w="1276" w:type="dxa"/>
            <w:tcBorders>
              <w:top w:val="nil"/>
              <w:left w:val="nil"/>
              <w:bottom w:val="nil"/>
              <w:right w:val="nil"/>
            </w:tcBorders>
          </w:tcPr>
          <w:p w:rsidR="000E174A" w:rsidRPr="005A36FE" w:rsidRDefault="000E174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3.4</w:t>
            </w:r>
          </w:p>
        </w:tc>
        <w:tc>
          <w:tcPr>
            <w:tcW w:w="1276" w:type="dxa"/>
            <w:tcBorders>
              <w:top w:val="nil"/>
              <w:left w:val="nil"/>
              <w:bottom w:val="nil"/>
              <w:right w:val="nil"/>
            </w:tcBorders>
          </w:tcPr>
          <w:p w:rsidR="000E174A" w:rsidRPr="005A36FE" w:rsidRDefault="000E174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4.4</w:t>
            </w:r>
          </w:p>
        </w:tc>
        <w:tc>
          <w:tcPr>
            <w:tcW w:w="1276" w:type="dxa"/>
            <w:tcBorders>
              <w:top w:val="nil"/>
              <w:left w:val="nil"/>
              <w:bottom w:val="nil"/>
              <w:right w:val="nil"/>
            </w:tcBorders>
          </w:tcPr>
          <w:p w:rsidR="000E174A" w:rsidRPr="005A36FE" w:rsidRDefault="000E174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3.4</w:t>
            </w:r>
          </w:p>
        </w:tc>
      </w:tr>
      <w:tr w:rsidR="000E174A" w:rsidRPr="005A36FE" w:rsidTr="000E174A">
        <w:tc>
          <w:tcPr>
            <w:cnfStyle w:val="001000000000" w:firstRow="0" w:lastRow="0" w:firstColumn="1" w:lastColumn="0" w:oddVBand="0" w:evenVBand="0" w:oddHBand="0" w:evenHBand="0" w:firstRowFirstColumn="0" w:firstRowLastColumn="0" w:lastRowFirstColumn="0" w:lastRowLastColumn="0"/>
            <w:tcW w:w="3544" w:type="dxa"/>
            <w:tcBorders>
              <w:top w:val="nil"/>
              <w:left w:val="nil"/>
              <w:bottom w:val="single" w:sz="6" w:space="0" w:color="auto"/>
              <w:right w:val="nil"/>
            </w:tcBorders>
          </w:tcPr>
          <w:p w:rsidR="000E174A" w:rsidRPr="005A36FE" w:rsidRDefault="000E174A" w:rsidP="000E174A">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 xml:space="preserve">Inflation rate </w:t>
            </w:r>
          </w:p>
        </w:tc>
        <w:tc>
          <w:tcPr>
            <w:tcW w:w="1275" w:type="dxa"/>
            <w:tcBorders>
              <w:top w:val="nil"/>
              <w:left w:val="nil"/>
              <w:bottom w:val="single" w:sz="6" w:space="0" w:color="auto"/>
              <w:right w:val="nil"/>
            </w:tcBorders>
          </w:tcPr>
          <w:p w:rsidR="000E174A" w:rsidRPr="005A36FE" w:rsidRDefault="000E174A" w:rsidP="000E174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(per cent a year)</w:t>
            </w:r>
          </w:p>
        </w:tc>
        <w:tc>
          <w:tcPr>
            <w:tcW w:w="992" w:type="dxa"/>
            <w:tcBorders>
              <w:top w:val="nil"/>
              <w:left w:val="nil"/>
              <w:bottom w:val="single" w:sz="6" w:space="0" w:color="auto"/>
              <w:right w:val="nil"/>
            </w:tcBorders>
          </w:tcPr>
          <w:p w:rsidR="000E174A" w:rsidRPr="005A36FE" w:rsidRDefault="000E174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1.9</w:t>
            </w:r>
          </w:p>
        </w:tc>
        <w:tc>
          <w:tcPr>
            <w:tcW w:w="1276" w:type="dxa"/>
            <w:tcBorders>
              <w:top w:val="nil"/>
              <w:left w:val="nil"/>
              <w:bottom w:val="single" w:sz="6" w:space="0" w:color="auto"/>
              <w:right w:val="nil"/>
            </w:tcBorders>
          </w:tcPr>
          <w:p w:rsidR="000E174A" w:rsidRPr="005A36FE" w:rsidRDefault="000E174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1.9</w:t>
            </w:r>
          </w:p>
        </w:tc>
        <w:tc>
          <w:tcPr>
            <w:tcW w:w="1276" w:type="dxa"/>
            <w:tcBorders>
              <w:top w:val="nil"/>
              <w:left w:val="nil"/>
              <w:bottom w:val="single" w:sz="6" w:space="0" w:color="auto"/>
              <w:right w:val="nil"/>
            </w:tcBorders>
          </w:tcPr>
          <w:p w:rsidR="000E174A" w:rsidRPr="005A36FE" w:rsidRDefault="000E174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1.9</w:t>
            </w:r>
          </w:p>
        </w:tc>
        <w:tc>
          <w:tcPr>
            <w:tcW w:w="1276" w:type="dxa"/>
            <w:tcBorders>
              <w:top w:val="nil"/>
              <w:left w:val="nil"/>
              <w:bottom w:val="single" w:sz="6" w:space="0" w:color="auto"/>
              <w:right w:val="nil"/>
            </w:tcBorders>
          </w:tcPr>
          <w:p w:rsidR="000E174A" w:rsidRPr="005A36FE" w:rsidRDefault="000E174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2.9</w:t>
            </w:r>
          </w:p>
        </w:tc>
      </w:tr>
      <w:tr w:rsidR="000E174A" w:rsidRPr="005A36FE" w:rsidTr="000E174A">
        <w:tc>
          <w:tcPr>
            <w:cnfStyle w:val="001000000000" w:firstRow="0" w:lastRow="0" w:firstColumn="1" w:lastColumn="0" w:oddVBand="0" w:evenVBand="0" w:oddHBand="0" w:evenHBand="0" w:firstRowFirstColumn="0" w:firstRowLastColumn="0" w:lastRowFirstColumn="0" w:lastRowLastColumn="0"/>
            <w:tcW w:w="3544" w:type="dxa"/>
            <w:tcBorders>
              <w:top w:val="nil"/>
              <w:left w:val="nil"/>
              <w:bottom w:val="nil"/>
              <w:right w:val="nil"/>
            </w:tcBorders>
          </w:tcPr>
          <w:p w:rsidR="000E174A" w:rsidRPr="005A36FE" w:rsidRDefault="000E174A" w:rsidP="000E174A">
            <w:pPr>
              <w:keepLines w:val="0"/>
              <w:autoSpaceDE w:val="0"/>
              <w:autoSpaceDN w:val="0"/>
              <w:adjustRightInd w:val="0"/>
              <w:rPr>
                <w:rFonts w:eastAsiaTheme="minorEastAsia" w:cs="Calibri"/>
                <w:b/>
                <w:bCs/>
                <w:color w:val="000000"/>
                <w:szCs w:val="17"/>
                <w:lang w:eastAsia="en-AU"/>
              </w:rPr>
            </w:pPr>
            <w:r w:rsidRPr="005A36FE">
              <w:rPr>
                <w:rFonts w:eastAsiaTheme="minorEastAsia" w:cs="Calibri"/>
                <w:b/>
                <w:bCs/>
                <w:color w:val="000000"/>
                <w:szCs w:val="17"/>
                <w:lang w:eastAsia="en-AU"/>
              </w:rPr>
              <w:t xml:space="preserve">Estimated impact </w:t>
            </w:r>
          </w:p>
        </w:tc>
        <w:tc>
          <w:tcPr>
            <w:tcW w:w="1275" w:type="dxa"/>
            <w:tcBorders>
              <w:top w:val="nil"/>
              <w:left w:val="nil"/>
              <w:bottom w:val="nil"/>
              <w:right w:val="nil"/>
            </w:tcBorders>
          </w:tcPr>
          <w:p w:rsidR="000E174A" w:rsidRPr="005A36FE" w:rsidRDefault="000E174A" w:rsidP="000E174A">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7"/>
                <w:lang w:eastAsia="en-AU"/>
              </w:rPr>
            </w:pPr>
            <w:r w:rsidRPr="005A36FE">
              <w:rPr>
                <w:rFonts w:eastAsiaTheme="minorEastAsia" w:cs="Calibri"/>
                <w:b/>
                <w:bCs/>
                <w:color w:val="000000"/>
                <w:szCs w:val="17"/>
                <w:lang w:eastAsia="en-AU"/>
              </w:rPr>
              <w:t>(per cent)</w:t>
            </w:r>
          </w:p>
        </w:tc>
        <w:tc>
          <w:tcPr>
            <w:tcW w:w="992" w:type="dxa"/>
            <w:tcBorders>
              <w:top w:val="nil"/>
              <w:left w:val="nil"/>
              <w:bottom w:val="nil"/>
              <w:right w:val="nil"/>
            </w:tcBorders>
          </w:tcPr>
          <w:p w:rsidR="000E174A" w:rsidRPr="005A36FE" w:rsidRDefault="000E174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7"/>
                <w:lang w:eastAsia="en-AU"/>
              </w:rPr>
            </w:pPr>
            <w:proofErr w:type="spellStart"/>
            <w:r w:rsidRPr="005A36FE">
              <w:rPr>
                <w:rFonts w:eastAsiaTheme="minorEastAsia" w:cs="Calibri"/>
                <w:b/>
                <w:bCs/>
                <w:color w:val="000000"/>
                <w:szCs w:val="17"/>
                <w:lang w:eastAsia="en-AU"/>
              </w:rPr>
              <w:t>n.a</w:t>
            </w:r>
            <w:proofErr w:type="spellEnd"/>
            <w:r>
              <w:rPr>
                <w:rFonts w:eastAsiaTheme="minorEastAsia" w:cs="Calibri"/>
                <w:b/>
                <w:bCs/>
                <w:color w:val="000000"/>
                <w:szCs w:val="17"/>
                <w:lang w:eastAsia="en-AU"/>
              </w:rPr>
              <w:t>.</w:t>
            </w:r>
          </w:p>
        </w:tc>
        <w:tc>
          <w:tcPr>
            <w:tcW w:w="1276" w:type="dxa"/>
            <w:tcBorders>
              <w:top w:val="nil"/>
              <w:left w:val="nil"/>
              <w:bottom w:val="nil"/>
              <w:right w:val="nil"/>
            </w:tcBorders>
          </w:tcPr>
          <w:p w:rsidR="000E174A" w:rsidRPr="005A36FE" w:rsidRDefault="000E174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7"/>
                <w:lang w:eastAsia="en-AU"/>
              </w:rPr>
            </w:pPr>
            <w:r>
              <w:rPr>
                <w:rFonts w:eastAsiaTheme="minorEastAsia" w:cs="Calibri"/>
                <w:b/>
                <w:bCs/>
                <w:color w:val="000000"/>
                <w:szCs w:val="17"/>
                <w:lang w:eastAsia="en-AU"/>
              </w:rPr>
              <w:t>(11)</w:t>
            </w:r>
          </w:p>
        </w:tc>
        <w:tc>
          <w:tcPr>
            <w:tcW w:w="1276" w:type="dxa"/>
            <w:tcBorders>
              <w:top w:val="nil"/>
              <w:left w:val="nil"/>
              <w:bottom w:val="nil"/>
              <w:right w:val="nil"/>
            </w:tcBorders>
          </w:tcPr>
          <w:p w:rsidR="000E174A" w:rsidRPr="005A36FE" w:rsidRDefault="000E174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7"/>
                <w:lang w:eastAsia="en-AU"/>
              </w:rPr>
            </w:pPr>
            <w:r w:rsidRPr="005A36FE">
              <w:rPr>
                <w:rFonts w:eastAsiaTheme="minorEastAsia" w:cs="Calibri"/>
                <w:b/>
                <w:bCs/>
                <w:color w:val="000000"/>
                <w:szCs w:val="17"/>
                <w:lang w:eastAsia="en-AU"/>
              </w:rPr>
              <w:t>2</w:t>
            </w:r>
          </w:p>
        </w:tc>
        <w:tc>
          <w:tcPr>
            <w:tcW w:w="1276" w:type="dxa"/>
            <w:tcBorders>
              <w:top w:val="nil"/>
              <w:left w:val="nil"/>
              <w:bottom w:val="nil"/>
              <w:right w:val="nil"/>
            </w:tcBorders>
          </w:tcPr>
          <w:p w:rsidR="000E174A" w:rsidRPr="005A36FE" w:rsidRDefault="000E174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7"/>
                <w:lang w:eastAsia="en-AU"/>
              </w:rPr>
            </w:pPr>
            <w:r w:rsidRPr="005A36FE">
              <w:rPr>
                <w:rFonts w:eastAsiaTheme="minorEastAsia" w:cs="Calibri"/>
                <w:b/>
                <w:bCs/>
                <w:color w:val="000000"/>
                <w:szCs w:val="17"/>
                <w:lang w:eastAsia="en-AU"/>
              </w:rPr>
              <w:t>7</w:t>
            </w:r>
          </w:p>
        </w:tc>
      </w:tr>
      <w:tr w:rsidR="000E174A" w:rsidRPr="005A36FE" w:rsidTr="000E174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12" w:space="0" w:color="auto"/>
            </w:tcBorders>
          </w:tcPr>
          <w:p w:rsidR="000E174A" w:rsidRPr="005A36FE" w:rsidRDefault="000E174A" w:rsidP="000E174A">
            <w:pPr>
              <w:keepLines w:val="0"/>
              <w:autoSpaceDE w:val="0"/>
              <w:autoSpaceDN w:val="0"/>
              <w:adjustRightInd w:val="0"/>
              <w:rPr>
                <w:rFonts w:eastAsiaTheme="minorEastAsia" w:cs="Calibri"/>
                <w:b w:val="0"/>
                <w:bCs/>
                <w:color w:val="000000"/>
                <w:szCs w:val="17"/>
                <w:lang w:eastAsia="en-AU"/>
              </w:rPr>
            </w:pPr>
            <w:r w:rsidRPr="005A36FE">
              <w:rPr>
                <w:rFonts w:eastAsiaTheme="minorEastAsia" w:cs="Calibri"/>
                <w:bCs/>
                <w:color w:val="000000"/>
                <w:szCs w:val="17"/>
                <w:lang w:eastAsia="en-AU"/>
              </w:rPr>
              <w:t xml:space="preserve">Estimated change in defined benefit obligation </w:t>
            </w:r>
          </w:p>
        </w:tc>
        <w:tc>
          <w:tcPr>
            <w:tcW w:w="1275" w:type="dxa"/>
            <w:tcBorders>
              <w:top w:val="single" w:sz="6" w:space="0" w:color="auto"/>
              <w:bottom w:val="single" w:sz="12" w:space="0" w:color="auto"/>
            </w:tcBorders>
          </w:tcPr>
          <w:p w:rsidR="000E174A" w:rsidRPr="005A36FE" w:rsidRDefault="000E174A" w:rsidP="000E174A">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7"/>
                <w:lang w:eastAsia="en-AU"/>
              </w:rPr>
            </w:pPr>
            <w:r w:rsidRPr="005A36FE">
              <w:rPr>
                <w:rFonts w:eastAsiaTheme="minorEastAsia" w:cs="Calibri"/>
                <w:bCs/>
                <w:color w:val="000000"/>
                <w:szCs w:val="17"/>
                <w:lang w:eastAsia="en-AU"/>
              </w:rPr>
              <w:t>($ million)</w:t>
            </w:r>
          </w:p>
        </w:tc>
        <w:tc>
          <w:tcPr>
            <w:tcW w:w="992" w:type="dxa"/>
            <w:tcBorders>
              <w:top w:val="single" w:sz="6" w:space="0" w:color="auto"/>
              <w:bottom w:val="single" w:sz="12" w:space="0" w:color="auto"/>
            </w:tcBorders>
          </w:tcPr>
          <w:p w:rsidR="000E174A" w:rsidRPr="005A36FE" w:rsidRDefault="000E174A"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7"/>
                <w:lang w:eastAsia="en-AU"/>
              </w:rPr>
            </w:pPr>
            <w:proofErr w:type="spellStart"/>
            <w:r w:rsidRPr="005A36FE">
              <w:rPr>
                <w:rFonts w:eastAsiaTheme="minorEastAsia" w:cs="Calibri"/>
                <w:bCs/>
                <w:color w:val="000000"/>
                <w:szCs w:val="17"/>
                <w:lang w:eastAsia="en-AU"/>
              </w:rPr>
              <w:t>n.a</w:t>
            </w:r>
            <w:proofErr w:type="spellEnd"/>
            <w:r>
              <w:rPr>
                <w:rFonts w:eastAsiaTheme="minorEastAsia" w:cs="Calibri"/>
                <w:bCs/>
                <w:color w:val="000000"/>
                <w:szCs w:val="17"/>
                <w:lang w:eastAsia="en-AU"/>
              </w:rPr>
              <w:t>.</w:t>
            </w:r>
          </w:p>
        </w:tc>
        <w:tc>
          <w:tcPr>
            <w:tcW w:w="1276" w:type="dxa"/>
            <w:tcBorders>
              <w:top w:val="single" w:sz="6" w:space="0" w:color="auto"/>
              <w:bottom w:val="single" w:sz="12" w:space="0" w:color="auto"/>
            </w:tcBorders>
          </w:tcPr>
          <w:p w:rsidR="000E174A" w:rsidRPr="005A36FE" w:rsidRDefault="000E174A"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bCs/>
                <w:color w:val="000000"/>
                <w:szCs w:val="17"/>
                <w:lang w:eastAsia="en-AU"/>
              </w:rPr>
              <w:t>(5 120</w:t>
            </w:r>
            <w:r w:rsidRPr="005A36FE">
              <w:rPr>
                <w:rFonts w:eastAsiaTheme="minorEastAsia" w:cs="Calibri"/>
                <w:color w:val="000000"/>
                <w:szCs w:val="17"/>
                <w:lang w:eastAsia="en-AU"/>
              </w:rPr>
              <w:t>)</w:t>
            </w:r>
          </w:p>
        </w:tc>
        <w:tc>
          <w:tcPr>
            <w:tcW w:w="1276" w:type="dxa"/>
            <w:tcBorders>
              <w:top w:val="single" w:sz="6" w:space="0" w:color="auto"/>
              <w:bottom w:val="single" w:sz="12" w:space="0" w:color="auto"/>
            </w:tcBorders>
          </w:tcPr>
          <w:p w:rsidR="000E174A" w:rsidRPr="005A36FE" w:rsidRDefault="000E174A"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7"/>
                <w:lang w:eastAsia="en-AU"/>
              </w:rPr>
            </w:pPr>
            <w:r w:rsidRPr="005A36FE">
              <w:rPr>
                <w:rFonts w:eastAsiaTheme="minorEastAsia" w:cs="Calibri"/>
                <w:bCs/>
                <w:color w:val="000000"/>
                <w:szCs w:val="17"/>
                <w:lang w:eastAsia="en-AU"/>
              </w:rPr>
              <w:t>931</w:t>
            </w:r>
          </w:p>
        </w:tc>
        <w:tc>
          <w:tcPr>
            <w:tcW w:w="1276" w:type="dxa"/>
            <w:tcBorders>
              <w:top w:val="single" w:sz="6" w:space="0" w:color="auto"/>
              <w:bottom w:val="single" w:sz="12" w:space="0" w:color="auto"/>
            </w:tcBorders>
          </w:tcPr>
          <w:p w:rsidR="000E174A" w:rsidRPr="005A36FE" w:rsidRDefault="000E174A"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7"/>
                <w:lang w:eastAsia="en-AU"/>
              </w:rPr>
            </w:pPr>
            <w:r w:rsidRPr="005A36FE">
              <w:rPr>
                <w:rFonts w:eastAsiaTheme="minorEastAsia" w:cs="Calibri"/>
                <w:bCs/>
                <w:color w:val="000000"/>
                <w:szCs w:val="17"/>
                <w:lang w:eastAsia="en-AU"/>
              </w:rPr>
              <w:t>3 258</w:t>
            </w:r>
          </w:p>
        </w:tc>
      </w:tr>
    </w:tbl>
    <w:p w:rsidR="00BB6F1F" w:rsidRDefault="00BB6F1F" w:rsidP="00AC68FF"/>
    <w:p w:rsidR="00BB6F1F" w:rsidRPr="005A36FE" w:rsidRDefault="00BB6F1F" w:rsidP="00AC68FF">
      <w:pPr>
        <w:pStyle w:val="TableHeading"/>
        <w:rPr>
          <w:bCs/>
          <w:lang w:val="en-US"/>
        </w:rPr>
      </w:pPr>
      <w:r w:rsidRPr="00887D11">
        <w:lastRenderedPageBreak/>
        <w:t>Target asset allocation</w:t>
      </w:r>
      <w:r w:rsidRPr="00887D11">
        <w:tab/>
        <w:t>(per cent)</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BB6F1F" w:rsidRPr="005A36FE"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rsidR="00BB6F1F" w:rsidRPr="005A36FE" w:rsidRDefault="00BB6F1F" w:rsidP="00AC68FF">
            <w:pPr>
              <w:autoSpaceDE w:val="0"/>
              <w:autoSpaceDN w:val="0"/>
              <w:adjustRightInd w:val="0"/>
              <w:rPr>
                <w:rFonts w:eastAsiaTheme="minorEastAsia" w:cs="Calibri"/>
                <w:iCs/>
                <w:color w:val="FFFFFF"/>
                <w:szCs w:val="17"/>
                <w:lang w:eastAsia="en-AU"/>
              </w:rPr>
            </w:pPr>
            <w:r w:rsidRPr="005A36FE">
              <w:rPr>
                <w:rFonts w:eastAsiaTheme="minorEastAsia" w:cs="Calibri"/>
                <w:iCs/>
                <w:color w:val="FFFFFF"/>
                <w:szCs w:val="17"/>
                <w:lang w:eastAsia="en-AU"/>
              </w:rPr>
              <w:t>Asset class</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5A36FE">
              <w:rPr>
                <w:rFonts w:eastAsiaTheme="minorEastAsia" w:cs="Calibri"/>
                <w:iCs/>
                <w:color w:val="FFFFFF"/>
                <w:szCs w:val="17"/>
                <w:lang w:eastAsia="en-AU"/>
              </w:rPr>
              <w:t>2017</w:t>
            </w:r>
          </w:p>
        </w:tc>
        <w:tc>
          <w:tcPr>
            <w:tcW w:w="907" w:type="dxa"/>
            <w:tcBorders>
              <w:top w:val="nil"/>
              <w:left w:val="nil"/>
              <w:bottom w:val="nil"/>
              <w:right w:val="nil"/>
            </w:tcBorders>
            <w:shd w:val="solid" w:color="000000" w:fill="auto"/>
          </w:tcPr>
          <w:p w:rsidR="00BB6F1F" w:rsidRPr="005A36FE"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5A36FE">
              <w:rPr>
                <w:rFonts w:eastAsiaTheme="minorEastAsia" w:cs="Calibri"/>
                <w:iCs/>
                <w:color w:val="FFFFFF"/>
                <w:szCs w:val="17"/>
                <w:lang w:eastAsia="en-AU"/>
              </w:rPr>
              <w:t>2016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Domestic equity</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27.7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26.7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International equity</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27.7</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26.7</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Domestic debt assets</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17.6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17.5</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Property</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7.6</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7.6</w:t>
            </w:r>
          </w:p>
        </w:tc>
      </w:tr>
      <w:tr w:rsidR="00BB6F1F" w:rsidRPr="005A36FE"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5A36FE" w:rsidRDefault="00BB6F1F" w:rsidP="00AC68FF">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Cash</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4.1</w:t>
            </w:r>
          </w:p>
        </w:tc>
        <w:tc>
          <w:tcPr>
            <w:tcW w:w="907" w:type="dxa"/>
            <w:tcBorders>
              <w:top w:val="nil"/>
              <w:left w:val="nil"/>
              <w:bottom w:val="nil"/>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4.2</w:t>
            </w:r>
          </w:p>
        </w:tc>
      </w:tr>
      <w:tr w:rsidR="00BB6F1F" w:rsidRPr="005A36FE" w:rsidTr="00D47122">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single" w:sz="6" w:space="0" w:color="auto"/>
              <w:right w:val="nil"/>
            </w:tcBorders>
          </w:tcPr>
          <w:p w:rsidR="00BB6F1F" w:rsidRPr="005A36FE" w:rsidRDefault="00BB6F1F" w:rsidP="00AC68FF">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Other (including private equity, hedge funds and infrastructure)</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15.3</w:t>
            </w:r>
          </w:p>
        </w:tc>
        <w:tc>
          <w:tcPr>
            <w:tcW w:w="907" w:type="dxa"/>
            <w:tcBorders>
              <w:top w:val="nil"/>
              <w:left w:val="nil"/>
              <w:bottom w:val="single" w:sz="6" w:space="0" w:color="auto"/>
              <w:right w:val="nil"/>
            </w:tcBorders>
          </w:tcPr>
          <w:p w:rsidR="00BB6F1F" w:rsidRPr="005A36FE"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17.3</w:t>
            </w:r>
          </w:p>
        </w:tc>
      </w:tr>
      <w:tr w:rsidR="00BB6F1F" w:rsidRPr="005A36FE" w:rsidTr="00D4712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rsidR="00BB6F1F" w:rsidRPr="005A36FE" w:rsidRDefault="00BB6F1F" w:rsidP="00AC68FF">
            <w:pPr>
              <w:keepLines w:val="0"/>
              <w:autoSpaceDE w:val="0"/>
              <w:autoSpaceDN w:val="0"/>
              <w:adjustRightInd w:val="0"/>
              <w:rPr>
                <w:rFonts w:eastAsiaTheme="minorEastAsia" w:cs="Calibri"/>
                <w:bCs/>
                <w:color w:val="000000"/>
                <w:szCs w:val="17"/>
                <w:lang w:eastAsia="en-AU"/>
              </w:rPr>
            </w:pPr>
            <w:r w:rsidRPr="005A36FE">
              <w:rPr>
                <w:rFonts w:eastAsiaTheme="minorEastAsia" w:cs="Calibri"/>
                <w:bCs/>
                <w:color w:val="000000"/>
                <w:szCs w:val="17"/>
                <w:lang w:eastAsia="en-AU"/>
              </w:rPr>
              <w:t>Total</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7"/>
                <w:lang w:eastAsia="en-AU"/>
              </w:rPr>
            </w:pPr>
            <w:r w:rsidRPr="005A36FE">
              <w:rPr>
                <w:rFonts w:eastAsiaTheme="minorEastAsia" w:cs="Calibri"/>
                <w:bCs/>
                <w:color w:val="000000"/>
                <w:szCs w:val="17"/>
                <w:lang w:eastAsia="en-AU"/>
              </w:rPr>
              <w:t>100</w:t>
            </w:r>
          </w:p>
        </w:tc>
        <w:tc>
          <w:tcPr>
            <w:tcW w:w="907" w:type="dxa"/>
            <w:tcBorders>
              <w:top w:val="single" w:sz="6" w:space="0" w:color="auto"/>
              <w:bottom w:val="single" w:sz="12" w:space="0" w:color="auto"/>
            </w:tcBorders>
          </w:tcPr>
          <w:p w:rsidR="00BB6F1F" w:rsidRPr="005A36FE"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7"/>
                <w:lang w:eastAsia="en-AU"/>
              </w:rPr>
            </w:pPr>
            <w:r w:rsidRPr="005A36FE">
              <w:rPr>
                <w:rFonts w:eastAsiaTheme="minorEastAsia" w:cs="Calibri"/>
                <w:bCs/>
                <w:color w:val="000000"/>
                <w:szCs w:val="17"/>
                <w:lang w:eastAsia="en-AU"/>
              </w:rPr>
              <w:t>100</w:t>
            </w:r>
          </w:p>
        </w:tc>
      </w:tr>
    </w:tbl>
    <w:p w:rsidR="00BB6F1F" w:rsidRDefault="00BB6F1F" w:rsidP="00AC68FF"/>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AC68FF">
      <w:r>
        <w:lastRenderedPageBreak/>
        <w:t>The assets are invested in the asset classes shown above. The chosen assets are not designed to match the liabilities exactly. However, the nature of the liabilities is considered in setting the investment strategy.</w:t>
      </w:r>
    </w:p>
    <w:p w:rsidR="00BB6F1F" w:rsidRDefault="00BB6F1F" w:rsidP="00AC68FF">
      <w:r w:rsidRPr="00862934">
        <w:t>At 30 June 2017, the plans held investments with Treasury Corporation Victoria (TCV) worth $511</w:t>
      </w:r>
      <w:r>
        <w:t> </w:t>
      </w:r>
      <w:r w:rsidRPr="00862934">
        <w:t>million.</w:t>
      </w:r>
    </w:p>
    <w:p w:rsidR="00BB6F1F" w:rsidRDefault="00BB6F1F" w:rsidP="00AC68FF">
      <w:pPr>
        <w:pStyle w:val="Heading30"/>
      </w:pPr>
      <w:r>
        <w:t>Funding arrangements</w:t>
      </w:r>
    </w:p>
    <w:p w:rsidR="00BB6F1F" w:rsidRDefault="00BB6F1F" w:rsidP="00AC68FF">
      <w:r>
        <w:t xml:space="preserve">The funding of the defined benefit plans varies by plan as follows: </w:t>
      </w:r>
    </w:p>
    <w:p w:rsidR="00BB6F1F" w:rsidRDefault="00BB6F1F" w:rsidP="00AC68FF">
      <w:r w:rsidRPr="00E100BC">
        <w:t>SSF –</w:t>
      </w:r>
      <w:r>
        <w:t xml:space="preserve"> the scheme is partially funded, with participating employers generally contributing the cost of service as it accrues while the State meets the cost of past service.</w:t>
      </w:r>
    </w:p>
    <w:p w:rsidR="00BB6F1F" w:rsidRDefault="00BB6F1F" w:rsidP="00AC68FF">
      <w:r w:rsidRPr="00E100BC">
        <w:t>ESSS DB – a</w:t>
      </w:r>
      <w:r>
        <w:t xml:space="preserve"> funded scheme, with a funding target of 110 per cent to 120 per cent of vested benefits. The board’s shortfall limit is 95 per cent of vested benefits.</w:t>
      </w:r>
    </w:p>
    <w:p w:rsidR="00BB6F1F" w:rsidRDefault="00BB6F1F" w:rsidP="00AC68FF">
      <w:r>
        <w:br w:type="column"/>
      </w:r>
      <w:r w:rsidRPr="00E100BC">
        <w:lastRenderedPageBreak/>
        <w:t>Constitutionally Protected Pension Schemes –</w:t>
      </w:r>
      <w:r>
        <w:t xml:space="preserve"> unfunded schemes (i.e. there are no assets) and benefits are paid from the Consolidated Fund as they fall due.</w:t>
      </w:r>
    </w:p>
    <w:p w:rsidR="00BB6F1F" w:rsidRDefault="00BB6F1F" w:rsidP="00AC68FF">
      <w:r w:rsidRPr="00E100BC">
        <w:t>Health Super – a</w:t>
      </w:r>
      <w:r>
        <w:t xml:space="preserve"> funded scheme where employers contribute in accordance with the actuary’s recommendations which are designed to achieve a target asset level of 107 per cent of the scheme’s vested benefits.</w:t>
      </w:r>
    </w:p>
    <w:p w:rsidR="00BB6F1F" w:rsidRDefault="00BB6F1F" w:rsidP="00AC68FF">
      <w:r>
        <w:t>In the 2017-18 financial year, employer contributions of $1 525 million, in total, are expected to be paid to the defined benefit plans. Of this, $1 036 million relates to the funding of the SSF’s past service liability.</w:t>
      </w:r>
    </w:p>
    <w:p w:rsidR="00BB6F1F" w:rsidRDefault="00BB6F1F" w:rsidP="00AC68FF">
      <w:r>
        <w:t>The weighted average duration of the defined benefit obligation is approximately 13 years.</w:t>
      </w:r>
    </w:p>
    <w:p w:rsidR="00BB6F1F" w:rsidRDefault="00BB6F1F" w:rsidP="00BB6F1F">
      <w:pPr>
        <w:pStyle w:val="Heading2"/>
        <w:numPr>
          <w:ilvl w:val="1"/>
          <w:numId w:val="24"/>
        </w:numPr>
        <w:spacing w:after="120"/>
        <w:sectPr w:rsidR="00BB6F1F" w:rsidSect="00AC68FF">
          <w:type w:val="continuous"/>
          <w:pgSz w:w="11907" w:h="16839" w:code="9"/>
          <w:pgMar w:top="1134" w:right="1134" w:bottom="1134" w:left="1134" w:header="624" w:footer="567" w:gutter="0"/>
          <w:cols w:num="2" w:space="709"/>
          <w:docGrid w:linePitch="360"/>
        </w:sectPr>
      </w:pPr>
    </w:p>
    <w:p w:rsidR="00BB6F1F" w:rsidRDefault="00BB6F1F" w:rsidP="00AC68FF">
      <w:pPr>
        <w:rPr>
          <w:rFonts w:asciiTheme="majorHAnsi" w:eastAsiaTheme="majorEastAsia" w:hAnsiTheme="majorHAnsi" w:cstheme="majorBidi"/>
          <w:spacing w:val="-2"/>
          <w:sz w:val="26"/>
          <w:szCs w:val="26"/>
        </w:rPr>
      </w:pPr>
      <w:r>
        <w:lastRenderedPageBreak/>
        <w:br w:type="page"/>
      </w:r>
    </w:p>
    <w:p w:rsidR="00BB6F1F" w:rsidRDefault="00BB6F1F" w:rsidP="00BB6F1F">
      <w:pPr>
        <w:pStyle w:val="Heading2"/>
        <w:numPr>
          <w:ilvl w:val="1"/>
          <w:numId w:val="24"/>
        </w:numPr>
      </w:pPr>
      <w:bookmarkStart w:id="50" w:name="_Toc492984867"/>
      <w:r>
        <w:lastRenderedPageBreak/>
        <w:t>Other provisions</w:t>
      </w:r>
      <w:bookmarkEnd w:id="50"/>
    </w:p>
    <w:p w:rsidR="00BB6F1F" w:rsidRPr="002A69A9" w:rsidRDefault="00BB6F1F" w:rsidP="00AC68FF">
      <w:pPr>
        <w:pStyle w:val="TableUnits"/>
        <w:rPr>
          <w:bCs/>
          <w:lang w:val="en-US"/>
        </w:rPr>
      </w:pPr>
      <w:r>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2A69A9"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2A69A9" w:rsidRDefault="00BB6F1F" w:rsidP="00AC68FF">
            <w:pPr>
              <w:autoSpaceDE w:val="0"/>
              <w:autoSpaceDN w:val="0"/>
              <w:adjustRightInd w:val="0"/>
              <w:rPr>
                <w:rFonts w:eastAsiaTheme="minorEastAsia" w:cs="Calibri"/>
                <w:iCs/>
                <w:color w:val="FFFFFF"/>
                <w:lang w:eastAsia="en-AU"/>
              </w:rPr>
            </w:pPr>
            <w:r w:rsidRPr="002A69A9">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2A69A9"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2A69A9">
              <w:rPr>
                <w:rFonts w:eastAsiaTheme="minorEastAsia" w:cs="Calibri"/>
                <w:iCs/>
                <w:color w:val="FFFFFF"/>
                <w:szCs w:val="16"/>
                <w:lang w:eastAsia="en-AU"/>
              </w:rPr>
              <w:t>State of Victoria</w:t>
            </w:r>
          </w:p>
        </w:tc>
        <w:tc>
          <w:tcPr>
            <w:tcW w:w="1814" w:type="dxa"/>
            <w:gridSpan w:val="2"/>
            <w:tcBorders>
              <w:top w:val="nil"/>
              <w:left w:val="nil"/>
              <w:bottom w:val="nil"/>
              <w:right w:val="nil"/>
            </w:tcBorders>
            <w:shd w:val="solid" w:color="000000" w:fill="auto"/>
          </w:tcPr>
          <w:p w:rsidR="00BB6F1F" w:rsidRPr="002A69A9"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2A69A9">
              <w:rPr>
                <w:rFonts w:eastAsiaTheme="minorEastAsia" w:cs="Calibri"/>
                <w:iCs/>
                <w:color w:val="FFFFFF"/>
                <w:szCs w:val="16"/>
                <w:lang w:eastAsia="en-AU"/>
              </w:rPr>
              <w:t xml:space="preserve">General </w:t>
            </w:r>
            <w:r>
              <w:rPr>
                <w:rFonts w:eastAsiaTheme="minorEastAsia" w:cs="Calibri"/>
                <w:iCs/>
                <w:color w:val="FFFFFF"/>
                <w:szCs w:val="16"/>
                <w:lang w:eastAsia="en-AU"/>
              </w:rPr>
              <w:br/>
            </w:r>
            <w:r w:rsidRPr="002A69A9">
              <w:rPr>
                <w:rFonts w:eastAsiaTheme="minorEastAsia" w:cs="Calibri"/>
                <w:iCs/>
                <w:color w:val="FFFFFF"/>
                <w:szCs w:val="16"/>
                <w:lang w:eastAsia="en-AU"/>
              </w:rPr>
              <w:t>government sector</w:t>
            </w:r>
          </w:p>
        </w:tc>
      </w:tr>
      <w:tr w:rsidR="00BB6F1F" w:rsidRPr="002A69A9"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2A69A9" w:rsidRDefault="00BB6F1F" w:rsidP="00AC68FF">
            <w:pPr>
              <w:keepLines w:val="0"/>
              <w:autoSpaceDE w:val="0"/>
              <w:autoSpaceDN w:val="0"/>
              <w:adjustRightInd w:val="0"/>
              <w:rPr>
                <w:rFonts w:eastAsiaTheme="minorEastAsia" w:cs="Calibri"/>
                <w:iCs/>
                <w:color w:val="FFFFFF"/>
                <w:lang w:eastAsia="en-AU"/>
              </w:rPr>
            </w:pPr>
            <w:r w:rsidRPr="002A69A9">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2A69A9"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2A69A9">
              <w:rPr>
                <w:rFonts w:eastAsiaTheme="minorEastAsia" w:cs="Calibri"/>
                <w:iCs/>
                <w:color w:val="FFFFFF"/>
                <w:szCs w:val="16"/>
                <w:lang w:eastAsia="en-AU"/>
              </w:rPr>
              <w:t>2017</w:t>
            </w:r>
          </w:p>
        </w:tc>
        <w:tc>
          <w:tcPr>
            <w:tcW w:w="907" w:type="dxa"/>
            <w:tcBorders>
              <w:top w:val="nil"/>
              <w:left w:val="nil"/>
              <w:bottom w:val="nil"/>
              <w:right w:val="nil"/>
            </w:tcBorders>
            <w:shd w:val="solid" w:color="000000" w:fill="auto"/>
          </w:tcPr>
          <w:p w:rsidR="00BB6F1F" w:rsidRPr="002A69A9"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2A69A9">
              <w:rPr>
                <w:rFonts w:eastAsiaTheme="minorEastAsia" w:cs="Calibri"/>
                <w:iCs/>
                <w:color w:val="FFFFFF"/>
                <w:szCs w:val="16"/>
                <w:lang w:eastAsia="en-AU"/>
              </w:rPr>
              <w:t>2016</w:t>
            </w:r>
          </w:p>
        </w:tc>
        <w:tc>
          <w:tcPr>
            <w:tcW w:w="907" w:type="dxa"/>
            <w:tcBorders>
              <w:top w:val="nil"/>
              <w:left w:val="nil"/>
              <w:bottom w:val="nil"/>
              <w:right w:val="nil"/>
            </w:tcBorders>
            <w:shd w:val="solid" w:color="000000" w:fill="auto"/>
          </w:tcPr>
          <w:p w:rsidR="00BB6F1F" w:rsidRPr="002A69A9"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2A69A9">
              <w:rPr>
                <w:rFonts w:eastAsiaTheme="minorEastAsia" w:cs="Calibri"/>
                <w:iCs/>
                <w:color w:val="FFFFFF"/>
                <w:szCs w:val="16"/>
                <w:lang w:eastAsia="en-AU"/>
              </w:rPr>
              <w:t>2017</w:t>
            </w:r>
          </w:p>
        </w:tc>
        <w:tc>
          <w:tcPr>
            <w:tcW w:w="907" w:type="dxa"/>
            <w:tcBorders>
              <w:top w:val="nil"/>
              <w:left w:val="nil"/>
              <w:bottom w:val="nil"/>
              <w:right w:val="nil"/>
            </w:tcBorders>
            <w:shd w:val="solid" w:color="000000" w:fill="auto"/>
          </w:tcPr>
          <w:p w:rsidR="00BB6F1F" w:rsidRPr="002A69A9"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2A69A9">
              <w:rPr>
                <w:rFonts w:eastAsiaTheme="minorEastAsia" w:cs="Calibri"/>
                <w:iCs/>
                <w:color w:val="FFFFFF"/>
                <w:szCs w:val="16"/>
                <w:lang w:eastAsia="en-AU"/>
              </w:rPr>
              <w:t>2016</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2A69A9" w:rsidRDefault="00BB6F1F" w:rsidP="00AC68FF">
            <w:pPr>
              <w:keepLines w:val="0"/>
              <w:autoSpaceDE w:val="0"/>
              <w:autoSpaceDN w:val="0"/>
              <w:adjustRightInd w:val="0"/>
              <w:rPr>
                <w:rFonts w:eastAsiaTheme="minorEastAsia" w:cs="Calibri"/>
                <w:b/>
                <w:bCs/>
                <w:color w:val="000000"/>
                <w:szCs w:val="16"/>
                <w:lang w:eastAsia="en-AU"/>
              </w:rPr>
            </w:pPr>
            <w:r w:rsidRPr="002A69A9">
              <w:rPr>
                <w:rFonts w:eastAsiaTheme="minorEastAsia" w:cs="Calibri"/>
                <w:b/>
                <w:bCs/>
                <w:color w:val="000000"/>
                <w:szCs w:val="16"/>
                <w:lang w:eastAsia="en-AU"/>
              </w:rPr>
              <w:t>Provision for insurance claims</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2A69A9">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2A69A9">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2A69A9">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2A69A9">
              <w:rPr>
                <w:rFonts w:eastAsiaTheme="minorEastAsia" w:cs="Calibri"/>
                <w:b/>
                <w:bCs/>
                <w:color w:val="000000"/>
                <w:lang w:eastAsia="en-AU"/>
              </w:rPr>
              <w:t xml:space="preserve"> </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2A69A9" w:rsidRDefault="00BB6F1F" w:rsidP="00AC68FF">
            <w:pPr>
              <w:keepLines w:val="0"/>
              <w:autoSpaceDE w:val="0"/>
              <w:autoSpaceDN w:val="0"/>
              <w:adjustRightInd w:val="0"/>
              <w:rPr>
                <w:rFonts w:eastAsiaTheme="minorEastAsia" w:cs="Calibri"/>
                <w:color w:val="000000"/>
                <w:szCs w:val="16"/>
                <w:lang w:eastAsia="en-AU"/>
              </w:rPr>
            </w:pPr>
            <w:proofErr w:type="spellStart"/>
            <w:r w:rsidRPr="002A69A9">
              <w:rPr>
                <w:rFonts w:eastAsiaTheme="minorEastAsia" w:cs="Calibri"/>
                <w:color w:val="000000"/>
                <w:szCs w:val="16"/>
                <w:lang w:eastAsia="en-AU"/>
              </w:rPr>
              <w:t>WorkSafe</w:t>
            </w:r>
            <w:proofErr w:type="spellEnd"/>
            <w:r w:rsidRPr="002A69A9">
              <w:rPr>
                <w:rFonts w:eastAsiaTheme="minorEastAsia" w:cs="Calibri"/>
                <w:color w:val="000000"/>
                <w:szCs w:val="16"/>
                <w:lang w:eastAsia="en-AU"/>
              </w:rPr>
              <w:t xml:space="preserve"> Victoria</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1 941</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1 839</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2A69A9" w:rsidRDefault="00BB6F1F" w:rsidP="00AC68FF">
            <w:pPr>
              <w:keepLines w:val="0"/>
              <w:autoSpaceDE w:val="0"/>
              <w:autoSpaceDN w:val="0"/>
              <w:adjustRightInd w:val="0"/>
              <w:rPr>
                <w:rFonts w:eastAsiaTheme="minorEastAsia" w:cs="Calibri"/>
                <w:color w:val="000000"/>
                <w:szCs w:val="16"/>
                <w:lang w:eastAsia="en-AU"/>
              </w:rPr>
            </w:pPr>
            <w:r w:rsidRPr="002A69A9">
              <w:rPr>
                <w:rFonts w:eastAsiaTheme="minorEastAsia" w:cs="Calibri"/>
                <w:color w:val="000000"/>
                <w:szCs w:val="16"/>
                <w:lang w:eastAsia="en-AU"/>
              </w:rPr>
              <w:t>Transport Accident Commission</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1 251</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1 180</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2A69A9" w:rsidRDefault="00BB6F1F" w:rsidP="00AC68FF">
            <w:pPr>
              <w:keepLines w:val="0"/>
              <w:autoSpaceDE w:val="0"/>
              <w:autoSpaceDN w:val="0"/>
              <w:adjustRightInd w:val="0"/>
              <w:rPr>
                <w:rFonts w:eastAsiaTheme="minorEastAsia" w:cs="Calibri"/>
                <w:color w:val="000000"/>
                <w:szCs w:val="16"/>
                <w:lang w:eastAsia="en-AU"/>
              </w:rPr>
            </w:pPr>
            <w:r w:rsidRPr="002A69A9">
              <w:rPr>
                <w:rFonts w:eastAsiaTheme="minorEastAsia" w:cs="Calibri"/>
                <w:color w:val="000000"/>
                <w:szCs w:val="16"/>
                <w:lang w:eastAsia="en-AU"/>
              </w:rPr>
              <w:t>Victorian Managed Insurance Authority</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321</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292</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000000"/>
              <w:right w:val="nil"/>
            </w:tcBorders>
          </w:tcPr>
          <w:p w:rsidR="00BB6F1F" w:rsidRPr="002A69A9" w:rsidRDefault="00BB6F1F" w:rsidP="00AC68FF">
            <w:pPr>
              <w:keepLines w:val="0"/>
              <w:autoSpaceDE w:val="0"/>
              <w:autoSpaceDN w:val="0"/>
              <w:adjustRightInd w:val="0"/>
              <w:rPr>
                <w:rFonts w:eastAsiaTheme="minorEastAsia" w:cs="Calibri"/>
                <w:color w:val="000000"/>
                <w:szCs w:val="16"/>
                <w:lang w:eastAsia="en-AU"/>
              </w:rPr>
            </w:pPr>
            <w:r w:rsidRPr="002A69A9">
              <w:rPr>
                <w:rFonts w:eastAsiaTheme="minorEastAsia" w:cs="Calibri"/>
                <w:color w:val="000000"/>
                <w:szCs w:val="16"/>
                <w:lang w:eastAsia="en-AU"/>
              </w:rPr>
              <w:t>Other agencies</w:t>
            </w:r>
          </w:p>
        </w:tc>
        <w:tc>
          <w:tcPr>
            <w:tcW w:w="907" w:type="dxa"/>
            <w:tcBorders>
              <w:top w:val="nil"/>
              <w:left w:val="nil"/>
              <w:bottom w:val="single" w:sz="6" w:space="0" w:color="000000"/>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23</w:t>
            </w:r>
          </w:p>
        </w:tc>
        <w:tc>
          <w:tcPr>
            <w:tcW w:w="907" w:type="dxa"/>
            <w:tcBorders>
              <w:top w:val="nil"/>
              <w:left w:val="nil"/>
              <w:bottom w:val="single" w:sz="6" w:space="0" w:color="000000"/>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22</w:t>
            </w:r>
          </w:p>
        </w:tc>
        <w:tc>
          <w:tcPr>
            <w:tcW w:w="907" w:type="dxa"/>
            <w:tcBorders>
              <w:top w:val="nil"/>
              <w:left w:val="nil"/>
              <w:bottom w:val="single" w:sz="6" w:space="0" w:color="000000"/>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w:t>
            </w:r>
          </w:p>
        </w:tc>
        <w:tc>
          <w:tcPr>
            <w:tcW w:w="907" w:type="dxa"/>
            <w:tcBorders>
              <w:top w:val="nil"/>
              <w:left w:val="nil"/>
              <w:bottom w:val="single" w:sz="6" w:space="0" w:color="000000"/>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18</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2A69A9" w:rsidRDefault="00BB6F1F" w:rsidP="00AC68FF">
            <w:pPr>
              <w:keepLines w:val="0"/>
              <w:autoSpaceDE w:val="0"/>
              <w:autoSpaceDN w:val="0"/>
              <w:adjustRightInd w:val="0"/>
              <w:rPr>
                <w:rFonts w:eastAsiaTheme="minorEastAsia" w:cs="Calibri"/>
                <w:b/>
                <w:bCs/>
                <w:color w:val="000000"/>
                <w:szCs w:val="16"/>
                <w:lang w:eastAsia="en-AU"/>
              </w:rPr>
            </w:pPr>
            <w:r w:rsidRPr="002A69A9">
              <w:rPr>
                <w:rFonts w:eastAsiaTheme="minorEastAsia" w:cs="Calibri"/>
                <w:b/>
                <w:bCs/>
                <w:color w:val="000000"/>
                <w:szCs w:val="16"/>
                <w:lang w:eastAsia="en-AU"/>
              </w:rPr>
              <w:t>Current provision for insurance claims</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2A69A9">
              <w:rPr>
                <w:rFonts w:eastAsiaTheme="minorEastAsia" w:cs="Calibri"/>
                <w:b/>
                <w:bCs/>
                <w:color w:val="000000"/>
                <w:szCs w:val="16"/>
                <w:lang w:eastAsia="en-AU"/>
              </w:rPr>
              <w:t>3 536</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2A69A9">
              <w:rPr>
                <w:rFonts w:eastAsiaTheme="minorEastAsia" w:cs="Calibri"/>
                <w:b/>
                <w:bCs/>
                <w:color w:val="000000"/>
                <w:szCs w:val="16"/>
                <w:lang w:eastAsia="en-AU"/>
              </w:rPr>
              <w:t>3 333</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19</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18</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2A69A9" w:rsidRDefault="00BB6F1F" w:rsidP="00AC68FF">
            <w:pPr>
              <w:keepLines w:val="0"/>
              <w:autoSpaceDE w:val="0"/>
              <w:autoSpaceDN w:val="0"/>
              <w:adjustRightInd w:val="0"/>
              <w:rPr>
                <w:rFonts w:eastAsiaTheme="minorEastAsia" w:cs="Calibri"/>
                <w:color w:val="000000"/>
                <w:szCs w:val="16"/>
                <w:lang w:eastAsia="en-AU"/>
              </w:rPr>
            </w:pPr>
            <w:r w:rsidRPr="002A69A9">
              <w:rPr>
                <w:rFonts w:eastAsiaTheme="minorEastAsia" w:cs="Calibri"/>
                <w:color w:val="000000"/>
                <w:szCs w:val="16"/>
                <w:lang w:eastAsia="en-AU"/>
              </w:rPr>
              <w:t>Onerous contracts</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49</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000000"/>
              <w:right w:val="nil"/>
            </w:tcBorders>
          </w:tcPr>
          <w:p w:rsidR="00BB6F1F" w:rsidRPr="002A69A9" w:rsidRDefault="00BB6F1F" w:rsidP="00AC68FF">
            <w:pPr>
              <w:keepLines w:val="0"/>
              <w:autoSpaceDE w:val="0"/>
              <w:autoSpaceDN w:val="0"/>
              <w:adjustRightInd w:val="0"/>
              <w:rPr>
                <w:rFonts w:eastAsiaTheme="minorEastAsia" w:cs="Calibri"/>
                <w:color w:val="000000"/>
                <w:szCs w:val="16"/>
                <w:lang w:eastAsia="en-AU"/>
              </w:rPr>
            </w:pPr>
            <w:r w:rsidRPr="002A69A9">
              <w:rPr>
                <w:rFonts w:eastAsiaTheme="minorEastAsia" w:cs="Calibri"/>
                <w:color w:val="000000"/>
                <w:szCs w:val="16"/>
                <w:lang w:eastAsia="en-AU"/>
              </w:rPr>
              <w:t>Other provisions</w:t>
            </w:r>
          </w:p>
        </w:tc>
        <w:tc>
          <w:tcPr>
            <w:tcW w:w="907" w:type="dxa"/>
            <w:tcBorders>
              <w:top w:val="nil"/>
              <w:left w:val="nil"/>
              <w:bottom w:val="single" w:sz="6" w:space="0" w:color="000000"/>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865</w:t>
            </w:r>
          </w:p>
        </w:tc>
        <w:tc>
          <w:tcPr>
            <w:tcW w:w="907" w:type="dxa"/>
            <w:tcBorders>
              <w:top w:val="nil"/>
              <w:left w:val="nil"/>
              <w:bottom w:val="single" w:sz="6" w:space="0" w:color="000000"/>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346</w:t>
            </w:r>
          </w:p>
        </w:tc>
        <w:tc>
          <w:tcPr>
            <w:tcW w:w="907" w:type="dxa"/>
            <w:tcBorders>
              <w:top w:val="nil"/>
              <w:left w:val="nil"/>
              <w:bottom w:val="single" w:sz="6" w:space="0" w:color="000000"/>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745</w:t>
            </w:r>
          </w:p>
        </w:tc>
        <w:tc>
          <w:tcPr>
            <w:tcW w:w="907" w:type="dxa"/>
            <w:tcBorders>
              <w:top w:val="nil"/>
              <w:left w:val="nil"/>
              <w:bottom w:val="single" w:sz="6" w:space="0" w:color="000000"/>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207</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2A69A9" w:rsidRDefault="00BB6F1F" w:rsidP="00AC68FF">
            <w:pPr>
              <w:keepLines w:val="0"/>
              <w:autoSpaceDE w:val="0"/>
              <w:autoSpaceDN w:val="0"/>
              <w:adjustRightInd w:val="0"/>
              <w:rPr>
                <w:rFonts w:eastAsiaTheme="minorEastAsia" w:cs="Calibri"/>
                <w:b/>
                <w:bCs/>
                <w:color w:val="000000"/>
                <w:szCs w:val="16"/>
                <w:lang w:eastAsia="en-AU"/>
              </w:rPr>
            </w:pPr>
            <w:r w:rsidRPr="002A69A9">
              <w:rPr>
                <w:rFonts w:eastAsiaTheme="minorEastAsia" w:cs="Calibri"/>
                <w:b/>
                <w:bCs/>
                <w:color w:val="000000"/>
                <w:szCs w:val="16"/>
                <w:lang w:eastAsia="en-AU"/>
              </w:rPr>
              <w:t>Total current other provisions</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2A69A9">
              <w:rPr>
                <w:rFonts w:eastAsiaTheme="minorEastAsia" w:cs="Calibri"/>
                <w:b/>
                <w:bCs/>
                <w:color w:val="000000"/>
                <w:szCs w:val="16"/>
                <w:lang w:eastAsia="en-AU"/>
              </w:rPr>
              <w:t>4 401</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2A69A9">
              <w:rPr>
                <w:rFonts w:eastAsiaTheme="minorEastAsia" w:cs="Calibri"/>
                <w:b/>
                <w:bCs/>
                <w:color w:val="000000"/>
                <w:szCs w:val="16"/>
                <w:lang w:eastAsia="en-AU"/>
              </w:rPr>
              <w:t>3 728</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764</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225</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2A69A9" w:rsidRDefault="00BB6F1F" w:rsidP="00AC68FF">
            <w:pPr>
              <w:keepLines w:val="0"/>
              <w:autoSpaceDE w:val="0"/>
              <w:autoSpaceDN w:val="0"/>
              <w:adjustRightInd w:val="0"/>
              <w:rPr>
                <w:rFonts w:eastAsiaTheme="minorEastAsia" w:cs="Calibri"/>
                <w:b/>
                <w:bCs/>
                <w:color w:val="000000"/>
                <w:szCs w:val="16"/>
                <w:lang w:eastAsia="en-AU"/>
              </w:rPr>
            </w:pPr>
            <w:r w:rsidRPr="002A69A9">
              <w:rPr>
                <w:rFonts w:eastAsiaTheme="minorEastAsia" w:cs="Calibri"/>
                <w:b/>
                <w:bCs/>
                <w:color w:val="000000"/>
                <w:szCs w:val="16"/>
                <w:lang w:eastAsia="en-AU"/>
              </w:rPr>
              <w:t>Non-current provision for insurance claims</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2A69A9">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2A69A9">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2A69A9">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2A69A9">
              <w:rPr>
                <w:rFonts w:eastAsiaTheme="minorEastAsia" w:cs="Calibri"/>
                <w:b/>
                <w:bCs/>
                <w:color w:val="000000"/>
                <w:lang w:eastAsia="en-AU"/>
              </w:rPr>
              <w:t xml:space="preserve"> </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2A69A9" w:rsidRDefault="00BB6F1F" w:rsidP="00AC68FF">
            <w:pPr>
              <w:keepLines w:val="0"/>
              <w:autoSpaceDE w:val="0"/>
              <w:autoSpaceDN w:val="0"/>
              <w:adjustRightInd w:val="0"/>
              <w:rPr>
                <w:rFonts w:eastAsiaTheme="minorEastAsia" w:cs="Calibri"/>
                <w:color w:val="000000"/>
                <w:szCs w:val="16"/>
                <w:lang w:eastAsia="en-AU"/>
              </w:rPr>
            </w:pPr>
            <w:proofErr w:type="spellStart"/>
            <w:r w:rsidRPr="002A69A9">
              <w:rPr>
                <w:rFonts w:eastAsiaTheme="minorEastAsia" w:cs="Calibri"/>
                <w:color w:val="000000"/>
                <w:szCs w:val="16"/>
                <w:lang w:eastAsia="en-AU"/>
              </w:rPr>
              <w:t>WorkSafe</w:t>
            </w:r>
            <w:proofErr w:type="spellEnd"/>
            <w:r w:rsidRPr="002A69A9">
              <w:rPr>
                <w:rFonts w:eastAsiaTheme="minorEastAsia" w:cs="Calibri"/>
                <w:color w:val="000000"/>
                <w:szCs w:val="16"/>
                <w:lang w:eastAsia="en-AU"/>
              </w:rPr>
              <w:t xml:space="preserve"> Victoria</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11 040</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10 501</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2A69A9" w:rsidRDefault="00BB6F1F" w:rsidP="00AC68FF">
            <w:pPr>
              <w:keepLines w:val="0"/>
              <w:autoSpaceDE w:val="0"/>
              <w:autoSpaceDN w:val="0"/>
              <w:adjustRightInd w:val="0"/>
              <w:rPr>
                <w:rFonts w:eastAsiaTheme="minorEastAsia" w:cs="Calibri"/>
                <w:color w:val="000000"/>
                <w:szCs w:val="16"/>
                <w:lang w:eastAsia="en-AU"/>
              </w:rPr>
            </w:pPr>
            <w:r w:rsidRPr="002A69A9">
              <w:rPr>
                <w:rFonts w:eastAsiaTheme="minorEastAsia" w:cs="Calibri"/>
                <w:color w:val="000000"/>
                <w:szCs w:val="16"/>
                <w:lang w:eastAsia="en-AU"/>
              </w:rPr>
              <w:t>Transport Accident Commission</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12 134</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12 721</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2A69A9" w:rsidRDefault="00BB6F1F" w:rsidP="00AC68FF">
            <w:pPr>
              <w:keepLines w:val="0"/>
              <w:autoSpaceDE w:val="0"/>
              <w:autoSpaceDN w:val="0"/>
              <w:adjustRightInd w:val="0"/>
              <w:rPr>
                <w:rFonts w:eastAsiaTheme="minorEastAsia" w:cs="Calibri"/>
                <w:color w:val="000000"/>
                <w:szCs w:val="16"/>
                <w:lang w:eastAsia="en-AU"/>
              </w:rPr>
            </w:pPr>
            <w:r w:rsidRPr="002A69A9">
              <w:rPr>
                <w:rFonts w:eastAsiaTheme="minorEastAsia" w:cs="Calibri"/>
                <w:color w:val="000000"/>
                <w:szCs w:val="16"/>
                <w:lang w:eastAsia="en-AU"/>
              </w:rPr>
              <w:t>Victorian Managed Insurance Authority</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1 426</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1 499</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2A69A9">
              <w:rPr>
                <w:rFonts w:eastAsiaTheme="minorEastAsia" w:cs="Calibri"/>
                <w:color w:val="000000"/>
                <w:szCs w:val="16"/>
                <w:lang w:eastAsia="en-AU"/>
              </w:rPr>
              <w:t>..</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000000"/>
              <w:right w:val="nil"/>
            </w:tcBorders>
          </w:tcPr>
          <w:p w:rsidR="00BB6F1F" w:rsidRPr="002A69A9" w:rsidRDefault="00BB6F1F" w:rsidP="00AC68FF">
            <w:pPr>
              <w:keepLines w:val="0"/>
              <w:autoSpaceDE w:val="0"/>
              <w:autoSpaceDN w:val="0"/>
              <w:adjustRightInd w:val="0"/>
              <w:rPr>
                <w:rFonts w:eastAsiaTheme="minorEastAsia" w:cs="Calibri"/>
                <w:color w:val="000000"/>
                <w:szCs w:val="16"/>
                <w:lang w:eastAsia="en-AU"/>
              </w:rPr>
            </w:pPr>
            <w:r w:rsidRPr="002A69A9">
              <w:rPr>
                <w:rFonts w:eastAsiaTheme="minorEastAsia" w:cs="Calibri"/>
                <w:color w:val="000000"/>
                <w:szCs w:val="16"/>
                <w:lang w:eastAsia="en-AU"/>
              </w:rPr>
              <w:t>Other agencies</w:t>
            </w:r>
          </w:p>
        </w:tc>
        <w:tc>
          <w:tcPr>
            <w:tcW w:w="907" w:type="dxa"/>
            <w:tcBorders>
              <w:top w:val="nil"/>
              <w:left w:val="nil"/>
              <w:bottom w:val="single" w:sz="6" w:space="0" w:color="000000"/>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30</w:t>
            </w:r>
          </w:p>
        </w:tc>
        <w:tc>
          <w:tcPr>
            <w:tcW w:w="907" w:type="dxa"/>
            <w:tcBorders>
              <w:top w:val="nil"/>
              <w:left w:val="nil"/>
              <w:bottom w:val="single" w:sz="6" w:space="0" w:color="000000"/>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34</w:t>
            </w:r>
          </w:p>
        </w:tc>
        <w:tc>
          <w:tcPr>
            <w:tcW w:w="907" w:type="dxa"/>
            <w:tcBorders>
              <w:top w:val="nil"/>
              <w:left w:val="nil"/>
              <w:bottom w:val="single" w:sz="6" w:space="0" w:color="000000"/>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29</w:t>
            </w:r>
          </w:p>
        </w:tc>
        <w:tc>
          <w:tcPr>
            <w:tcW w:w="907" w:type="dxa"/>
            <w:tcBorders>
              <w:top w:val="nil"/>
              <w:left w:val="nil"/>
              <w:bottom w:val="single" w:sz="6" w:space="0" w:color="000000"/>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33</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2A69A9" w:rsidRDefault="00BB6F1F" w:rsidP="00AC68FF">
            <w:pPr>
              <w:keepLines w:val="0"/>
              <w:autoSpaceDE w:val="0"/>
              <w:autoSpaceDN w:val="0"/>
              <w:adjustRightInd w:val="0"/>
              <w:rPr>
                <w:rFonts w:eastAsiaTheme="minorEastAsia" w:cs="Calibri"/>
                <w:b/>
                <w:bCs/>
                <w:color w:val="000000"/>
                <w:szCs w:val="16"/>
                <w:lang w:eastAsia="en-AU"/>
              </w:rPr>
            </w:pPr>
            <w:r w:rsidRPr="002A69A9">
              <w:rPr>
                <w:rFonts w:eastAsiaTheme="minorEastAsia" w:cs="Calibri"/>
                <w:b/>
                <w:bCs/>
                <w:color w:val="000000"/>
                <w:szCs w:val="16"/>
                <w:lang w:eastAsia="en-AU"/>
              </w:rPr>
              <w:t>Non-current provision for insurance claims</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2A69A9">
              <w:rPr>
                <w:rFonts w:eastAsiaTheme="minorEastAsia" w:cs="Calibri"/>
                <w:b/>
                <w:bCs/>
                <w:color w:val="000000"/>
                <w:szCs w:val="16"/>
                <w:lang w:eastAsia="en-AU"/>
              </w:rPr>
              <w:t>24 629</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2A69A9">
              <w:rPr>
                <w:rFonts w:eastAsiaTheme="minorEastAsia" w:cs="Calibri"/>
                <w:b/>
                <w:bCs/>
                <w:color w:val="000000"/>
                <w:szCs w:val="16"/>
                <w:lang w:eastAsia="en-AU"/>
              </w:rPr>
              <w:t>24 754</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29</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33</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2A69A9" w:rsidRDefault="00BB6F1F" w:rsidP="00AC68FF">
            <w:pPr>
              <w:keepLines w:val="0"/>
              <w:autoSpaceDE w:val="0"/>
              <w:autoSpaceDN w:val="0"/>
              <w:adjustRightInd w:val="0"/>
              <w:rPr>
                <w:rFonts w:eastAsiaTheme="minorEastAsia" w:cs="Calibri"/>
                <w:color w:val="000000"/>
                <w:szCs w:val="16"/>
                <w:lang w:eastAsia="en-AU"/>
              </w:rPr>
            </w:pPr>
            <w:r w:rsidRPr="002A69A9">
              <w:rPr>
                <w:rFonts w:eastAsiaTheme="minorEastAsia" w:cs="Calibri"/>
                <w:color w:val="000000"/>
                <w:szCs w:val="16"/>
                <w:lang w:eastAsia="en-AU"/>
              </w:rPr>
              <w:t>Other provisions</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562</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603</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532</w:t>
            </w:r>
          </w:p>
        </w:tc>
        <w:tc>
          <w:tcPr>
            <w:tcW w:w="907"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571</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nil"/>
              <w:right w:val="nil"/>
            </w:tcBorders>
          </w:tcPr>
          <w:p w:rsidR="00BB6F1F" w:rsidRPr="002A69A9" w:rsidRDefault="00BB6F1F" w:rsidP="00AC68FF">
            <w:pPr>
              <w:keepLines w:val="0"/>
              <w:autoSpaceDE w:val="0"/>
              <w:autoSpaceDN w:val="0"/>
              <w:adjustRightInd w:val="0"/>
              <w:rPr>
                <w:rFonts w:eastAsiaTheme="minorEastAsia" w:cs="Calibri"/>
                <w:b/>
                <w:bCs/>
                <w:color w:val="000000"/>
                <w:szCs w:val="16"/>
                <w:lang w:eastAsia="en-AU"/>
              </w:rPr>
            </w:pPr>
            <w:r w:rsidRPr="002A69A9">
              <w:rPr>
                <w:rFonts w:eastAsiaTheme="minorEastAsia" w:cs="Calibri"/>
                <w:b/>
                <w:bCs/>
                <w:color w:val="000000"/>
                <w:szCs w:val="16"/>
                <w:lang w:eastAsia="en-AU"/>
              </w:rPr>
              <w:t>Total non-current other provisions</w:t>
            </w:r>
          </w:p>
        </w:tc>
        <w:tc>
          <w:tcPr>
            <w:tcW w:w="907" w:type="dxa"/>
            <w:tcBorders>
              <w:top w:val="single" w:sz="6" w:space="0" w:color="000000"/>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2A69A9">
              <w:rPr>
                <w:rFonts w:eastAsiaTheme="minorEastAsia" w:cs="Calibri"/>
                <w:b/>
                <w:bCs/>
                <w:color w:val="000000"/>
                <w:szCs w:val="16"/>
                <w:lang w:eastAsia="en-AU"/>
              </w:rPr>
              <w:t>25 191</w:t>
            </w:r>
          </w:p>
        </w:tc>
        <w:tc>
          <w:tcPr>
            <w:tcW w:w="907" w:type="dxa"/>
            <w:tcBorders>
              <w:top w:val="single" w:sz="6" w:space="0" w:color="000000"/>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2A69A9">
              <w:rPr>
                <w:rFonts w:eastAsiaTheme="minorEastAsia" w:cs="Calibri"/>
                <w:b/>
                <w:bCs/>
                <w:color w:val="000000"/>
                <w:szCs w:val="16"/>
                <w:lang w:eastAsia="en-AU"/>
              </w:rPr>
              <w:t>25 358</w:t>
            </w:r>
          </w:p>
        </w:tc>
        <w:tc>
          <w:tcPr>
            <w:tcW w:w="907" w:type="dxa"/>
            <w:tcBorders>
              <w:top w:val="single" w:sz="6" w:space="0" w:color="000000"/>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561</w:t>
            </w:r>
          </w:p>
        </w:tc>
        <w:tc>
          <w:tcPr>
            <w:tcW w:w="907" w:type="dxa"/>
            <w:tcBorders>
              <w:top w:val="single" w:sz="6" w:space="0" w:color="000000"/>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604</w:t>
            </w:r>
          </w:p>
        </w:tc>
      </w:tr>
      <w:tr w:rsidR="00BB6F1F" w:rsidRPr="002A69A9"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rsidR="00BB6F1F" w:rsidRPr="002A69A9" w:rsidRDefault="00BB6F1F" w:rsidP="00AC68FF">
            <w:pPr>
              <w:keepLines w:val="0"/>
              <w:autoSpaceDE w:val="0"/>
              <w:autoSpaceDN w:val="0"/>
              <w:adjustRightInd w:val="0"/>
              <w:rPr>
                <w:rFonts w:eastAsiaTheme="minorEastAsia" w:cs="Calibri"/>
                <w:bCs/>
                <w:color w:val="000000"/>
                <w:szCs w:val="16"/>
                <w:lang w:eastAsia="en-AU"/>
              </w:rPr>
            </w:pPr>
            <w:r w:rsidRPr="002A69A9">
              <w:rPr>
                <w:rFonts w:eastAsiaTheme="minorEastAsia" w:cs="Calibri"/>
                <w:bCs/>
                <w:color w:val="000000"/>
                <w:szCs w:val="16"/>
                <w:lang w:eastAsia="en-AU"/>
              </w:rPr>
              <w:t>Total other provisions</w:t>
            </w:r>
          </w:p>
        </w:tc>
        <w:tc>
          <w:tcPr>
            <w:tcW w:w="907" w:type="dxa"/>
            <w:tcBorders>
              <w:top w:val="single" w:sz="6" w:space="0" w:color="000000"/>
              <w:bottom w:val="single" w:sz="12" w:space="0" w:color="000000"/>
            </w:tcBorders>
          </w:tcPr>
          <w:p w:rsidR="00BB6F1F" w:rsidRPr="002A69A9"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2A69A9">
              <w:rPr>
                <w:rFonts w:eastAsiaTheme="minorEastAsia" w:cs="Calibri"/>
                <w:bCs/>
                <w:color w:val="000000"/>
                <w:szCs w:val="16"/>
                <w:lang w:eastAsia="en-AU"/>
              </w:rPr>
              <w:t>29 592</w:t>
            </w:r>
          </w:p>
        </w:tc>
        <w:tc>
          <w:tcPr>
            <w:tcW w:w="907" w:type="dxa"/>
            <w:tcBorders>
              <w:top w:val="single" w:sz="6" w:space="0" w:color="000000"/>
              <w:bottom w:val="single" w:sz="12" w:space="0" w:color="000000"/>
            </w:tcBorders>
          </w:tcPr>
          <w:p w:rsidR="00BB6F1F" w:rsidRPr="002A69A9"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2A69A9">
              <w:rPr>
                <w:rFonts w:eastAsiaTheme="minorEastAsia" w:cs="Calibri"/>
                <w:bCs/>
                <w:color w:val="000000"/>
                <w:szCs w:val="16"/>
                <w:lang w:eastAsia="en-AU"/>
              </w:rPr>
              <w:t>29 085</w:t>
            </w:r>
          </w:p>
        </w:tc>
        <w:tc>
          <w:tcPr>
            <w:tcW w:w="907" w:type="dxa"/>
            <w:tcBorders>
              <w:top w:val="single" w:sz="6" w:space="0" w:color="000000"/>
              <w:bottom w:val="single" w:sz="12" w:space="0" w:color="000000"/>
            </w:tcBorders>
          </w:tcPr>
          <w:p w:rsidR="00BB6F1F" w:rsidRPr="002A69A9"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2A69A9">
              <w:rPr>
                <w:rFonts w:eastAsiaTheme="minorEastAsia" w:cs="Calibri"/>
                <w:bCs/>
                <w:color w:val="000000"/>
                <w:szCs w:val="16"/>
                <w:lang w:eastAsia="en-AU"/>
              </w:rPr>
              <w:t>1 326</w:t>
            </w:r>
          </w:p>
        </w:tc>
        <w:tc>
          <w:tcPr>
            <w:tcW w:w="907" w:type="dxa"/>
            <w:tcBorders>
              <w:top w:val="single" w:sz="6" w:space="0" w:color="000000"/>
              <w:bottom w:val="single" w:sz="12" w:space="0" w:color="000000"/>
            </w:tcBorders>
          </w:tcPr>
          <w:p w:rsidR="00BB6F1F" w:rsidRPr="002A69A9"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829</w:t>
            </w:r>
          </w:p>
        </w:tc>
      </w:tr>
    </w:tbl>
    <w:p w:rsidR="00BB6F1F" w:rsidRDefault="00BB6F1F" w:rsidP="00AC68FF"/>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AC68FF">
      <w:pPr>
        <w:spacing w:before="40"/>
      </w:pPr>
      <w:r>
        <w:lastRenderedPageBreak/>
        <w:t>Other provisions are recognised when the State has a present obligation, the future sacrifice of economic benefits is probable, and the amount of the provision can be measured reliably.</w:t>
      </w:r>
    </w:p>
    <w:p w:rsidR="00BB6F1F" w:rsidRDefault="00BB6F1F" w:rsidP="00AC68FF">
      <w:r>
        <w:t>The amount recognised as a provision is the best estimate of the consideration required to settle the present obligation at reporting date, taking into account the risks and uncertainties surrounding the obligation.</w:t>
      </w:r>
    </w:p>
    <w:p w:rsidR="00BB6F1F" w:rsidRDefault="00BB6F1F" w:rsidP="00AC68FF">
      <w:r>
        <w:t>Where a provision is measured using the cash flows estimated to settle the present obligation, its carrying amount is the present value of those cash flows.</w:t>
      </w:r>
    </w:p>
    <w:p w:rsidR="00BB6F1F" w:rsidRDefault="00BB6F1F" w:rsidP="00AC68FF">
      <w:r>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rsidR="00BB6F1F" w:rsidRPr="0003431C" w:rsidRDefault="00BB6F1F" w:rsidP="00BB6F1F">
      <w:pPr>
        <w:pStyle w:val="Heading3"/>
        <w:spacing w:before="0"/>
      </w:pPr>
      <w:r w:rsidRPr="0003431C">
        <w:lastRenderedPageBreak/>
        <w:t>Insurance claims</w:t>
      </w:r>
    </w:p>
    <w:p w:rsidR="00BB6F1F" w:rsidRDefault="00BB6F1F" w:rsidP="00AC68FF">
      <w:pPr>
        <w:pStyle w:val="Heading4"/>
      </w:pPr>
      <w:r>
        <w:t>Assumptions used in measurement of liability for outstanding insurance claims</w:t>
      </w:r>
    </w:p>
    <w:p w:rsidR="00BB6F1F" w:rsidRDefault="00BB6F1F" w:rsidP="00AC68FF">
      <w:r>
        <w:t xml:space="preserve">The liability for outstanding insurance claims is independently assessed by actuaries. It covers claims reported but not yet paid, claims incurred but not yet reported, and the anticipated costs of settling those claims. Due to the inherent uncertainty in the estimate of the outstanding insurance claims, a risk margin is included. The risk margin is set to increase the probability that the liability estimate will be sufficient. </w:t>
      </w:r>
    </w:p>
    <w:p w:rsidR="00BB6F1F" w:rsidRDefault="00BB6F1F" w:rsidP="00AC68FF">
      <w:r>
        <w:t>The actuaries take into account projected inflation and other factors to arrive at expected future payments. These are then discounted at the reporting date using a market determined, risk-free discount rate.</w:t>
      </w:r>
    </w:p>
    <w:p w:rsidR="00BB6F1F" w:rsidRDefault="00BB6F1F" w:rsidP="00AC68FF">
      <w:r>
        <w:t>The disclosed assumptions are used in the measurement of the liability for outstanding insurance claims on the basis of actuarially estimated costs of future claims payments, which are discounted to a present value at balance sheet date.</w:t>
      </w:r>
    </w:p>
    <w:p w:rsidR="00BB6F1F" w:rsidRDefault="00BB6F1F">
      <w:pPr>
        <w:keepLines w:val="0"/>
        <w:sectPr w:rsidR="00BB6F1F" w:rsidSect="00AC68FF">
          <w:type w:val="continuous"/>
          <w:pgSz w:w="11907" w:h="16839" w:code="9"/>
          <w:pgMar w:top="1134" w:right="1134" w:bottom="1134" w:left="1134" w:header="624" w:footer="567" w:gutter="0"/>
          <w:cols w:num="2" w:space="709"/>
          <w:docGrid w:linePitch="360"/>
        </w:sectPr>
      </w:pPr>
    </w:p>
    <w:p w:rsidR="00BB6F1F" w:rsidRDefault="00BB6F1F">
      <w:pPr>
        <w:keepLines w:val="0"/>
        <w:rPr>
          <w:rFonts w:asciiTheme="majorHAnsi" w:hAnsiTheme="majorHAnsi"/>
          <w:b/>
          <w:sz w:val="20"/>
          <w:szCs w:val="20"/>
        </w:rPr>
      </w:pPr>
      <w:r>
        <w:lastRenderedPageBreak/>
        <w:br w:type="page"/>
      </w:r>
    </w:p>
    <w:p w:rsidR="00BB6F1F" w:rsidRPr="002A69A9" w:rsidRDefault="00BB6F1F" w:rsidP="00AC68FF">
      <w:pPr>
        <w:pStyle w:val="TableHeading"/>
        <w:rPr>
          <w:bCs/>
          <w:lang w:val="en-US"/>
        </w:rPr>
      </w:pPr>
      <w:r>
        <w:lastRenderedPageBreak/>
        <w:t xml:space="preserve">Reconciliation of movements in insurance claims </w:t>
      </w:r>
      <w:r w:rsidRPr="009F4033">
        <w:rPr>
          <w:vertAlign w:val="superscript"/>
        </w:rPr>
        <w:t>(a)</w:t>
      </w:r>
      <w:r>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370"/>
        <w:gridCol w:w="1134"/>
        <w:gridCol w:w="1134"/>
      </w:tblGrid>
      <w:tr w:rsidR="00BB6F1F" w:rsidRPr="002A69A9"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0" w:type="dxa"/>
            <w:tcBorders>
              <w:top w:val="nil"/>
              <w:left w:val="nil"/>
              <w:bottom w:val="nil"/>
              <w:right w:val="nil"/>
            </w:tcBorders>
            <w:shd w:val="solid" w:color="000000" w:fill="auto"/>
          </w:tcPr>
          <w:p w:rsidR="00BB6F1F" w:rsidRPr="002A69A9" w:rsidRDefault="00BB6F1F" w:rsidP="00AC68FF">
            <w:pPr>
              <w:autoSpaceDE w:val="0"/>
              <w:autoSpaceDN w:val="0"/>
              <w:adjustRightInd w:val="0"/>
              <w:rPr>
                <w:rFonts w:eastAsiaTheme="minorEastAsia" w:cs="Calibri"/>
                <w:color w:val="FFFFFF"/>
                <w:lang w:eastAsia="en-AU"/>
              </w:rPr>
            </w:pPr>
            <w:r w:rsidRPr="002A69A9">
              <w:rPr>
                <w:rFonts w:eastAsiaTheme="minorEastAsia" w:cs="Calibri"/>
                <w:color w:val="FFFFFF"/>
                <w:lang w:eastAsia="en-AU"/>
              </w:rPr>
              <w:t xml:space="preserve"> </w:t>
            </w:r>
          </w:p>
        </w:tc>
        <w:tc>
          <w:tcPr>
            <w:tcW w:w="2268" w:type="dxa"/>
            <w:gridSpan w:val="2"/>
            <w:tcBorders>
              <w:top w:val="single" w:sz="6" w:space="0" w:color="auto"/>
              <w:left w:val="nil"/>
              <w:bottom w:val="nil"/>
              <w:right w:val="nil"/>
            </w:tcBorders>
            <w:shd w:val="solid" w:color="000000" w:fill="auto"/>
          </w:tcPr>
          <w:p w:rsidR="00BB6F1F" w:rsidRPr="002A69A9"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2A69A9">
              <w:rPr>
                <w:rFonts w:eastAsiaTheme="minorEastAsia" w:cs="Calibri"/>
                <w:iCs/>
                <w:color w:val="FFFFFF"/>
                <w:lang w:eastAsia="en-AU"/>
              </w:rPr>
              <w:t>State of Victoria</w:t>
            </w:r>
          </w:p>
        </w:tc>
      </w:tr>
      <w:tr w:rsidR="00BB6F1F" w:rsidRPr="002A69A9"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0" w:type="dxa"/>
            <w:tcBorders>
              <w:top w:val="nil"/>
              <w:left w:val="nil"/>
              <w:bottom w:val="nil"/>
              <w:right w:val="nil"/>
            </w:tcBorders>
            <w:shd w:val="solid" w:color="000000" w:fill="auto"/>
          </w:tcPr>
          <w:p w:rsidR="00BB6F1F" w:rsidRPr="002A69A9" w:rsidRDefault="00BB6F1F" w:rsidP="00AC68FF">
            <w:pPr>
              <w:keepLines w:val="0"/>
              <w:autoSpaceDE w:val="0"/>
              <w:autoSpaceDN w:val="0"/>
              <w:adjustRightInd w:val="0"/>
              <w:rPr>
                <w:rFonts w:eastAsiaTheme="minorEastAsia" w:cs="Calibri"/>
                <w:color w:val="FFFFFF"/>
                <w:lang w:eastAsia="en-AU"/>
              </w:rPr>
            </w:pPr>
            <w:r w:rsidRPr="002A69A9">
              <w:rPr>
                <w:rFonts w:eastAsiaTheme="minorEastAsia" w:cs="Calibri"/>
                <w:color w:val="FFFFFF"/>
                <w:lang w:eastAsia="en-AU"/>
              </w:rPr>
              <w:t xml:space="preserve"> </w:t>
            </w:r>
          </w:p>
        </w:tc>
        <w:tc>
          <w:tcPr>
            <w:tcW w:w="1134" w:type="dxa"/>
            <w:tcBorders>
              <w:top w:val="nil"/>
              <w:left w:val="nil"/>
              <w:bottom w:val="nil"/>
              <w:right w:val="nil"/>
            </w:tcBorders>
            <w:shd w:val="solid" w:color="000000" w:fill="auto"/>
          </w:tcPr>
          <w:p w:rsidR="00BB6F1F" w:rsidRPr="002A69A9"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2A69A9">
              <w:rPr>
                <w:rFonts w:eastAsiaTheme="minorEastAsia" w:cs="Calibri"/>
                <w:iCs/>
                <w:color w:val="FFFFFF"/>
                <w:lang w:eastAsia="en-AU"/>
              </w:rPr>
              <w:t>2017</w:t>
            </w:r>
          </w:p>
        </w:tc>
        <w:tc>
          <w:tcPr>
            <w:tcW w:w="1134" w:type="dxa"/>
            <w:tcBorders>
              <w:top w:val="nil"/>
              <w:left w:val="nil"/>
              <w:bottom w:val="nil"/>
              <w:right w:val="nil"/>
            </w:tcBorders>
            <w:shd w:val="solid" w:color="000000" w:fill="auto"/>
          </w:tcPr>
          <w:p w:rsidR="00BB6F1F" w:rsidRPr="002A69A9"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2A69A9">
              <w:rPr>
                <w:rFonts w:eastAsiaTheme="minorEastAsia" w:cs="Calibri"/>
                <w:iCs/>
                <w:color w:val="FFFFFF"/>
                <w:lang w:eastAsia="en-AU"/>
              </w:rPr>
              <w:t>2016</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7370" w:type="dxa"/>
            <w:tcBorders>
              <w:top w:val="nil"/>
              <w:left w:val="nil"/>
              <w:bottom w:val="nil"/>
              <w:right w:val="nil"/>
            </w:tcBorders>
          </w:tcPr>
          <w:p w:rsidR="00BB6F1F" w:rsidRPr="002A69A9" w:rsidRDefault="00BB6F1F" w:rsidP="00AC68FF">
            <w:pPr>
              <w:keepLines w:val="0"/>
              <w:autoSpaceDE w:val="0"/>
              <w:autoSpaceDN w:val="0"/>
              <w:adjustRightInd w:val="0"/>
              <w:rPr>
                <w:rFonts w:eastAsiaTheme="minorEastAsia" w:cs="Calibri"/>
                <w:color w:val="000000"/>
                <w:lang w:eastAsia="en-AU"/>
              </w:rPr>
            </w:pPr>
            <w:r w:rsidRPr="002A69A9">
              <w:rPr>
                <w:rFonts w:eastAsiaTheme="minorEastAsia" w:cs="Calibri"/>
                <w:color w:val="000000"/>
                <w:lang w:eastAsia="en-AU"/>
              </w:rPr>
              <w:t>Opening balance</w:t>
            </w:r>
          </w:p>
        </w:tc>
        <w:tc>
          <w:tcPr>
            <w:tcW w:w="1134"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2A69A9">
              <w:rPr>
                <w:rFonts w:eastAsiaTheme="minorEastAsia" w:cs="Calibri"/>
                <w:color w:val="000000"/>
                <w:lang w:eastAsia="en-AU"/>
              </w:rPr>
              <w:t>28 088</w:t>
            </w:r>
          </w:p>
        </w:tc>
        <w:tc>
          <w:tcPr>
            <w:tcW w:w="1134"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2A69A9">
              <w:rPr>
                <w:rFonts w:eastAsiaTheme="minorEastAsia" w:cs="Calibri"/>
                <w:color w:val="000000"/>
                <w:lang w:eastAsia="en-AU"/>
              </w:rPr>
              <w:t>25 206</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7370" w:type="dxa"/>
            <w:tcBorders>
              <w:top w:val="nil"/>
              <w:left w:val="nil"/>
              <w:bottom w:val="nil"/>
              <w:right w:val="nil"/>
            </w:tcBorders>
          </w:tcPr>
          <w:p w:rsidR="00BB6F1F" w:rsidRPr="002A69A9" w:rsidRDefault="00BB6F1F" w:rsidP="00AC68FF">
            <w:pPr>
              <w:keepLines w:val="0"/>
              <w:autoSpaceDE w:val="0"/>
              <w:autoSpaceDN w:val="0"/>
              <w:adjustRightInd w:val="0"/>
              <w:rPr>
                <w:rFonts w:eastAsiaTheme="minorEastAsia" w:cs="Calibri"/>
                <w:color w:val="000000"/>
                <w:lang w:eastAsia="en-AU"/>
              </w:rPr>
            </w:pPr>
            <w:r w:rsidRPr="002A69A9">
              <w:rPr>
                <w:rFonts w:eastAsiaTheme="minorEastAsia" w:cs="Calibri"/>
                <w:color w:val="000000"/>
                <w:lang w:eastAsia="en-AU"/>
              </w:rPr>
              <w:t>Effect of changes in assumptions and claims experience</w:t>
            </w:r>
          </w:p>
        </w:tc>
        <w:tc>
          <w:tcPr>
            <w:tcW w:w="1134"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2A69A9">
              <w:rPr>
                <w:rFonts w:eastAsiaTheme="minorEastAsia" w:cs="Calibri"/>
                <w:color w:val="000000"/>
                <w:lang w:eastAsia="en-AU"/>
              </w:rPr>
              <w:t>(1 435)</w:t>
            </w:r>
          </w:p>
        </w:tc>
        <w:tc>
          <w:tcPr>
            <w:tcW w:w="1134"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2A69A9">
              <w:rPr>
                <w:rFonts w:eastAsiaTheme="minorEastAsia" w:cs="Calibri"/>
                <w:color w:val="000000"/>
                <w:lang w:eastAsia="en-AU"/>
              </w:rPr>
              <w:t>1 410</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7370" w:type="dxa"/>
            <w:tcBorders>
              <w:top w:val="nil"/>
              <w:left w:val="nil"/>
              <w:bottom w:val="nil"/>
              <w:right w:val="nil"/>
            </w:tcBorders>
          </w:tcPr>
          <w:p w:rsidR="00BB6F1F" w:rsidRPr="002A69A9" w:rsidRDefault="00BB6F1F" w:rsidP="00AC68FF">
            <w:pPr>
              <w:keepLines w:val="0"/>
              <w:autoSpaceDE w:val="0"/>
              <w:autoSpaceDN w:val="0"/>
              <w:adjustRightInd w:val="0"/>
              <w:rPr>
                <w:rFonts w:eastAsiaTheme="minorEastAsia" w:cs="Calibri"/>
                <w:color w:val="000000"/>
                <w:lang w:eastAsia="en-AU"/>
              </w:rPr>
            </w:pPr>
            <w:r w:rsidRPr="002A69A9">
              <w:rPr>
                <w:rFonts w:eastAsiaTheme="minorEastAsia" w:cs="Calibri"/>
                <w:color w:val="000000"/>
                <w:lang w:eastAsia="en-AU"/>
              </w:rPr>
              <w:t>Cost of prior year claims (unwinding of discount)</w:t>
            </w:r>
          </w:p>
        </w:tc>
        <w:tc>
          <w:tcPr>
            <w:tcW w:w="1134"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598</w:t>
            </w:r>
          </w:p>
        </w:tc>
        <w:tc>
          <w:tcPr>
            <w:tcW w:w="1134"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823</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7370" w:type="dxa"/>
            <w:tcBorders>
              <w:top w:val="nil"/>
              <w:left w:val="nil"/>
              <w:bottom w:val="nil"/>
              <w:right w:val="nil"/>
            </w:tcBorders>
          </w:tcPr>
          <w:p w:rsidR="00BB6F1F" w:rsidRPr="002A69A9" w:rsidRDefault="00BB6F1F" w:rsidP="00AC68FF">
            <w:pPr>
              <w:keepLines w:val="0"/>
              <w:autoSpaceDE w:val="0"/>
              <w:autoSpaceDN w:val="0"/>
              <w:adjustRightInd w:val="0"/>
              <w:rPr>
                <w:rFonts w:eastAsiaTheme="minorEastAsia" w:cs="Calibri"/>
                <w:color w:val="000000"/>
                <w:lang w:eastAsia="en-AU"/>
              </w:rPr>
            </w:pPr>
            <w:r w:rsidRPr="002A69A9">
              <w:rPr>
                <w:rFonts w:eastAsiaTheme="minorEastAsia" w:cs="Calibri"/>
                <w:color w:val="000000"/>
                <w:lang w:eastAsia="en-AU"/>
              </w:rPr>
              <w:t xml:space="preserve">Increase in claims incurred </w:t>
            </w:r>
            <w:r w:rsidRPr="002A69A9">
              <w:rPr>
                <w:rFonts w:eastAsiaTheme="minorEastAsia" w:cs="Calibri"/>
                <w:color w:val="000000"/>
                <w:vertAlign w:val="superscript"/>
                <w:lang w:eastAsia="en-AU"/>
              </w:rPr>
              <w:t>(b)</w:t>
            </w:r>
          </w:p>
        </w:tc>
        <w:tc>
          <w:tcPr>
            <w:tcW w:w="1134"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2A69A9">
              <w:rPr>
                <w:rFonts w:eastAsiaTheme="minorEastAsia" w:cs="Calibri"/>
                <w:color w:val="000000"/>
                <w:lang w:eastAsia="en-AU"/>
              </w:rPr>
              <w:t>4 986</w:t>
            </w:r>
          </w:p>
        </w:tc>
        <w:tc>
          <w:tcPr>
            <w:tcW w:w="1134"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2A69A9">
              <w:rPr>
                <w:rFonts w:eastAsiaTheme="minorEastAsia" w:cs="Calibri"/>
                <w:color w:val="000000"/>
                <w:lang w:eastAsia="en-AU"/>
              </w:rPr>
              <w:t>4 457</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7370" w:type="dxa"/>
            <w:tcBorders>
              <w:top w:val="nil"/>
              <w:left w:val="nil"/>
              <w:bottom w:val="nil"/>
              <w:right w:val="nil"/>
            </w:tcBorders>
          </w:tcPr>
          <w:p w:rsidR="00BB6F1F" w:rsidRPr="002A69A9" w:rsidRDefault="00BB6F1F" w:rsidP="00AC68FF">
            <w:pPr>
              <w:keepLines w:val="0"/>
              <w:autoSpaceDE w:val="0"/>
              <w:autoSpaceDN w:val="0"/>
              <w:adjustRightInd w:val="0"/>
              <w:rPr>
                <w:rFonts w:eastAsiaTheme="minorEastAsia" w:cs="Calibri"/>
                <w:color w:val="000000"/>
                <w:lang w:eastAsia="en-AU"/>
              </w:rPr>
            </w:pPr>
            <w:r w:rsidRPr="002A69A9">
              <w:rPr>
                <w:rFonts w:eastAsiaTheme="minorEastAsia" w:cs="Calibri"/>
                <w:color w:val="000000"/>
                <w:lang w:eastAsia="en-AU"/>
              </w:rPr>
              <w:t xml:space="preserve">Claim payments during the year </w:t>
            </w:r>
            <w:r w:rsidRPr="002A69A9">
              <w:rPr>
                <w:rFonts w:eastAsiaTheme="minorEastAsia" w:cs="Calibri"/>
                <w:color w:val="000000"/>
                <w:vertAlign w:val="superscript"/>
                <w:lang w:eastAsia="en-AU"/>
              </w:rPr>
              <w:t>(b)</w:t>
            </w:r>
          </w:p>
        </w:tc>
        <w:tc>
          <w:tcPr>
            <w:tcW w:w="1134"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2A69A9">
              <w:rPr>
                <w:rFonts w:eastAsiaTheme="minorEastAsia" w:cs="Calibri"/>
                <w:color w:val="000000"/>
                <w:lang w:eastAsia="en-AU"/>
              </w:rPr>
              <w:t>(3 363)</w:t>
            </w:r>
          </w:p>
        </w:tc>
        <w:tc>
          <w:tcPr>
            <w:tcW w:w="1134"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2A69A9">
              <w:rPr>
                <w:rFonts w:eastAsiaTheme="minorEastAsia" w:cs="Calibri"/>
                <w:color w:val="000000"/>
                <w:lang w:eastAsia="en-AU"/>
              </w:rPr>
              <w:t>(3 195)</w:t>
            </w:r>
          </w:p>
        </w:tc>
      </w:tr>
      <w:tr w:rsidR="00BB6F1F" w:rsidRPr="002A69A9" w:rsidTr="00AC68FF">
        <w:tc>
          <w:tcPr>
            <w:cnfStyle w:val="001000000000" w:firstRow="0" w:lastRow="0" w:firstColumn="1" w:lastColumn="0" w:oddVBand="0" w:evenVBand="0" w:oddHBand="0" w:evenHBand="0" w:firstRowFirstColumn="0" w:firstRowLastColumn="0" w:lastRowFirstColumn="0" w:lastRowLastColumn="0"/>
            <w:tcW w:w="7370" w:type="dxa"/>
            <w:tcBorders>
              <w:top w:val="nil"/>
              <w:left w:val="nil"/>
              <w:bottom w:val="nil"/>
              <w:right w:val="nil"/>
            </w:tcBorders>
          </w:tcPr>
          <w:p w:rsidR="00BB6F1F" w:rsidRPr="002A69A9" w:rsidRDefault="00BB6F1F" w:rsidP="00AC68FF">
            <w:pPr>
              <w:keepLines w:val="0"/>
              <w:autoSpaceDE w:val="0"/>
              <w:autoSpaceDN w:val="0"/>
              <w:adjustRightInd w:val="0"/>
              <w:rPr>
                <w:rFonts w:eastAsiaTheme="minorEastAsia" w:cs="Calibri"/>
                <w:color w:val="000000"/>
                <w:lang w:eastAsia="en-AU"/>
              </w:rPr>
            </w:pPr>
            <w:r w:rsidRPr="002A69A9">
              <w:rPr>
                <w:rFonts w:eastAsiaTheme="minorEastAsia" w:cs="Calibri"/>
                <w:color w:val="000000"/>
                <w:lang w:eastAsia="en-AU"/>
              </w:rPr>
              <w:t>Other</w:t>
            </w:r>
          </w:p>
        </w:tc>
        <w:tc>
          <w:tcPr>
            <w:tcW w:w="1134"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(708)</w:t>
            </w:r>
          </w:p>
        </w:tc>
        <w:tc>
          <w:tcPr>
            <w:tcW w:w="1134" w:type="dxa"/>
            <w:tcBorders>
              <w:top w:val="nil"/>
              <w:left w:val="nil"/>
              <w:bottom w:val="nil"/>
              <w:right w:val="nil"/>
            </w:tcBorders>
          </w:tcPr>
          <w:p w:rsidR="00BB6F1F" w:rsidRPr="002A69A9"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(613)</w:t>
            </w:r>
          </w:p>
        </w:tc>
      </w:tr>
      <w:tr w:rsidR="00BB6F1F" w:rsidRPr="002A69A9"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0" w:type="dxa"/>
            <w:tcBorders>
              <w:top w:val="single" w:sz="6" w:space="0" w:color="auto"/>
              <w:bottom w:val="single" w:sz="12" w:space="0" w:color="auto"/>
            </w:tcBorders>
          </w:tcPr>
          <w:p w:rsidR="00BB6F1F" w:rsidRPr="002A69A9" w:rsidRDefault="00BB6F1F" w:rsidP="00AC68FF">
            <w:pPr>
              <w:keepLines w:val="0"/>
              <w:autoSpaceDE w:val="0"/>
              <w:autoSpaceDN w:val="0"/>
              <w:adjustRightInd w:val="0"/>
              <w:rPr>
                <w:rFonts w:eastAsiaTheme="minorEastAsia" w:cs="Calibri"/>
                <w:bCs/>
                <w:color w:val="000000"/>
                <w:lang w:eastAsia="en-AU"/>
              </w:rPr>
            </w:pPr>
            <w:r w:rsidRPr="002A69A9">
              <w:rPr>
                <w:rFonts w:eastAsiaTheme="minorEastAsia" w:cs="Calibri"/>
                <w:bCs/>
                <w:color w:val="000000"/>
                <w:lang w:eastAsia="en-AU"/>
              </w:rPr>
              <w:t>Closing balance</w:t>
            </w:r>
          </w:p>
        </w:tc>
        <w:tc>
          <w:tcPr>
            <w:tcW w:w="1134" w:type="dxa"/>
            <w:tcBorders>
              <w:top w:val="single" w:sz="6" w:space="0" w:color="auto"/>
              <w:bottom w:val="single" w:sz="12" w:space="0" w:color="auto"/>
            </w:tcBorders>
          </w:tcPr>
          <w:p w:rsidR="00BB6F1F" w:rsidRPr="002A69A9"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2A69A9">
              <w:rPr>
                <w:rFonts w:eastAsiaTheme="minorEastAsia" w:cs="Calibri"/>
                <w:bCs/>
                <w:color w:val="000000"/>
                <w:lang w:eastAsia="en-AU"/>
              </w:rPr>
              <w:t>28 165</w:t>
            </w:r>
          </w:p>
        </w:tc>
        <w:tc>
          <w:tcPr>
            <w:tcW w:w="1134" w:type="dxa"/>
            <w:tcBorders>
              <w:top w:val="single" w:sz="6" w:space="0" w:color="auto"/>
              <w:bottom w:val="single" w:sz="12" w:space="0" w:color="auto"/>
            </w:tcBorders>
          </w:tcPr>
          <w:p w:rsidR="00BB6F1F" w:rsidRPr="002A69A9"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2A69A9">
              <w:rPr>
                <w:rFonts w:eastAsiaTheme="minorEastAsia" w:cs="Calibri"/>
                <w:bCs/>
                <w:color w:val="000000"/>
                <w:lang w:eastAsia="en-AU"/>
              </w:rPr>
              <w:t>28 088</w:t>
            </w:r>
          </w:p>
        </w:tc>
      </w:tr>
    </w:tbl>
    <w:p w:rsidR="00BB6F1F" w:rsidRDefault="00BB6F1F" w:rsidP="00AC68FF">
      <w:pPr>
        <w:pStyle w:val="Note"/>
      </w:pPr>
      <w:r>
        <w:t>Notes:</w:t>
      </w:r>
    </w:p>
    <w:p w:rsidR="00BB6F1F" w:rsidRDefault="00BB6F1F" w:rsidP="00AC68FF">
      <w:pPr>
        <w:pStyle w:val="Note"/>
      </w:pPr>
      <w:r>
        <w:t>(a)</w:t>
      </w:r>
      <w:r>
        <w:tab/>
      </w:r>
      <w:r w:rsidRPr="009F4033">
        <w:t xml:space="preserve">Reconciliation of movements in insurance claims is only disclosed for the whole of State as they are only material for </w:t>
      </w:r>
      <w:r>
        <w:t xml:space="preserve">the State’s insurance entities in the </w:t>
      </w:r>
      <w:r w:rsidRPr="009F4033">
        <w:t>public financial corporation</w:t>
      </w:r>
      <w:r>
        <w:t>s sector</w:t>
      </w:r>
      <w:r w:rsidRPr="009F4033">
        <w:t>.</w:t>
      </w:r>
    </w:p>
    <w:p w:rsidR="00BB6F1F" w:rsidRDefault="00BB6F1F" w:rsidP="00AC68FF">
      <w:pPr>
        <w:pStyle w:val="Note"/>
      </w:pPr>
      <w:r>
        <w:t>(b)</w:t>
      </w:r>
      <w:r>
        <w:tab/>
        <w:t>Claim payments and claims incurred during the year are net of recoveries.</w:t>
      </w:r>
    </w:p>
    <w:p w:rsidR="00BB6F1F" w:rsidRDefault="00BB6F1F" w:rsidP="00AC68FF">
      <w:pPr>
        <w:sectPr w:rsidR="00BB6F1F" w:rsidSect="00AC68FF">
          <w:headerReference w:type="even" r:id="rId88"/>
          <w:type w:val="continuous"/>
          <w:pgSz w:w="11907" w:h="16839" w:code="9"/>
          <w:pgMar w:top="1134" w:right="1134" w:bottom="1134" w:left="1134" w:header="624" w:footer="567" w:gutter="0"/>
          <w:cols w:sep="1" w:space="567"/>
          <w:docGrid w:linePitch="360"/>
        </w:sectPr>
      </w:pPr>
    </w:p>
    <w:p w:rsidR="00BB6F1F" w:rsidRPr="00254B35" w:rsidRDefault="00BB6F1F" w:rsidP="00330FD3">
      <w:pPr>
        <w:pStyle w:val="TableHeading"/>
        <w:spacing w:before="0"/>
        <w:rPr>
          <w:b w:val="0"/>
          <w:bCs/>
          <w:lang w:val="en-US"/>
        </w:rPr>
      </w:pPr>
      <w:r w:rsidRPr="00EC214F">
        <w:lastRenderedPageBreak/>
        <w:t>Insurance claims assumptions</w:t>
      </w:r>
    </w:p>
    <w:tbl>
      <w:tblPr>
        <w:tblStyle w:val="DTFTable"/>
        <w:tblW w:w="14565" w:type="dxa"/>
        <w:tblInd w:w="45" w:type="dxa"/>
        <w:tblLayout w:type="fixed"/>
        <w:tblCellMar>
          <w:left w:w="45" w:type="dxa"/>
          <w:right w:w="45" w:type="dxa"/>
        </w:tblCellMar>
        <w:tblLook w:val="06A0" w:firstRow="1" w:lastRow="0" w:firstColumn="1" w:lastColumn="0" w:noHBand="1" w:noVBand="1"/>
      </w:tblPr>
      <w:tblGrid>
        <w:gridCol w:w="1695"/>
        <w:gridCol w:w="1843"/>
        <w:gridCol w:w="845"/>
        <w:gridCol w:w="856"/>
        <w:gridCol w:w="1701"/>
        <w:gridCol w:w="1559"/>
        <w:gridCol w:w="1559"/>
        <w:gridCol w:w="1559"/>
        <w:gridCol w:w="1559"/>
        <w:gridCol w:w="1389"/>
      </w:tblGrid>
      <w:tr w:rsidR="00BB6F1F" w:rsidRPr="00254B35"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5" w:type="dxa"/>
            <w:tcBorders>
              <w:top w:val="nil"/>
              <w:left w:val="nil"/>
              <w:bottom w:val="nil"/>
              <w:right w:val="nil"/>
            </w:tcBorders>
            <w:shd w:val="solid" w:color="000000" w:fill="auto"/>
          </w:tcPr>
          <w:p w:rsidR="00BB6F1F" w:rsidRPr="00254B35" w:rsidRDefault="00BB6F1F" w:rsidP="00AC68FF">
            <w:pPr>
              <w:keepLines w:val="0"/>
              <w:autoSpaceDE w:val="0"/>
              <w:autoSpaceDN w:val="0"/>
              <w:adjustRightInd w:val="0"/>
              <w:rPr>
                <w:rFonts w:eastAsiaTheme="minorEastAsia" w:cs="Calibri"/>
                <w:iCs/>
                <w:color w:val="FFFFFF"/>
                <w:sz w:val="16"/>
                <w:szCs w:val="20"/>
                <w:lang w:eastAsia="en-AU"/>
              </w:rPr>
            </w:pPr>
            <w:r w:rsidRPr="00254B35">
              <w:rPr>
                <w:rFonts w:eastAsiaTheme="minorEastAsia" w:cs="Calibri"/>
                <w:iCs/>
                <w:color w:val="FFFFFF"/>
                <w:sz w:val="16"/>
                <w:szCs w:val="20"/>
                <w:lang w:eastAsia="en-AU"/>
              </w:rPr>
              <w:t xml:space="preserve"> </w:t>
            </w:r>
          </w:p>
        </w:tc>
        <w:tc>
          <w:tcPr>
            <w:tcW w:w="1843" w:type="dxa"/>
            <w:tcBorders>
              <w:top w:val="nil"/>
              <w:left w:val="nil"/>
              <w:bottom w:val="nil"/>
              <w:right w:val="nil"/>
            </w:tcBorders>
            <w:shd w:val="solid" w:color="000000" w:fill="auto"/>
          </w:tcPr>
          <w:p w:rsidR="00BB6F1F" w:rsidRPr="00254B35" w:rsidRDefault="00BB6F1F" w:rsidP="00AC68FF">
            <w:pPr>
              <w:keepLines w:val="0"/>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254B35">
              <w:rPr>
                <w:rFonts w:eastAsiaTheme="minorEastAsia" w:cs="Calibri"/>
                <w:iCs/>
                <w:color w:val="FFFFFF"/>
                <w:sz w:val="16"/>
                <w:szCs w:val="20"/>
                <w:lang w:eastAsia="en-AU"/>
              </w:rPr>
              <w:t xml:space="preserve"> </w:t>
            </w:r>
          </w:p>
        </w:tc>
        <w:tc>
          <w:tcPr>
            <w:tcW w:w="1701" w:type="dxa"/>
            <w:gridSpan w:val="2"/>
            <w:vMerge w:val="restart"/>
            <w:tcBorders>
              <w:top w:val="nil"/>
              <w:left w:val="nil"/>
              <w:right w:val="nil"/>
            </w:tcBorders>
            <w:shd w:val="solid" w:color="000000" w:fill="auto"/>
          </w:tcPr>
          <w:p w:rsidR="00BB6F1F" w:rsidRPr="00254B35" w:rsidRDefault="00BB6F1F" w:rsidP="00D47122">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254B35">
              <w:rPr>
                <w:rFonts w:eastAsiaTheme="minorEastAsia" w:cs="Calibri"/>
                <w:iCs/>
                <w:color w:val="FFFFFF"/>
                <w:sz w:val="16"/>
                <w:szCs w:val="20"/>
                <w:lang w:eastAsia="en-AU"/>
              </w:rPr>
              <w:t>Weighted average expected term to settlement (years)</w:t>
            </w:r>
          </w:p>
        </w:tc>
        <w:tc>
          <w:tcPr>
            <w:tcW w:w="6378" w:type="dxa"/>
            <w:gridSpan w:val="4"/>
            <w:tcBorders>
              <w:top w:val="nil"/>
              <w:left w:val="nil"/>
              <w:bottom w:val="single" w:sz="6" w:space="0" w:color="FFFFFF" w:themeColor="background1"/>
              <w:right w:val="nil"/>
            </w:tcBorders>
            <w:shd w:val="solid" w:color="000000" w:fill="auto"/>
          </w:tcPr>
          <w:p w:rsidR="00BB6F1F" w:rsidRPr="00254B35"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254B35">
              <w:rPr>
                <w:rFonts w:eastAsiaTheme="minorEastAsia" w:cs="Calibri"/>
                <w:iCs/>
                <w:color w:val="FFFFFF"/>
                <w:sz w:val="16"/>
                <w:szCs w:val="20"/>
                <w:lang w:eastAsia="en-AU"/>
              </w:rPr>
              <w:t>Financial assumptions used (%)</w:t>
            </w:r>
            <w:r w:rsidR="00D47122">
              <w:rPr>
                <w:rFonts w:eastAsiaTheme="minorEastAsia" w:cs="Calibri"/>
                <w:iCs/>
                <w:color w:val="FFFFFF"/>
                <w:sz w:val="16"/>
                <w:szCs w:val="20"/>
                <w:lang w:eastAsia="en-AU"/>
              </w:rPr>
              <w:t xml:space="preserve"> </w:t>
            </w:r>
            <w:r w:rsidRPr="00254B35">
              <w:rPr>
                <w:rFonts w:eastAsiaTheme="minorEastAsia" w:cs="Calibri"/>
                <w:iCs/>
                <w:color w:val="FFFFFF"/>
                <w:sz w:val="16"/>
                <w:szCs w:val="20"/>
                <w:vertAlign w:val="superscript"/>
                <w:lang w:eastAsia="en-AU"/>
              </w:rPr>
              <w:t>(a)(b)(c)</w:t>
            </w:r>
            <w:r w:rsidRPr="00254B35">
              <w:rPr>
                <w:rFonts w:eastAsiaTheme="minorEastAsia" w:cs="Calibri"/>
                <w:iCs/>
                <w:color w:val="FFFFFF"/>
                <w:sz w:val="16"/>
                <w:szCs w:val="20"/>
                <w:lang w:eastAsia="en-AU"/>
              </w:rPr>
              <w:t xml:space="preserve"> </w:t>
            </w:r>
          </w:p>
        </w:tc>
        <w:tc>
          <w:tcPr>
            <w:tcW w:w="2948" w:type="dxa"/>
            <w:gridSpan w:val="2"/>
            <w:tcBorders>
              <w:top w:val="nil"/>
              <w:left w:val="nil"/>
              <w:bottom w:val="nil"/>
              <w:right w:val="nil"/>
            </w:tcBorders>
            <w:shd w:val="solid" w:color="000000" w:fill="auto"/>
          </w:tcPr>
          <w:p w:rsidR="00BB6F1F" w:rsidRPr="00254B35"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p>
        </w:tc>
      </w:tr>
      <w:tr w:rsidR="00BB6F1F" w:rsidRPr="00254B35"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5" w:type="dxa"/>
            <w:tcBorders>
              <w:top w:val="nil"/>
              <w:left w:val="nil"/>
              <w:bottom w:val="nil"/>
              <w:right w:val="nil"/>
            </w:tcBorders>
            <w:shd w:val="solid" w:color="000000" w:fill="auto"/>
          </w:tcPr>
          <w:p w:rsidR="00BB6F1F" w:rsidRPr="00254B35" w:rsidRDefault="00BB6F1F" w:rsidP="00AC68FF">
            <w:pPr>
              <w:keepLines w:val="0"/>
              <w:autoSpaceDE w:val="0"/>
              <w:autoSpaceDN w:val="0"/>
              <w:adjustRightInd w:val="0"/>
              <w:rPr>
                <w:rFonts w:eastAsiaTheme="minorEastAsia" w:cs="Calibri"/>
                <w:iCs/>
                <w:color w:val="FFFFFF"/>
                <w:sz w:val="16"/>
                <w:szCs w:val="20"/>
                <w:lang w:eastAsia="en-AU"/>
              </w:rPr>
            </w:pPr>
            <w:r w:rsidRPr="00254B35">
              <w:rPr>
                <w:rFonts w:eastAsiaTheme="minorEastAsia" w:cs="Calibri"/>
                <w:iCs/>
                <w:color w:val="FFFFFF"/>
                <w:sz w:val="16"/>
                <w:szCs w:val="20"/>
                <w:lang w:eastAsia="en-AU"/>
              </w:rPr>
              <w:t xml:space="preserve"> </w:t>
            </w:r>
          </w:p>
        </w:tc>
        <w:tc>
          <w:tcPr>
            <w:tcW w:w="1843" w:type="dxa"/>
            <w:tcBorders>
              <w:top w:val="nil"/>
              <w:left w:val="nil"/>
              <w:bottom w:val="nil"/>
              <w:right w:val="nil"/>
            </w:tcBorders>
            <w:shd w:val="solid" w:color="000000" w:fill="auto"/>
          </w:tcPr>
          <w:p w:rsidR="00BB6F1F" w:rsidRPr="00254B35" w:rsidRDefault="00BB6F1F" w:rsidP="00AC68FF">
            <w:pPr>
              <w:keepLines w:val="0"/>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254B35">
              <w:rPr>
                <w:rFonts w:eastAsiaTheme="minorEastAsia" w:cs="Calibri"/>
                <w:iCs/>
                <w:color w:val="FFFFFF"/>
                <w:sz w:val="16"/>
                <w:szCs w:val="20"/>
                <w:lang w:eastAsia="en-AU"/>
              </w:rPr>
              <w:t xml:space="preserve"> </w:t>
            </w:r>
          </w:p>
        </w:tc>
        <w:tc>
          <w:tcPr>
            <w:tcW w:w="1701" w:type="dxa"/>
            <w:gridSpan w:val="2"/>
            <w:vMerge/>
            <w:tcBorders>
              <w:left w:val="nil"/>
              <w:bottom w:val="nil"/>
              <w:right w:val="nil"/>
            </w:tcBorders>
            <w:shd w:val="solid" w:color="000000" w:fill="auto"/>
          </w:tcPr>
          <w:p w:rsidR="00BB6F1F" w:rsidRPr="00254B35"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p>
        </w:tc>
        <w:tc>
          <w:tcPr>
            <w:tcW w:w="3260" w:type="dxa"/>
            <w:gridSpan w:val="2"/>
            <w:tcBorders>
              <w:top w:val="single" w:sz="6" w:space="0" w:color="FFFFFF" w:themeColor="background1"/>
              <w:left w:val="nil"/>
              <w:bottom w:val="nil"/>
              <w:right w:val="nil"/>
            </w:tcBorders>
            <w:shd w:val="solid" w:color="000000" w:fill="auto"/>
          </w:tcPr>
          <w:p w:rsidR="00BB6F1F" w:rsidRPr="00254B35"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254B35">
              <w:rPr>
                <w:rFonts w:eastAsiaTheme="minorEastAsia" w:cs="Calibri"/>
                <w:iCs/>
                <w:color w:val="FFFFFF"/>
                <w:sz w:val="16"/>
                <w:szCs w:val="20"/>
                <w:lang w:eastAsia="en-AU"/>
              </w:rPr>
              <w:t xml:space="preserve">Weighted average </w:t>
            </w:r>
            <w:r>
              <w:rPr>
                <w:rFonts w:eastAsiaTheme="minorEastAsia" w:cs="Calibri"/>
                <w:iCs/>
                <w:color w:val="FFFFFF"/>
                <w:sz w:val="16"/>
                <w:szCs w:val="20"/>
                <w:lang w:eastAsia="en-AU"/>
              </w:rPr>
              <w:br/>
            </w:r>
            <w:r w:rsidRPr="00254B35">
              <w:rPr>
                <w:rFonts w:eastAsiaTheme="minorEastAsia" w:cs="Calibri"/>
                <w:iCs/>
                <w:color w:val="FFFFFF"/>
                <w:sz w:val="16"/>
                <w:szCs w:val="20"/>
                <w:lang w:eastAsia="en-AU"/>
              </w:rPr>
              <w:t>inflation rate (%)</w:t>
            </w:r>
            <w:r w:rsidR="00D47122">
              <w:rPr>
                <w:rFonts w:eastAsiaTheme="minorEastAsia" w:cs="Calibri"/>
                <w:iCs/>
                <w:color w:val="FFFFFF"/>
                <w:sz w:val="16"/>
                <w:szCs w:val="20"/>
                <w:lang w:eastAsia="en-AU"/>
              </w:rPr>
              <w:t xml:space="preserve"> </w:t>
            </w:r>
            <w:r w:rsidRPr="00254B35">
              <w:rPr>
                <w:rFonts w:eastAsiaTheme="minorEastAsia" w:cs="Calibri"/>
                <w:iCs/>
                <w:color w:val="FFFFFF"/>
                <w:sz w:val="16"/>
                <w:szCs w:val="20"/>
                <w:vertAlign w:val="superscript"/>
                <w:lang w:eastAsia="en-AU"/>
              </w:rPr>
              <w:t>(d)</w:t>
            </w:r>
          </w:p>
        </w:tc>
        <w:tc>
          <w:tcPr>
            <w:tcW w:w="3118" w:type="dxa"/>
            <w:gridSpan w:val="2"/>
            <w:tcBorders>
              <w:top w:val="single" w:sz="6" w:space="0" w:color="FFFFFF" w:themeColor="background1"/>
              <w:left w:val="nil"/>
              <w:bottom w:val="nil"/>
              <w:right w:val="nil"/>
            </w:tcBorders>
            <w:shd w:val="solid" w:color="000000" w:fill="auto"/>
          </w:tcPr>
          <w:p w:rsidR="00BB6F1F" w:rsidRPr="00254B35"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254B35">
              <w:rPr>
                <w:rFonts w:eastAsiaTheme="minorEastAsia" w:cs="Calibri"/>
                <w:iCs/>
                <w:color w:val="FFFFFF"/>
                <w:sz w:val="16"/>
                <w:szCs w:val="20"/>
                <w:lang w:eastAsia="en-AU"/>
              </w:rPr>
              <w:t xml:space="preserve">Weighted average </w:t>
            </w:r>
            <w:r>
              <w:rPr>
                <w:rFonts w:eastAsiaTheme="minorEastAsia" w:cs="Calibri"/>
                <w:iCs/>
                <w:color w:val="FFFFFF"/>
                <w:sz w:val="16"/>
                <w:szCs w:val="20"/>
                <w:lang w:eastAsia="en-AU"/>
              </w:rPr>
              <w:br/>
            </w:r>
            <w:r w:rsidRPr="00254B35">
              <w:rPr>
                <w:rFonts w:eastAsiaTheme="minorEastAsia" w:cs="Calibri"/>
                <w:iCs/>
                <w:color w:val="FFFFFF"/>
                <w:sz w:val="16"/>
                <w:szCs w:val="20"/>
                <w:lang w:eastAsia="en-AU"/>
              </w:rPr>
              <w:t>discount rate (%)</w:t>
            </w:r>
          </w:p>
        </w:tc>
        <w:tc>
          <w:tcPr>
            <w:tcW w:w="2948" w:type="dxa"/>
            <w:gridSpan w:val="2"/>
            <w:tcBorders>
              <w:top w:val="nil"/>
              <w:left w:val="nil"/>
              <w:bottom w:val="nil"/>
              <w:right w:val="nil"/>
            </w:tcBorders>
            <w:shd w:val="solid" w:color="000000" w:fill="auto"/>
          </w:tcPr>
          <w:p w:rsidR="00BB6F1F" w:rsidRPr="00254B35" w:rsidRDefault="00BB6F1F" w:rsidP="00D47122">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254B35">
              <w:rPr>
                <w:rFonts w:eastAsiaTheme="minorEastAsia" w:cs="Calibri"/>
                <w:iCs/>
                <w:color w:val="FFFFFF"/>
                <w:sz w:val="16"/>
                <w:szCs w:val="20"/>
                <w:lang w:eastAsia="en-AU"/>
              </w:rPr>
              <w:t xml:space="preserve">Prudential margin </w:t>
            </w:r>
            <w:r w:rsidR="00D47122">
              <w:rPr>
                <w:rFonts w:eastAsiaTheme="minorEastAsia" w:cs="Calibri"/>
                <w:iCs/>
                <w:color w:val="FFFFFF"/>
                <w:sz w:val="16"/>
                <w:szCs w:val="20"/>
                <w:lang w:eastAsia="en-AU"/>
              </w:rPr>
              <w:br/>
            </w:r>
            <w:r w:rsidRPr="00254B35">
              <w:rPr>
                <w:rFonts w:eastAsiaTheme="minorEastAsia" w:cs="Calibri"/>
                <w:iCs/>
                <w:color w:val="FFFFFF"/>
                <w:sz w:val="16"/>
                <w:szCs w:val="20"/>
                <w:lang w:eastAsia="en-AU"/>
              </w:rPr>
              <w:t xml:space="preserve">used (%) </w:t>
            </w:r>
          </w:p>
        </w:tc>
      </w:tr>
      <w:tr w:rsidR="00BB6F1F" w:rsidRPr="00254B35"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5" w:type="dxa"/>
            <w:tcBorders>
              <w:top w:val="nil"/>
              <w:left w:val="nil"/>
              <w:bottom w:val="nil"/>
              <w:right w:val="nil"/>
            </w:tcBorders>
            <w:shd w:val="solid" w:color="000000" w:fill="auto"/>
          </w:tcPr>
          <w:p w:rsidR="00BB6F1F" w:rsidRPr="00254B35" w:rsidRDefault="00BB6F1F" w:rsidP="00AC68FF">
            <w:pPr>
              <w:keepLines w:val="0"/>
              <w:autoSpaceDE w:val="0"/>
              <w:autoSpaceDN w:val="0"/>
              <w:adjustRightInd w:val="0"/>
              <w:rPr>
                <w:rFonts w:eastAsiaTheme="minorEastAsia" w:cs="Calibri"/>
                <w:iCs/>
                <w:color w:val="FFFFFF"/>
                <w:sz w:val="16"/>
                <w:szCs w:val="20"/>
                <w:lang w:eastAsia="en-AU"/>
              </w:rPr>
            </w:pPr>
            <w:r w:rsidRPr="00254B35">
              <w:rPr>
                <w:rFonts w:eastAsiaTheme="minorEastAsia" w:cs="Calibri"/>
                <w:iCs/>
                <w:color w:val="FFFFFF"/>
                <w:sz w:val="16"/>
                <w:szCs w:val="20"/>
                <w:lang w:eastAsia="en-AU"/>
              </w:rPr>
              <w:t>Entity</w:t>
            </w:r>
          </w:p>
        </w:tc>
        <w:tc>
          <w:tcPr>
            <w:tcW w:w="1843" w:type="dxa"/>
            <w:tcBorders>
              <w:top w:val="nil"/>
              <w:left w:val="nil"/>
              <w:bottom w:val="nil"/>
              <w:right w:val="nil"/>
            </w:tcBorders>
            <w:shd w:val="solid" w:color="000000" w:fill="auto"/>
          </w:tcPr>
          <w:p w:rsidR="00BB6F1F" w:rsidRPr="00254B35" w:rsidRDefault="00BB6F1F" w:rsidP="00AC68FF">
            <w:pPr>
              <w:keepLines w:val="0"/>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254B35">
              <w:rPr>
                <w:rFonts w:eastAsiaTheme="minorEastAsia" w:cs="Calibri"/>
                <w:iCs/>
                <w:color w:val="FFFFFF"/>
                <w:sz w:val="16"/>
                <w:szCs w:val="20"/>
                <w:lang w:eastAsia="en-AU"/>
              </w:rPr>
              <w:t>Actuary</w:t>
            </w:r>
          </w:p>
        </w:tc>
        <w:tc>
          <w:tcPr>
            <w:tcW w:w="845" w:type="dxa"/>
            <w:tcBorders>
              <w:top w:val="nil"/>
              <w:left w:val="nil"/>
              <w:bottom w:val="nil"/>
              <w:right w:val="nil"/>
            </w:tcBorders>
            <w:shd w:val="solid" w:color="000000" w:fill="auto"/>
          </w:tcPr>
          <w:p w:rsidR="00BB6F1F" w:rsidRPr="00254B3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254B35">
              <w:rPr>
                <w:rFonts w:eastAsiaTheme="minorEastAsia" w:cs="Calibri"/>
                <w:iCs/>
                <w:color w:val="FFFFFF"/>
                <w:sz w:val="16"/>
                <w:szCs w:val="20"/>
                <w:lang w:eastAsia="en-AU"/>
              </w:rPr>
              <w:t>2017</w:t>
            </w:r>
          </w:p>
        </w:tc>
        <w:tc>
          <w:tcPr>
            <w:tcW w:w="856" w:type="dxa"/>
            <w:tcBorders>
              <w:top w:val="nil"/>
              <w:left w:val="nil"/>
              <w:bottom w:val="nil"/>
              <w:right w:val="nil"/>
            </w:tcBorders>
            <w:shd w:val="solid" w:color="000000" w:fill="auto"/>
          </w:tcPr>
          <w:p w:rsidR="00BB6F1F" w:rsidRPr="00254B3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254B35">
              <w:rPr>
                <w:rFonts w:eastAsiaTheme="minorEastAsia" w:cs="Calibri"/>
                <w:iCs/>
                <w:color w:val="FFFFFF"/>
                <w:sz w:val="16"/>
                <w:szCs w:val="20"/>
                <w:lang w:eastAsia="en-AU"/>
              </w:rPr>
              <w:t>2016</w:t>
            </w:r>
          </w:p>
        </w:tc>
        <w:tc>
          <w:tcPr>
            <w:tcW w:w="1701" w:type="dxa"/>
            <w:tcBorders>
              <w:top w:val="nil"/>
              <w:left w:val="nil"/>
              <w:bottom w:val="nil"/>
              <w:right w:val="nil"/>
            </w:tcBorders>
            <w:shd w:val="solid" w:color="000000" w:fill="auto"/>
          </w:tcPr>
          <w:p w:rsidR="00BB6F1F" w:rsidRPr="00254B3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254B35">
              <w:rPr>
                <w:rFonts w:eastAsiaTheme="minorEastAsia" w:cs="Calibri"/>
                <w:iCs/>
                <w:color w:val="FFFFFF"/>
                <w:sz w:val="16"/>
                <w:szCs w:val="20"/>
                <w:lang w:eastAsia="en-AU"/>
              </w:rPr>
              <w:t>2017</w:t>
            </w:r>
          </w:p>
        </w:tc>
        <w:tc>
          <w:tcPr>
            <w:tcW w:w="1559" w:type="dxa"/>
            <w:tcBorders>
              <w:top w:val="nil"/>
              <w:left w:val="nil"/>
              <w:bottom w:val="nil"/>
              <w:right w:val="nil"/>
            </w:tcBorders>
            <w:shd w:val="solid" w:color="000000" w:fill="auto"/>
          </w:tcPr>
          <w:p w:rsidR="00BB6F1F" w:rsidRPr="00254B3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254B35">
              <w:rPr>
                <w:rFonts w:eastAsiaTheme="minorEastAsia" w:cs="Calibri"/>
                <w:iCs/>
                <w:color w:val="FFFFFF"/>
                <w:sz w:val="16"/>
                <w:szCs w:val="20"/>
                <w:lang w:eastAsia="en-AU"/>
              </w:rPr>
              <w:t>2016</w:t>
            </w:r>
          </w:p>
        </w:tc>
        <w:tc>
          <w:tcPr>
            <w:tcW w:w="1559" w:type="dxa"/>
            <w:tcBorders>
              <w:top w:val="nil"/>
              <w:left w:val="nil"/>
              <w:bottom w:val="nil"/>
              <w:right w:val="nil"/>
            </w:tcBorders>
            <w:shd w:val="solid" w:color="000000" w:fill="auto"/>
          </w:tcPr>
          <w:p w:rsidR="00BB6F1F" w:rsidRPr="00254B3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254B35">
              <w:rPr>
                <w:rFonts w:eastAsiaTheme="minorEastAsia" w:cs="Calibri"/>
                <w:iCs/>
                <w:color w:val="FFFFFF"/>
                <w:sz w:val="16"/>
                <w:szCs w:val="20"/>
                <w:lang w:eastAsia="en-AU"/>
              </w:rPr>
              <w:t>2017</w:t>
            </w:r>
          </w:p>
        </w:tc>
        <w:tc>
          <w:tcPr>
            <w:tcW w:w="1559" w:type="dxa"/>
            <w:tcBorders>
              <w:top w:val="nil"/>
              <w:left w:val="nil"/>
              <w:bottom w:val="nil"/>
              <w:right w:val="nil"/>
            </w:tcBorders>
            <w:shd w:val="solid" w:color="000000" w:fill="auto"/>
          </w:tcPr>
          <w:p w:rsidR="00BB6F1F" w:rsidRPr="00254B3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254B35">
              <w:rPr>
                <w:rFonts w:eastAsiaTheme="minorEastAsia" w:cs="Calibri"/>
                <w:iCs/>
                <w:color w:val="FFFFFF"/>
                <w:sz w:val="16"/>
                <w:szCs w:val="20"/>
                <w:lang w:eastAsia="en-AU"/>
              </w:rPr>
              <w:t>2016</w:t>
            </w:r>
          </w:p>
        </w:tc>
        <w:tc>
          <w:tcPr>
            <w:tcW w:w="1559" w:type="dxa"/>
            <w:tcBorders>
              <w:top w:val="nil"/>
              <w:left w:val="nil"/>
              <w:bottom w:val="nil"/>
              <w:right w:val="nil"/>
            </w:tcBorders>
            <w:shd w:val="solid" w:color="000000" w:fill="auto"/>
          </w:tcPr>
          <w:p w:rsidR="00BB6F1F" w:rsidRPr="00254B3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254B35">
              <w:rPr>
                <w:rFonts w:eastAsiaTheme="minorEastAsia" w:cs="Calibri"/>
                <w:iCs/>
                <w:color w:val="FFFFFF"/>
                <w:sz w:val="16"/>
                <w:szCs w:val="20"/>
                <w:lang w:eastAsia="en-AU"/>
              </w:rPr>
              <w:t>2017</w:t>
            </w:r>
          </w:p>
        </w:tc>
        <w:tc>
          <w:tcPr>
            <w:tcW w:w="1389" w:type="dxa"/>
            <w:tcBorders>
              <w:top w:val="nil"/>
              <w:left w:val="nil"/>
              <w:bottom w:val="nil"/>
              <w:right w:val="nil"/>
            </w:tcBorders>
            <w:shd w:val="solid" w:color="000000" w:fill="auto"/>
          </w:tcPr>
          <w:p w:rsidR="00BB6F1F" w:rsidRPr="00254B3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254B35">
              <w:rPr>
                <w:rFonts w:eastAsiaTheme="minorEastAsia" w:cs="Calibri"/>
                <w:iCs/>
                <w:color w:val="FFFFFF"/>
                <w:sz w:val="16"/>
                <w:szCs w:val="20"/>
                <w:lang w:eastAsia="en-AU"/>
              </w:rPr>
              <w:t>2016</w:t>
            </w:r>
          </w:p>
        </w:tc>
      </w:tr>
      <w:tr w:rsidR="00BB6F1F" w:rsidRPr="00254B35" w:rsidTr="00AC68FF">
        <w:tc>
          <w:tcPr>
            <w:cnfStyle w:val="001000000000" w:firstRow="0" w:lastRow="0" w:firstColumn="1" w:lastColumn="0" w:oddVBand="0" w:evenVBand="0" w:oddHBand="0" w:evenHBand="0" w:firstRowFirstColumn="0" w:firstRowLastColumn="0" w:lastRowFirstColumn="0" w:lastRowLastColumn="0"/>
            <w:tcW w:w="1695" w:type="dxa"/>
            <w:tcBorders>
              <w:top w:val="nil"/>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rPr>
                <w:rFonts w:eastAsiaTheme="minorEastAsia" w:cs="Calibri"/>
                <w:color w:val="000000"/>
                <w:sz w:val="16"/>
                <w:szCs w:val="20"/>
                <w:lang w:eastAsia="en-AU"/>
              </w:rPr>
            </w:pPr>
            <w:r w:rsidRPr="00254B35">
              <w:rPr>
                <w:rFonts w:eastAsiaTheme="minorEastAsia" w:cs="Calibri"/>
                <w:color w:val="000000"/>
                <w:sz w:val="16"/>
                <w:szCs w:val="20"/>
                <w:lang w:eastAsia="en-AU"/>
              </w:rPr>
              <w:t xml:space="preserve">Victorian WorkCover Authority </w:t>
            </w:r>
            <w:r>
              <w:rPr>
                <w:rFonts w:eastAsiaTheme="minorEastAsia" w:cs="Calibri"/>
                <w:color w:val="000000"/>
                <w:sz w:val="16"/>
                <w:szCs w:val="20"/>
                <w:lang w:eastAsia="en-AU"/>
              </w:rPr>
              <w:br/>
            </w:r>
            <w:r w:rsidRPr="00254B35">
              <w:rPr>
                <w:rFonts w:eastAsiaTheme="minorEastAsia" w:cs="Calibri"/>
                <w:color w:val="000000"/>
                <w:sz w:val="16"/>
                <w:szCs w:val="20"/>
                <w:lang w:eastAsia="en-AU"/>
              </w:rPr>
              <w:t>(</w:t>
            </w:r>
            <w:proofErr w:type="spellStart"/>
            <w:r w:rsidRPr="00254B35">
              <w:rPr>
                <w:rFonts w:eastAsiaTheme="minorEastAsia" w:cs="Calibri"/>
                <w:color w:val="000000"/>
                <w:sz w:val="16"/>
                <w:szCs w:val="20"/>
                <w:lang w:eastAsia="en-AU"/>
              </w:rPr>
              <w:t>WorkSafe</w:t>
            </w:r>
            <w:proofErr w:type="spellEnd"/>
            <w:r w:rsidRPr="00254B35">
              <w:rPr>
                <w:rFonts w:eastAsiaTheme="minorEastAsia" w:cs="Calibri"/>
                <w:color w:val="000000"/>
                <w:sz w:val="16"/>
                <w:szCs w:val="20"/>
                <w:lang w:eastAsia="en-AU"/>
              </w:rPr>
              <w:t xml:space="preserve"> Victoria)</w:t>
            </w:r>
          </w:p>
        </w:tc>
        <w:tc>
          <w:tcPr>
            <w:tcW w:w="1843" w:type="dxa"/>
            <w:tcBorders>
              <w:top w:val="nil"/>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PwC Actuarial Ltd</w:t>
            </w:r>
          </w:p>
        </w:tc>
        <w:tc>
          <w:tcPr>
            <w:tcW w:w="845" w:type="dxa"/>
            <w:tcBorders>
              <w:top w:val="nil"/>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6.10</w:t>
            </w:r>
          </w:p>
        </w:tc>
        <w:tc>
          <w:tcPr>
            <w:tcW w:w="856" w:type="dxa"/>
            <w:tcBorders>
              <w:top w:val="nil"/>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6.20</w:t>
            </w:r>
          </w:p>
        </w:tc>
        <w:tc>
          <w:tcPr>
            <w:tcW w:w="1701" w:type="dxa"/>
            <w:tcBorders>
              <w:top w:val="nil"/>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 xml:space="preserve">AWE </w:t>
            </w:r>
            <w:r w:rsidRPr="00254B35">
              <w:rPr>
                <w:rFonts w:eastAsiaTheme="minorEastAsia" w:cs="Calibri"/>
                <w:color w:val="000000"/>
                <w:sz w:val="16"/>
                <w:szCs w:val="20"/>
                <w:vertAlign w:val="superscript"/>
                <w:lang w:eastAsia="en-AU"/>
              </w:rPr>
              <w:t>(e)</w:t>
            </w:r>
            <w:r w:rsidRPr="00254B35">
              <w:rPr>
                <w:rFonts w:eastAsiaTheme="minorEastAsia" w:cs="Calibri"/>
                <w:color w:val="000000"/>
                <w:sz w:val="16"/>
                <w:szCs w:val="20"/>
                <w:lang w:eastAsia="en-AU"/>
              </w:rPr>
              <w:t xml:space="preserve"> inflation</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0 to 20 years = 3.43</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21+ years = 3.29</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CPI inflation</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0 to 20 years = 2.12</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21+ years = 2.03</w:t>
            </w:r>
          </w:p>
        </w:tc>
        <w:tc>
          <w:tcPr>
            <w:tcW w:w="1559" w:type="dxa"/>
            <w:tcBorders>
              <w:top w:val="nil"/>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AWE inflation</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0 to 20 years = 3.46</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21+ years = 3.75</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CPI inflation</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0 to 20 years = 2.50</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21+ years = 2.50</w:t>
            </w:r>
          </w:p>
        </w:tc>
        <w:tc>
          <w:tcPr>
            <w:tcW w:w="1559" w:type="dxa"/>
            <w:tcBorders>
              <w:top w:val="nil"/>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0 to 20 years = 2.73</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21+ years = 4.58</w:t>
            </w:r>
          </w:p>
        </w:tc>
        <w:tc>
          <w:tcPr>
            <w:tcW w:w="1559" w:type="dxa"/>
            <w:tcBorders>
              <w:top w:val="nil"/>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0 to 20 years = 2.15</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21+ years = 5.50</w:t>
            </w:r>
          </w:p>
        </w:tc>
        <w:tc>
          <w:tcPr>
            <w:tcW w:w="1559" w:type="dxa"/>
            <w:tcBorders>
              <w:top w:val="nil"/>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8.00</w:t>
            </w:r>
          </w:p>
        </w:tc>
        <w:tc>
          <w:tcPr>
            <w:tcW w:w="1389" w:type="dxa"/>
            <w:tcBorders>
              <w:top w:val="nil"/>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8.00</w:t>
            </w:r>
          </w:p>
        </w:tc>
      </w:tr>
      <w:tr w:rsidR="00BB6F1F" w:rsidRPr="00254B35" w:rsidTr="00AC68FF">
        <w:tc>
          <w:tcPr>
            <w:cnfStyle w:val="001000000000" w:firstRow="0" w:lastRow="0" w:firstColumn="1" w:lastColumn="0" w:oddVBand="0" w:evenVBand="0" w:oddHBand="0" w:evenHBand="0" w:firstRowFirstColumn="0" w:firstRowLastColumn="0" w:lastRowFirstColumn="0" w:lastRowLastColumn="0"/>
            <w:tcW w:w="1695"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rPr>
                <w:rFonts w:eastAsiaTheme="minorEastAsia" w:cs="Calibri"/>
                <w:color w:val="000000"/>
                <w:sz w:val="16"/>
                <w:szCs w:val="20"/>
                <w:lang w:eastAsia="en-AU"/>
              </w:rPr>
            </w:pPr>
            <w:r w:rsidRPr="00254B35">
              <w:rPr>
                <w:rFonts w:eastAsiaTheme="minorEastAsia" w:cs="Calibri"/>
                <w:color w:val="000000"/>
                <w:sz w:val="16"/>
                <w:szCs w:val="20"/>
                <w:lang w:eastAsia="en-AU"/>
              </w:rPr>
              <w:t>Transport Accident Commission</w:t>
            </w:r>
          </w:p>
        </w:tc>
        <w:tc>
          <w:tcPr>
            <w:tcW w:w="1843"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PwC Actuarial Ltd</w:t>
            </w:r>
          </w:p>
        </w:tc>
        <w:tc>
          <w:tcPr>
            <w:tcW w:w="845" w:type="dxa"/>
            <w:tcBorders>
              <w:top w:val="nil"/>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15.40</w:t>
            </w:r>
          </w:p>
        </w:tc>
        <w:tc>
          <w:tcPr>
            <w:tcW w:w="856" w:type="dxa"/>
            <w:tcBorders>
              <w:top w:val="nil"/>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16.30</w:t>
            </w:r>
          </w:p>
        </w:tc>
        <w:tc>
          <w:tcPr>
            <w:tcW w:w="1701"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AWE inflation</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0 to 20 years = 2.12</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21+ years = 3.36</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CPI inflation</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0 to 20 years = 2.09</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21+ years = 2.12</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AWE inflation</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0 to 20 years = 3.48</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21+ years = 3.75</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CPI inflation</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All years = 2.50</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0 to 20 years = 3.12</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21+ years = 4.71</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0 to 20 years = 2.49</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21+ years = 5.50</w:t>
            </w:r>
          </w:p>
        </w:tc>
        <w:tc>
          <w:tcPr>
            <w:tcW w:w="1559" w:type="dxa"/>
            <w:tcBorders>
              <w:top w:val="nil"/>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10.00</w:t>
            </w:r>
          </w:p>
        </w:tc>
        <w:tc>
          <w:tcPr>
            <w:tcW w:w="1389" w:type="dxa"/>
            <w:tcBorders>
              <w:top w:val="nil"/>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10.00</w:t>
            </w:r>
          </w:p>
        </w:tc>
      </w:tr>
      <w:tr w:rsidR="00BB6F1F" w:rsidRPr="00254B35" w:rsidTr="00AC68FF">
        <w:tc>
          <w:tcPr>
            <w:cnfStyle w:val="001000000000" w:firstRow="0" w:lastRow="0" w:firstColumn="1" w:lastColumn="0" w:oddVBand="0" w:evenVBand="0" w:oddHBand="0" w:evenHBand="0" w:firstRowFirstColumn="0" w:firstRowLastColumn="0" w:lastRowFirstColumn="0" w:lastRowLastColumn="0"/>
            <w:tcW w:w="1695"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rPr>
                <w:rFonts w:eastAsiaTheme="minorEastAsia" w:cs="Calibri"/>
                <w:color w:val="000000"/>
                <w:sz w:val="16"/>
                <w:szCs w:val="20"/>
                <w:lang w:eastAsia="en-AU"/>
              </w:rPr>
            </w:pPr>
            <w:r w:rsidRPr="00254B35">
              <w:rPr>
                <w:rFonts w:eastAsiaTheme="minorEastAsia" w:cs="Calibri"/>
                <w:color w:val="000000"/>
                <w:sz w:val="16"/>
                <w:szCs w:val="20"/>
                <w:lang w:eastAsia="en-AU"/>
              </w:rPr>
              <w:t xml:space="preserve">Victorian Managed Insurance Authority </w:t>
            </w:r>
          </w:p>
        </w:tc>
        <w:tc>
          <w:tcPr>
            <w:tcW w:w="1843" w:type="dxa"/>
            <w:tcBorders>
              <w:top w:val="single" w:sz="6" w:space="0" w:color="auto"/>
              <w:left w:val="nil"/>
              <w:bottom w:val="single" w:sz="6" w:space="0" w:color="auto"/>
              <w:right w:val="nil"/>
            </w:tcBorders>
            <w:shd w:val="solid" w:color="FFFFFF" w:fill="auto"/>
          </w:tcPr>
          <w:p w:rsidR="00BB6F1F" w:rsidRPr="00254B35" w:rsidRDefault="00BB6F1F" w:rsidP="00D47122">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proofErr w:type="spellStart"/>
            <w:r w:rsidRPr="00254B35">
              <w:rPr>
                <w:rFonts w:eastAsiaTheme="minorEastAsia" w:cs="Calibri"/>
                <w:color w:val="000000"/>
                <w:sz w:val="16"/>
                <w:szCs w:val="20"/>
                <w:lang w:eastAsia="en-AU"/>
              </w:rPr>
              <w:t>Finity</w:t>
            </w:r>
            <w:proofErr w:type="spellEnd"/>
            <w:r w:rsidRPr="00254B35">
              <w:rPr>
                <w:rFonts w:eastAsiaTheme="minorEastAsia" w:cs="Calibri"/>
                <w:color w:val="000000"/>
                <w:sz w:val="16"/>
                <w:szCs w:val="20"/>
                <w:lang w:eastAsia="en-AU"/>
              </w:rPr>
              <w:t xml:space="preserve"> Consulting Pty Ltd (Medical Indemnity)</w:t>
            </w:r>
          </w:p>
        </w:tc>
        <w:tc>
          <w:tcPr>
            <w:tcW w:w="845"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4.00</w:t>
            </w:r>
          </w:p>
        </w:tc>
        <w:tc>
          <w:tcPr>
            <w:tcW w:w="856"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4.30</w:t>
            </w:r>
          </w:p>
        </w:tc>
        <w:tc>
          <w:tcPr>
            <w:tcW w:w="1701"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6.20</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6.00</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2.30</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1.80</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Risk margin = 20.00</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CHE</w:t>
            </w:r>
            <w:r w:rsidR="00D47122">
              <w:rPr>
                <w:rFonts w:eastAsiaTheme="minorEastAsia" w:cs="Calibri"/>
                <w:color w:val="000000"/>
                <w:sz w:val="16"/>
                <w:szCs w:val="20"/>
                <w:lang w:eastAsia="en-AU"/>
              </w:rPr>
              <w:t xml:space="preserve"> </w:t>
            </w:r>
            <w:r w:rsidRPr="00254B35">
              <w:rPr>
                <w:rFonts w:eastAsiaTheme="minorEastAsia" w:cs="Calibri"/>
                <w:color w:val="000000"/>
                <w:sz w:val="16"/>
                <w:szCs w:val="20"/>
                <w:vertAlign w:val="superscript"/>
                <w:lang w:eastAsia="en-AU"/>
              </w:rPr>
              <w:t>(f)</w:t>
            </w:r>
            <w:r w:rsidRPr="00254B35">
              <w:rPr>
                <w:rFonts w:eastAsiaTheme="minorEastAsia" w:cs="Calibri"/>
                <w:color w:val="000000"/>
                <w:sz w:val="16"/>
                <w:szCs w:val="20"/>
                <w:lang w:eastAsia="en-AU"/>
              </w:rPr>
              <w:t xml:space="preserve"> = 2.50</w:t>
            </w:r>
          </w:p>
        </w:tc>
        <w:tc>
          <w:tcPr>
            <w:tcW w:w="138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Risk margin = 20.00</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CHE</w:t>
            </w:r>
            <w:r w:rsidR="00D47122">
              <w:rPr>
                <w:rFonts w:eastAsiaTheme="minorEastAsia" w:cs="Calibri"/>
                <w:color w:val="000000"/>
                <w:sz w:val="16"/>
                <w:szCs w:val="20"/>
                <w:lang w:eastAsia="en-AU"/>
              </w:rPr>
              <w:t xml:space="preserve"> </w:t>
            </w:r>
            <w:r w:rsidRPr="00254B35">
              <w:rPr>
                <w:rFonts w:eastAsiaTheme="minorEastAsia" w:cs="Calibri"/>
                <w:color w:val="000000"/>
                <w:sz w:val="16"/>
                <w:szCs w:val="20"/>
                <w:vertAlign w:val="superscript"/>
                <w:lang w:eastAsia="en-AU"/>
              </w:rPr>
              <w:t>(f)</w:t>
            </w:r>
            <w:r w:rsidRPr="00254B35">
              <w:rPr>
                <w:rFonts w:eastAsiaTheme="minorEastAsia" w:cs="Calibri"/>
                <w:color w:val="000000"/>
                <w:sz w:val="16"/>
                <w:szCs w:val="20"/>
                <w:lang w:eastAsia="en-AU"/>
              </w:rPr>
              <w:t xml:space="preserve"> = 3.00</w:t>
            </w:r>
          </w:p>
        </w:tc>
      </w:tr>
      <w:tr w:rsidR="00BB6F1F" w:rsidRPr="00254B35" w:rsidTr="00AC68FF">
        <w:tc>
          <w:tcPr>
            <w:cnfStyle w:val="001000000000" w:firstRow="0" w:lastRow="0" w:firstColumn="1" w:lastColumn="0" w:oddVBand="0" w:evenVBand="0" w:oddHBand="0" w:evenHBand="0" w:firstRowFirstColumn="0" w:firstRowLastColumn="0" w:lastRowFirstColumn="0" w:lastRowLastColumn="0"/>
            <w:tcW w:w="1695"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rPr>
                <w:rFonts w:eastAsiaTheme="minorEastAsia" w:cs="Calibri"/>
                <w:color w:val="000000"/>
                <w:sz w:val="16"/>
                <w:szCs w:val="20"/>
                <w:lang w:eastAsia="en-AU"/>
              </w:rPr>
            </w:pPr>
            <w:r w:rsidRPr="00254B35">
              <w:rPr>
                <w:rFonts w:eastAsiaTheme="minorEastAsia" w:cs="Calibri"/>
                <w:color w:val="000000"/>
                <w:sz w:val="16"/>
                <w:szCs w:val="20"/>
                <w:lang w:eastAsia="en-AU"/>
              </w:rPr>
              <w:t xml:space="preserve">Victorian Managed Insurance Authority </w:t>
            </w:r>
          </w:p>
        </w:tc>
        <w:tc>
          <w:tcPr>
            <w:tcW w:w="1843"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proofErr w:type="spellStart"/>
            <w:r w:rsidRPr="00254B35">
              <w:rPr>
                <w:rFonts w:eastAsiaTheme="minorEastAsia" w:cs="Calibri"/>
                <w:color w:val="000000"/>
                <w:sz w:val="16"/>
                <w:szCs w:val="20"/>
                <w:lang w:eastAsia="en-AU"/>
              </w:rPr>
              <w:t>Finity</w:t>
            </w:r>
            <w:proofErr w:type="spellEnd"/>
            <w:r w:rsidRPr="00254B35">
              <w:rPr>
                <w:rFonts w:eastAsiaTheme="minorEastAsia" w:cs="Calibri"/>
                <w:color w:val="000000"/>
                <w:sz w:val="16"/>
                <w:szCs w:val="20"/>
                <w:lang w:eastAsia="en-AU"/>
              </w:rPr>
              <w:t xml:space="preserve"> Consulting Pty Ltd (Liability)</w:t>
            </w:r>
          </w:p>
        </w:tc>
        <w:tc>
          <w:tcPr>
            <w:tcW w:w="845"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3.50</w:t>
            </w:r>
          </w:p>
        </w:tc>
        <w:tc>
          <w:tcPr>
            <w:tcW w:w="856"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4.10</w:t>
            </w:r>
          </w:p>
        </w:tc>
        <w:tc>
          <w:tcPr>
            <w:tcW w:w="1701"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3.00</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3.00</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2.20</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1.80</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Risk margin = 31.70 CHE = 7.90</w:t>
            </w:r>
          </w:p>
        </w:tc>
        <w:tc>
          <w:tcPr>
            <w:tcW w:w="138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Risk margin = 31.70 CHE = 7.10</w:t>
            </w:r>
          </w:p>
        </w:tc>
      </w:tr>
      <w:tr w:rsidR="00BB6F1F" w:rsidRPr="00254B35" w:rsidTr="00AC68FF">
        <w:tc>
          <w:tcPr>
            <w:cnfStyle w:val="001000000000" w:firstRow="0" w:lastRow="0" w:firstColumn="1" w:lastColumn="0" w:oddVBand="0" w:evenVBand="0" w:oddHBand="0" w:evenHBand="0" w:firstRowFirstColumn="0" w:firstRowLastColumn="0" w:lastRowFirstColumn="0" w:lastRowLastColumn="0"/>
            <w:tcW w:w="1695"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rPr>
                <w:rFonts w:eastAsiaTheme="minorEastAsia" w:cs="Calibri"/>
                <w:color w:val="000000"/>
                <w:sz w:val="16"/>
                <w:szCs w:val="20"/>
                <w:lang w:eastAsia="en-AU"/>
              </w:rPr>
            </w:pPr>
            <w:r w:rsidRPr="00254B35">
              <w:rPr>
                <w:rFonts w:eastAsiaTheme="minorEastAsia" w:cs="Calibri"/>
                <w:color w:val="000000"/>
                <w:sz w:val="16"/>
                <w:szCs w:val="20"/>
                <w:lang w:eastAsia="en-AU"/>
              </w:rPr>
              <w:t xml:space="preserve">Victorian Managed Insurance Authority </w:t>
            </w:r>
          </w:p>
        </w:tc>
        <w:tc>
          <w:tcPr>
            <w:tcW w:w="1843" w:type="dxa"/>
            <w:tcBorders>
              <w:top w:val="single" w:sz="6" w:space="0" w:color="auto"/>
              <w:left w:val="nil"/>
              <w:bottom w:val="single" w:sz="6" w:space="0" w:color="auto"/>
              <w:right w:val="nil"/>
            </w:tcBorders>
            <w:shd w:val="solid" w:color="FFFFFF" w:fill="auto"/>
          </w:tcPr>
          <w:p w:rsidR="00BB6F1F" w:rsidRPr="00254B35" w:rsidRDefault="00BB6F1F" w:rsidP="00D47122">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proofErr w:type="spellStart"/>
            <w:r w:rsidRPr="00254B35">
              <w:rPr>
                <w:rFonts w:eastAsiaTheme="minorEastAsia" w:cs="Calibri"/>
                <w:color w:val="000000"/>
                <w:sz w:val="16"/>
                <w:szCs w:val="20"/>
                <w:lang w:eastAsia="en-AU"/>
              </w:rPr>
              <w:t>Finity</w:t>
            </w:r>
            <w:proofErr w:type="spellEnd"/>
            <w:r w:rsidRPr="00254B35">
              <w:rPr>
                <w:rFonts w:eastAsiaTheme="minorEastAsia" w:cs="Calibri"/>
                <w:color w:val="000000"/>
                <w:sz w:val="16"/>
                <w:szCs w:val="20"/>
                <w:lang w:eastAsia="en-AU"/>
              </w:rPr>
              <w:t xml:space="preserve"> Consulting Pty Ltd</w:t>
            </w:r>
            <w:r w:rsidR="00D47122">
              <w:rPr>
                <w:rFonts w:eastAsiaTheme="minorEastAsia" w:cs="Calibri"/>
                <w:color w:val="000000"/>
                <w:sz w:val="16"/>
                <w:szCs w:val="20"/>
                <w:lang w:eastAsia="en-AU"/>
              </w:rPr>
              <w:t xml:space="preserve"> </w:t>
            </w:r>
            <w:r w:rsidRPr="00254B35">
              <w:rPr>
                <w:rFonts w:eastAsiaTheme="minorEastAsia" w:cs="Calibri"/>
                <w:color w:val="000000"/>
                <w:sz w:val="16"/>
                <w:szCs w:val="20"/>
                <w:lang w:eastAsia="en-AU"/>
              </w:rPr>
              <w:t>(Property)</w:t>
            </w:r>
          </w:p>
        </w:tc>
        <w:tc>
          <w:tcPr>
            <w:tcW w:w="845"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1.10</w:t>
            </w:r>
          </w:p>
        </w:tc>
        <w:tc>
          <w:tcPr>
            <w:tcW w:w="856"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1.10</w:t>
            </w:r>
          </w:p>
        </w:tc>
        <w:tc>
          <w:tcPr>
            <w:tcW w:w="1701"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3.00</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3.00</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2.20</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1.80</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 xml:space="preserve">Risk margin = 17.50 </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CHE = 8.00</w:t>
            </w:r>
          </w:p>
        </w:tc>
        <w:tc>
          <w:tcPr>
            <w:tcW w:w="138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 xml:space="preserve">Risk margin = 17.50 </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CHE = 6.30</w:t>
            </w:r>
          </w:p>
        </w:tc>
      </w:tr>
      <w:tr w:rsidR="00BB6F1F" w:rsidRPr="00254B35" w:rsidTr="00AC68FF">
        <w:tc>
          <w:tcPr>
            <w:cnfStyle w:val="001000000000" w:firstRow="0" w:lastRow="0" w:firstColumn="1" w:lastColumn="0" w:oddVBand="0" w:evenVBand="0" w:oddHBand="0" w:evenHBand="0" w:firstRowFirstColumn="0" w:firstRowLastColumn="0" w:lastRowFirstColumn="0" w:lastRowLastColumn="0"/>
            <w:tcW w:w="1695"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rPr>
                <w:rFonts w:eastAsiaTheme="minorEastAsia" w:cs="Calibri"/>
                <w:color w:val="000000"/>
                <w:sz w:val="16"/>
                <w:szCs w:val="20"/>
                <w:lang w:eastAsia="en-AU"/>
              </w:rPr>
            </w:pPr>
            <w:r w:rsidRPr="00254B35">
              <w:rPr>
                <w:rFonts w:eastAsiaTheme="minorEastAsia" w:cs="Calibri"/>
                <w:color w:val="000000"/>
                <w:sz w:val="16"/>
                <w:szCs w:val="20"/>
                <w:lang w:eastAsia="en-AU"/>
              </w:rPr>
              <w:t xml:space="preserve">Victorian Managed Insurance Authority </w:t>
            </w:r>
          </w:p>
        </w:tc>
        <w:tc>
          <w:tcPr>
            <w:tcW w:w="1843" w:type="dxa"/>
            <w:tcBorders>
              <w:top w:val="single" w:sz="6" w:space="0" w:color="auto"/>
              <w:left w:val="nil"/>
              <w:bottom w:val="single" w:sz="6" w:space="0" w:color="auto"/>
              <w:right w:val="nil"/>
            </w:tcBorders>
            <w:shd w:val="solid" w:color="FFFFFF" w:fill="auto"/>
          </w:tcPr>
          <w:p w:rsidR="00BB6F1F" w:rsidRPr="00254B35" w:rsidRDefault="00BB6F1F" w:rsidP="00D47122">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proofErr w:type="spellStart"/>
            <w:r w:rsidRPr="00254B35">
              <w:rPr>
                <w:rFonts w:eastAsiaTheme="minorEastAsia" w:cs="Calibri"/>
                <w:color w:val="000000"/>
                <w:sz w:val="16"/>
                <w:szCs w:val="20"/>
                <w:lang w:eastAsia="en-AU"/>
              </w:rPr>
              <w:t>Finity</w:t>
            </w:r>
            <w:proofErr w:type="spellEnd"/>
            <w:r w:rsidRPr="00254B35">
              <w:rPr>
                <w:rFonts w:eastAsiaTheme="minorEastAsia" w:cs="Calibri"/>
                <w:color w:val="000000"/>
                <w:sz w:val="16"/>
                <w:szCs w:val="20"/>
                <w:lang w:eastAsia="en-AU"/>
              </w:rPr>
              <w:t xml:space="preserve"> Consulting Pty Ltd</w:t>
            </w:r>
            <w:r w:rsidR="00D47122">
              <w:rPr>
                <w:rFonts w:eastAsiaTheme="minorEastAsia" w:cs="Calibri"/>
                <w:color w:val="000000"/>
                <w:sz w:val="16"/>
                <w:szCs w:val="20"/>
                <w:lang w:eastAsia="en-AU"/>
              </w:rPr>
              <w:t xml:space="preserve"> </w:t>
            </w:r>
            <w:r w:rsidRPr="00254B35">
              <w:rPr>
                <w:rFonts w:eastAsiaTheme="minorEastAsia" w:cs="Calibri"/>
                <w:color w:val="000000"/>
                <w:sz w:val="16"/>
                <w:szCs w:val="20"/>
                <w:lang w:eastAsia="en-AU"/>
              </w:rPr>
              <w:t>(Other)</w:t>
            </w:r>
          </w:p>
        </w:tc>
        <w:tc>
          <w:tcPr>
            <w:tcW w:w="845"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2.50</w:t>
            </w:r>
          </w:p>
        </w:tc>
        <w:tc>
          <w:tcPr>
            <w:tcW w:w="856"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2.50</w:t>
            </w:r>
          </w:p>
        </w:tc>
        <w:tc>
          <w:tcPr>
            <w:tcW w:w="1701"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3.00</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3.00</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2.20</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1.80</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Risk margin = 30.30</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CHE = 7.50</w:t>
            </w:r>
          </w:p>
        </w:tc>
        <w:tc>
          <w:tcPr>
            <w:tcW w:w="138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Risk margin = 29.40</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CHE = 7.50</w:t>
            </w:r>
          </w:p>
        </w:tc>
      </w:tr>
      <w:tr w:rsidR="00BB6F1F" w:rsidRPr="00254B35" w:rsidTr="00AC68FF">
        <w:tc>
          <w:tcPr>
            <w:cnfStyle w:val="001000000000" w:firstRow="0" w:lastRow="0" w:firstColumn="1" w:lastColumn="0" w:oddVBand="0" w:evenVBand="0" w:oddHBand="0" w:evenHBand="0" w:firstRowFirstColumn="0" w:firstRowLastColumn="0" w:lastRowFirstColumn="0" w:lastRowLastColumn="0"/>
            <w:tcW w:w="1695"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rPr>
                <w:rFonts w:eastAsiaTheme="minorEastAsia" w:cs="Calibri"/>
                <w:color w:val="000000"/>
                <w:sz w:val="16"/>
                <w:szCs w:val="20"/>
                <w:lang w:eastAsia="en-AU"/>
              </w:rPr>
            </w:pPr>
            <w:r w:rsidRPr="00254B35">
              <w:rPr>
                <w:rFonts w:eastAsiaTheme="minorEastAsia" w:cs="Calibri"/>
                <w:color w:val="000000"/>
                <w:sz w:val="16"/>
                <w:szCs w:val="20"/>
                <w:lang w:eastAsia="en-AU"/>
              </w:rPr>
              <w:t xml:space="preserve">Victorian Managed Insurance Authority </w:t>
            </w:r>
          </w:p>
        </w:tc>
        <w:tc>
          <w:tcPr>
            <w:tcW w:w="1843" w:type="dxa"/>
            <w:tcBorders>
              <w:top w:val="single" w:sz="6" w:space="0" w:color="auto"/>
              <w:left w:val="nil"/>
              <w:bottom w:val="single" w:sz="6" w:space="0" w:color="auto"/>
              <w:right w:val="nil"/>
            </w:tcBorders>
            <w:shd w:val="solid" w:color="FFFFFF" w:fill="auto"/>
          </w:tcPr>
          <w:p w:rsidR="00BB6F1F" w:rsidRPr="00254B35" w:rsidRDefault="00BB6F1F" w:rsidP="00D47122">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proofErr w:type="spellStart"/>
            <w:r>
              <w:rPr>
                <w:rFonts w:eastAsiaTheme="minorEastAsia" w:cs="Calibri"/>
                <w:color w:val="000000"/>
                <w:sz w:val="16"/>
                <w:szCs w:val="20"/>
                <w:lang w:eastAsia="en-AU"/>
              </w:rPr>
              <w:t>Finity</w:t>
            </w:r>
            <w:proofErr w:type="spellEnd"/>
            <w:r>
              <w:rPr>
                <w:rFonts w:eastAsiaTheme="minorEastAsia" w:cs="Calibri"/>
                <w:color w:val="000000"/>
                <w:sz w:val="16"/>
                <w:szCs w:val="20"/>
                <w:lang w:eastAsia="en-AU"/>
              </w:rPr>
              <w:t xml:space="preserve"> Consulting Pty Ltd (Dust Diseases and Workers’ Compensation)</w:t>
            </w:r>
          </w:p>
        </w:tc>
        <w:tc>
          <w:tcPr>
            <w:tcW w:w="845"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12.00</w:t>
            </w:r>
          </w:p>
        </w:tc>
        <w:tc>
          <w:tcPr>
            <w:tcW w:w="856"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12.10</w:t>
            </w:r>
          </w:p>
        </w:tc>
        <w:tc>
          <w:tcPr>
            <w:tcW w:w="1701"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5.40</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5.40</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3.20</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2.60</w:t>
            </w:r>
          </w:p>
        </w:tc>
        <w:tc>
          <w:tcPr>
            <w:tcW w:w="155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Risk margin = 31.50</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CHE = 7.00</w:t>
            </w:r>
          </w:p>
        </w:tc>
        <w:tc>
          <w:tcPr>
            <w:tcW w:w="1389" w:type="dxa"/>
            <w:tcBorders>
              <w:top w:val="single" w:sz="6" w:space="0" w:color="auto"/>
              <w:left w:val="nil"/>
              <w:bottom w:val="single" w:sz="6"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Risk margin = 28.50</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CHE = 7.00</w:t>
            </w:r>
          </w:p>
        </w:tc>
      </w:tr>
      <w:tr w:rsidR="00BB6F1F" w:rsidRPr="00254B35" w:rsidTr="00AC68FF">
        <w:tc>
          <w:tcPr>
            <w:cnfStyle w:val="001000000000" w:firstRow="0" w:lastRow="0" w:firstColumn="1" w:lastColumn="0" w:oddVBand="0" w:evenVBand="0" w:oddHBand="0" w:evenHBand="0" w:firstRowFirstColumn="0" w:firstRowLastColumn="0" w:lastRowFirstColumn="0" w:lastRowLastColumn="0"/>
            <w:tcW w:w="1695" w:type="dxa"/>
            <w:tcBorders>
              <w:top w:val="single" w:sz="6" w:space="0" w:color="auto"/>
              <w:left w:val="nil"/>
              <w:bottom w:val="single" w:sz="12" w:space="0" w:color="auto"/>
              <w:right w:val="nil"/>
            </w:tcBorders>
            <w:shd w:val="solid" w:color="FFFFFF" w:fill="auto"/>
          </w:tcPr>
          <w:p w:rsidR="00BB6F1F" w:rsidRPr="00254B35" w:rsidRDefault="00BB6F1F" w:rsidP="00AC68FF">
            <w:pPr>
              <w:keepLines w:val="0"/>
              <w:autoSpaceDE w:val="0"/>
              <w:autoSpaceDN w:val="0"/>
              <w:adjustRightInd w:val="0"/>
              <w:rPr>
                <w:rFonts w:eastAsiaTheme="minorEastAsia" w:cs="Calibri"/>
                <w:color w:val="000000"/>
                <w:sz w:val="16"/>
                <w:szCs w:val="20"/>
                <w:lang w:eastAsia="en-AU"/>
              </w:rPr>
            </w:pPr>
            <w:r w:rsidRPr="00254B35">
              <w:rPr>
                <w:rFonts w:eastAsiaTheme="minorEastAsia" w:cs="Calibri"/>
                <w:color w:val="000000"/>
                <w:sz w:val="16"/>
                <w:szCs w:val="20"/>
                <w:lang w:eastAsia="en-AU"/>
              </w:rPr>
              <w:t xml:space="preserve">Victorian Managed Insurance Authority </w:t>
            </w:r>
          </w:p>
        </w:tc>
        <w:tc>
          <w:tcPr>
            <w:tcW w:w="1843" w:type="dxa"/>
            <w:tcBorders>
              <w:top w:val="single" w:sz="6" w:space="0" w:color="auto"/>
              <w:left w:val="nil"/>
              <w:bottom w:val="single" w:sz="12" w:space="0" w:color="auto"/>
              <w:right w:val="nil"/>
            </w:tcBorders>
            <w:shd w:val="solid" w:color="FFFFFF" w:fill="auto"/>
          </w:tcPr>
          <w:p w:rsidR="00BB6F1F" w:rsidRPr="00254B35" w:rsidRDefault="00BB6F1F" w:rsidP="00D47122">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proofErr w:type="spellStart"/>
            <w:r>
              <w:rPr>
                <w:rFonts w:eastAsiaTheme="minorEastAsia" w:cs="Calibri"/>
                <w:color w:val="000000"/>
                <w:sz w:val="16"/>
                <w:szCs w:val="20"/>
                <w:lang w:eastAsia="en-AU"/>
              </w:rPr>
              <w:t>Finity</w:t>
            </w:r>
            <w:proofErr w:type="spellEnd"/>
            <w:r>
              <w:rPr>
                <w:rFonts w:eastAsiaTheme="minorEastAsia" w:cs="Calibri"/>
                <w:color w:val="000000"/>
                <w:sz w:val="16"/>
                <w:szCs w:val="20"/>
                <w:lang w:eastAsia="en-AU"/>
              </w:rPr>
              <w:t xml:space="preserve"> Consulting Pty Ltd (Domestic Building Insurance)</w:t>
            </w:r>
          </w:p>
        </w:tc>
        <w:tc>
          <w:tcPr>
            <w:tcW w:w="845" w:type="dxa"/>
            <w:tcBorders>
              <w:top w:val="single" w:sz="6" w:space="0" w:color="auto"/>
              <w:left w:val="nil"/>
              <w:bottom w:val="single" w:sz="12"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3.60</w:t>
            </w:r>
          </w:p>
        </w:tc>
        <w:tc>
          <w:tcPr>
            <w:tcW w:w="856" w:type="dxa"/>
            <w:tcBorders>
              <w:top w:val="single" w:sz="6" w:space="0" w:color="auto"/>
              <w:left w:val="nil"/>
              <w:bottom w:val="single" w:sz="12"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3.90</w:t>
            </w:r>
          </w:p>
        </w:tc>
        <w:tc>
          <w:tcPr>
            <w:tcW w:w="1701" w:type="dxa"/>
            <w:tcBorders>
              <w:top w:val="single" w:sz="6" w:space="0" w:color="auto"/>
              <w:left w:val="nil"/>
              <w:bottom w:val="single" w:sz="12"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3.00</w:t>
            </w:r>
          </w:p>
        </w:tc>
        <w:tc>
          <w:tcPr>
            <w:tcW w:w="1559" w:type="dxa"/>
            <w:tcBorders>
              <w:top w:val="single" w:sz="6" w:space="0" w:color="auto"/>
              <w:left w:val="nil"/>
              <w:bottom w:val="single" w:sz="12"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3.00</w:t>
            </w:r>
          </w:p>
        </w:tc>
        <w:tc>
          <w:tcPr>
            <w:tcW w:w="1559" w:type="dxa"/>
            <w:tcBorders>
              <w:top w:val="single" w:sz="6" w:space="0" w:color="auto"/>
              <w:left w:val="nil"/>
              <w:bottom w:val="single" w:sz="12"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2.30</w:t>
            </w:r>
          </w:p>
        </w:tc>
        <w:tc>
          <w:tcPr>
            <w:tcW w:w="1559" w:type="dxa"/>
            <w:tcBorders>
              <w:top w:val="single" w:sz="6" w:space="0" w:color="auto"/>
              <w:left w:val="nil"/>
              <w:bottom w:val="single" w:sz="12"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1.80</w:t>
            </w:r>
          </w:p>
        </w:tc>
        <w:tc>
          <w:tcPr>
            <w:tcW w:w="1559" w:type="dxa"/>
            <w:tcBorders>
              <w:top w:val="single" w:sz="6" w:space="0" w:color="auto"/>
              <w:left w:val="nil"/>
              <w:bottom w:val="single" w:sz="12"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 xml:space="preserve">Risk margin = 23.50 </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CHE = 5.00</w:t>
            </w:r>
          </w:p>
        </w:tc>
        <w:tc>
          <w:tcPr>
            <w:tcW w:w="1389" w:type="dxa"/>
            <w:tcBorders>
              <w:top w:val="single" w:sz="6" w:space="0" w:color="auto"/>
              <w:left w:val="nil"/>
              <w:bottom w:val="single" w:sz="12" w:space="0" w:color="auto"/>
              <w:right w:val="nil"/>
            </w:tcBorders>
            <w:shd w:val="solid" w:color="FFFFFF" w:fill="auto"/>
          </w:tcPr>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 xml:space="preserve">Risk margin = 23.50 </w:t>
            </w:r>
          </w:p>
          <w:p w:rsidR="00BB6F1F" w:rsidRPr="00254B3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254B35">
              <w:rPr>
                <w:rFonts w:eastAsiaTheme="minorEastAsia" w:cs="Calibri"/>
                <w:color w:val="000000"/>
                <w:sz w:val="16"/>
                <w:szCs w:val="20"/>
                <w:lang w:eastAsia="en-AU"/>
              </w:rPr>
              <w:t>CHE = 6.00</w:t>
            </w:r>
          </w:p>
        </w:tc>
      </w:tr>
    </w:tbl>
    <w:p w:rsidR="00BB6F1F" w:rsidRDefault="00BB6F1F" w:rsidP="00AC68FF">
      <w:pPr>
        <w:pStyle w:val="Note"/>
      </w:pPr>
      <w:r>
        <w:t>Notes:</w:t>
      </w:r>
    </w:p>
    <w:p w:rsidR="00BB6F1F" w:rsidRDefault="00BB6F1F" w:rsidP="00AC68FF">
      <w:pPr>
        <w:pStyle w:val="Note"/>
      </w:pPr>
      <w:r>
        <w:t>(a)</w:t>
      </w:r>
      <w:r>
        <w:tab/>
        <w:t>The inflation rate assumptions are based on the anticipated rise in costs relevant to a particular entity.</w:t>
      </w:r>
    </w:p>
    <w:p w:rsidR="00BB6F1F" w:rsidRDefault="00BB6F1F" w:rsidP="00AC68FF">
      <w:pPr>
        <w:pStyle w:val="Note"/>
      </w:pPr>
      <w:r>
        <w:t>(b)</w:t>
      </w:r>
      <w:r>
        <w:tab/>
        <w:t>Financial assumptions used for provisions not later than 1 year and later than 1 year are the same unless otherwise specified.</w:t>
      </w:r>
    </w:p>
    <w:p w:rsidR="00BB6F1F" w:rsidRDefault="00BB6F1F" w:rsidP="00AC68FF">
      <w:pPr>
        <w:pStyle w:val="Note"/>
      </w:pPr>
      <w:r>
        <w:t>(c)</w:t>
      </w:r>
      <w:r>
        <w:tab/>
        <w:t>Data in financial assumptions used columns are weighted average unless otherwise specified.</w:t>
      </w:r>
    </w:p>
    <w:p w:rsidR="00BB6F1F" w:rsidRDefault="00BB6F1F" w:rsidP="00AC68FF">
      <w:pPr>
        <w:pStyle w:val="Note"/>
      </w:pPr>
      <w:r>
        <w:t>(d)</w:t>
      </w:r>
      <w:r>
        <w:tab/>
        <w:t>The inflation rates used by Transport Accident Commission are not weighted average for 21+ years.</w:t>
      </w:r>
    </w:p>
    <w:p w:rsidR="00BB6F1F" w:rsidRDefault="00BB6F1F" w:rsidP="00AC68FF">
      <w:pPr>
        <w:pStyle w:val="Note"/>
      </w:pPr>
      <w:r>
        <w:t>(e)</w:t>
      </w:r>
      <w:r>
        <w:tab/>
        <w:t>AWE = Victorian Average Weekly Earnings.</w:t>
      </w:r>
    </w:p>
    <w:p w:rsidR="00BB6F1F" w:rsidRPr="00EC214F" w:rsidRDefault="00BB6F1F" w:rsidP="00AC68FF">
      <w:pPr>
        <w:pStyle w:val="Note"/>
      </w:pPr>
      <w:r>
        <w:t>(f)</w:t>
      </w:r>
      <w:r>
        <w:tab/>
        <w:t>Refers to ‘Claims Handling Expenses’. Claims handling expenses is an allowance made for the director expenses to be incurred in settling claims.</w:t>
      </w:r>
    </w:p>
    <w:p w:rsidR="00BB6F1F" w:rsidRDefault="00BB6F1F" w:rsidP="00AC68FF"/>
    <w:p w:rsidR="00BB6F1F" w:rsidRDefault="00BB6F1F" w:rsidP="00AC68FF">
      <w:pPr>
        <w:sectPr w:rsidR="00BB6F1F" w:rsidSect="00AC68FF">
          <w:headerReference w:type="even" r:id="rId89"/>
          <w:headerReference w:type="default" r:id="rId90"/>
          <w:footerReference w:type="even" r:id="rId91"/>
          <w:footerReference w:type="default" r:id="rId92"/>
          <w:pgSz w:w="16839" w:h="11907" w:orient="landscape" w:code="9"/>
          <w:pgMar w:top="1134" w:right="1134" w:bottom="1134" w:left="1134" w:header="624" w:footer="567" w:gutter="0"/>
          <w:cols w:sep="1" w:space="567"/>
          <w:docGrid w:linePitch="360"/>
        </w:sectPr>
      </w:pPr>
    </w:p>
    <w:p w:rsidR="00BB6F1F" w:rsidRDefault="00BB6F1F" w:rsidP="00BB6F1F">
      <w:pPr>
        <w:pStyle w:val="Heading1"/>
        <w:numPr>
          <w:ilvl w:val="0"/>
          <w:numId w:val="24"/>
        </w:numPr>
        <w:pBdr>
          <w:bottom w:val="none" w:sz="0" w:space="0" w:color="auto"/>
        </w:pBdr>
        <w:sectPr w:rsidR="00BB6F1F" w:rsidSect="00AC68FF">
          <w:headerReference w:type="even" r:id="rId93"/>
          <w:headerReference w:type="default" r:id="rId94"/>
          <w:footerReference w:type="even" r:id="rId95"/>
          <w:footerReference w:type="default" r:id="rId96"/>
          <w:pgSz w:w="11907" w:h="16839" w:code="9"/>
          <w:pgMar w:top="1134" w:right="1134" w:bottom="1134" w:left="1134" w:header="624" w:footer="567" w:gutter="0"/>
          <w:cols w:sep="1" w:space="567"/>
          <w:docGrid w:linePitch="360"/>
        </w:sectPr>
      </w:pPr>
      <w:bookmarkStart w:id="51" w:name="_Toc492985878"/>
      <w:bookmarkStart w:id="52" w:name="Section_07"/>
      <w:bookmarkEnd w:id="44"/>
      <w:r>
        <w:lastRenderedPageBreak/>
        <w:t xml:space="preserve">Risks, </w:t>
      </w:r>
      <w:r w:rsidRPr="00883B62">
        <w:t>contingencies</w:t>
      </w:r>
      <w:r>
        <w:t xml:space="preserve"> and valuation judgements</w:t>
      </w:r>
      <w:bookmarkEnd w:id="51"/>
    </w:p>
    <w:p w:rsidR="00BB6F1F" w:rsidRDefault="00BB6F1F" w:rsidP="00AC68FF">
      <w:pPr>
        <w:pStyle w:val="Heading30"/>
      </w:pPr>
      <w:r w:rsidRPr="00883B62">
        <w:lastRenderedPageBreak/>
        <w:t>Introduction</w:t>
      </w:r>
      <w:r>
        <w:t xml:space="preserve"> </w:t>
      </w:r>
    </w:p>
    <w:p w:rsidR="00BB6F1F" w:rsidRDefault="00BB6F1F" w:rsidP="00AC68FF">
      <w:r>
        <w:t xml:space="preserve">The State is exposed to risks from both its activities and outside factors. In addition, it is often necessary to make judgements and estimates associated with recognition and measurement of items in the financial statements. </w:t>
      </w:r>
    </w:p>
    <w:p w:rsidR="00BB6F1F" w:rsidRDefault="00BB6F1F" w:rsidP="00AC68FF">
      <w:r>
        <w:t>This section presents information on financial instruments, contingent assets and liabilities, and fair value determinations on the States’ assets and liabilities.</w:t>
      </w:r>
    </w:p>
    <w:p w:rsidR="00BB6F1F" w:rsidRDefault="00BB6F1F" w:rsidP="00AC68FF">
      <w:pPr>
        <w:pStyle w:val="Heading30"/>
      </w:pPr>
      <w:r>
        <w:br w:type="column"/>
      </w:r>
      <w:r w:rsidRPr="00883B62">
        <w:lastRenderedPageBreak/>
        <w:t>Structure</w:t>
      </w:r>
    </w:p>
    <w:p w:rsidR="00BB6F1F" w:rsidRDefault="00BB6F1F">
      <w:pPr>
        <w:pStyle w:val="TOC9"/>
        <w:rPr>
          <w:rFonts w:eastAsiaTheme="minorEastAsia"/>
          <w:noProof/>
          <w:spacing w:val="0"/>
          <w:lang w:eastAsia="en-AU"/>
        </w:rPr>
      </w:pPr>
      <w:r>
        <w:fldChar w:fldCharType="begin"/>
      </w:r>
      <w:r>
        <w:instrText xml:space="preserve"> TOC \h \z \t "Heading 2 (#),9" \b Section_07 \* MERGEFORMAT </w:instrText>
      </w:r>
      <w:r>
        <w:fldChar w:fldCharType="separate"/>
      </w:r>
      <w:hyperlink w:anchor="_Toc492984891" w:history="1">
        <w:r w:rsidRPr="009016E3">
          <w:rPr>
            <w:rStyle w:val="Hyperlink"/>
            <w:noProof/>
          </w:rPr>
          <w:t>7.1</w:t>
        </w:r>
        <w:r>
          <w:rPr>
            <w:rFonts w:eastAsiaTheme="minorEastAsia"/>
            <w:noProof/>
            <w:spacing w:val="0"/>
            <w:lang w:eastAsia="en-AU"/>
          </w:rPr>
          <w:tab/>
        </w:r>
        <w:r w:rsidRPr="009016E3">
          <w:rPr>
            <w:rStyle w:val="Hyperlink"/>
            <w:noProof/>
          </w:rPr>
          <w:t>Financial instruments</w:t>
        </w:r>
        <w:r>
          <w:rPr>
            <w:noProof/>
            <w:webHidden/>
          </w:rPr>
          <w:tab/>
        </w:r>
        <w:r>
          <w:rPr>
            <w:noProof/>
            <w:webHidden/>
          </w:rPr>
          <w:fldChar w:fldCharType="begin"/>
        </w:r>
        <w:r>
          <w:rPr>
            <w:noProof/>
            <w:webHidden/>
          </w:rPr>
          <w:instrText xml:space="preserve"> PAGEREF _Toc492984891 \h </w:instrText>
        </w:r>
        <w:r>
          <w:rPr>
            <w:noProof/>
            <w:webHidden/>
          </w:rPr>
        </w:r>
        <w:r>
          <w:rPr>
            <w:noProof/>
            <w:webHidden/>
          </w:rPr>
          <w:fldChar w:fldCharType="separate"/>
        </w:r>
        <w:r w:rsidR="002C7F26">
          <w:rPr>
            <w:noProof/>
            <w:webHidden/>
          </w:rPr>
          <w:t>80</w:t>
        </w:r>
        <w:r>
          <w:rPr>
            <w:noProof/>
            <w:webHidden/>
          </w:rPr>
          <w:fldChar w:fldCharType="end"/>
        </w:r>
      </w:hyperlink>
    </w:p>
    <w:p w:rsidR="00BB6F1F" w:rsidRDefault="00E73501">
      <w:pPr>
        <w:pStyle w:val="TOC9"/>
        <w:rPr>
          <w:rFonts w:eastAsiaTheme="minorEastAsia"/>
          <w:noProof/>
          <w:spacing w:val="0"/>
          <w:lang w:eastAsia="en-AU"/>
        </w:rPr>
      </w:pPr>
      <w:hyperlink w:anchor="_Toc492984892" w:history="1">
        <w:r w:rsidR="00BB6F1F" w:rsidRPr="009016E3">
          <w:rPr>
            <w:rStyle w:val="Hyperlink"/>
            <w:noProof/>
          </w:rPr>
          <w:t>7.2</w:t>
        </w:r>
        <w:r w:rsidR="00BB6F1F">
          <w:rPr>
            <w:rFonts w:eastAsiaTheme="minorEastAsia"/>
            <w:noProof/>
            <w:spacing w:val="0"/>
            <w:lang w:eastAsia="en-AU"/>
          </w:rPr>
          <w:tab/>
        </w:r>
        <w:r w:rsidR="00BB6F1F" w:rsidRPr="009016E3">
          <w:rPr>
            <w:rStyle w:val="Hyperlink"/>
            <w:noProof/>
          </w:rPr>
          <w:t>Contingent assets and contingent liabilities (State of Victoria)</w:t>
        </w:r>
        <w:r w:rsidR="00BB6F1F">
          <w:rPr>
            <w:noProof/>
            <w:webHidden/>
          </w:rPr>
          <w:tab/>
        </w:r>
        <w:r w:rsidR="00BB6F1F">
          <w:rPr>
            <w:noProof/>
            <w:webHidden/>
          </w:rPr>
          <w:fldChar w:fldCharType="begin"/>
        </w:r>
        <w:r w:rsidR="00BB6F1F">
          <w:rPr>
            <w:noProof/>
            <w:webHidden/>
          </w:rPr>
          <w:instrText xml:space="preserve"> PAGEREF _Toc492984892 \h </w:instrText>
        </w:r>
        <w:r w:rsidR="00BB6F1F">
          <w:rPr>
            <w:noProof/>
            <w:webHidden/>
          </w:rPr>
        </w:r>
        <w:r w:rsidR="00BB6F1F">
          <w:rPr>
            <w:noProof/>
            <w:webHidden/>
          </w:rPr>
          <w:fldChar w:fldCharType="separate"/>
        </w:r>
        <w:r w:rsidR="002C7F26">
          <w:rPr>
            <w:noProof/>
            <w:webHidden/>
          </w:rPr>
          <w:t>91</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893" w:history="1">
        <w:r w:rsidR="00BB6F1F" w:rsidRPr="009016E3">
          <w:rPr>
            <w:rStyle w:val="Hyperlink"/>
            <w:noProof/>
          </w:rPr>
          <w:t>7.3</w:t>
        </w:r>
        <w:r w:rsidR="00BB6F1F">
          <w:rPr>
            <w:rFonts w:eastAsiaTheme="minorEastAsia"/>
            <w:noProof/>
            <w:spacing w:val="0"/>
            <w:lang w:eastAsia="en-AU"/>
          </w:rPr>
          <w:tab/>
        </w:r>
        <w:r w:rsidR="00BB6F1F" w:rsidRPr="009016E3">
          <w:rPr>
            <w:rStyle w:val="Hyperlink"/>
            <w:noProof/>
          </w:rPr>
          <w:t>Fair value determination</w:t>
        </w:r>
        <w:r w:rsidR="00BB6F1F">
          <w:rPr>
            <w:noProof/>
            <w:webHidden/>
          </w:rPr>
          <w:tab/>
        </w:r>
        <w:r w:rsidR="00BB6F1F">
          <w:rPr>
            <w:noProof/>
            <w:webHidden/>
          </w:rPr>
          <w:fldChar w:fldCharType="begin"/>
        </w:r>
        <w:r w:rsidR="00BB6F1F">
          <w:rPr>
            <w:noProof/>
            <w:webHidden/>
          </w:rPr>
          <w:instrText xml:space="preserve"> PAGEREF _Toc492984893 \h </w:instrText>
        </w:r>
        <w:r w:rsidR="00BB6F1F">
          <w:rPr>
            <w:noProof/>
            <w:webHidden/>
          </w:rPr>
        </w:r>
        <w:r w:rsidR="00BB6F1F">
          <w:rPr>
            <w:noProof/>
            <w:webHidden/>
          </w:rPr>
          <w:fldChar w:fldCharType="separate"/>
        </w:r>
        <w:r w:rsidR="002C7F26">
          <w:rPr>
            <w:noProof/>
            <w:webHidden/>
          </w:rPr>
          <w:t>95</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894" w:history="1">
        <w:r w:rsidR="00BB6F1F" w:rsidRPr="009016E3">
          <w:rPr>
            <w:rStyle w:val="Hyperlink"/>
            <w:noProof/>
          </w:rPr>
          <w:t>7.4</w:t>
        </w:r>
        <w:r w:rsidR="00BB6F1F">
          <w:rPr>
            <w:rFonts w:eastAsiaTheme="minorEastAsia"/>
            <w:noProof/>
            <w:spacing w:val="0"/>
            <w:lang w:eastAsia="en-AU"/>
          </w:rPr>
          <w:tab/>
        </w:r>
        <w:r w:rsidR="00BB6F1F" w:rsidRPr="009016E3">
          <w:rPr>
            <w:rStyle w:val="Hyperlink"/>
            <w:noProof/>
          </w:rPr>
          <w:t>Fair value determination of financial assets and liabilities</w:t>
        </w:r>
        <w:r w:rsidR="00BB6F1F">
          <w:rPr>
            <w:noProof/>
            <w:webHidden/>
          </w:rPr>
          <w:tab/>
        </w:r>
        <w:r w:rsidR="00BB6F1F">
          <w:rPr>
            <w:noProof/>
            <w:webHidden/>
          </w:rPr>
          <w:fldChar w:fldCharType="begin"/>
        </w:r>
        <w:r w:rsidR="00BB6F1F">
          <w:rPr>
            <w:noProof/>
            <w:webHidden/>
          </w:rPr>
          <w:instrText xml:space="preserve"> PAGEREF _Toc492984894 \h </w:instrText>
        </w:r>
        <w:r w:rsidR="00BB6F1F">
          <w:rPr>
            <w:noProof/>
            <w:webHidden/>
          </w:rPr>
        </w:r>
        <w:r w:rsidR="00BB6F1F">
          <w:rPr>
            <w:noProof/>
            <w:webHidden/>
          </w:rPr>
          <w:fldChar w:fldCharType="separate"/>
        </w:r>
        <w:r w:rsidR="002C7F26">
          <w:rPr>
            <w:noProof/>
            <w:webHidden/>
          </w:rPr>
          <w:t>96</w:t>
        </w:r>
        <w:r w:rsidR="00BB6F1F">
          <w:rPr>
            <w:noProof/>
            <w:webHidden/>
          </w:rPr>
          <w:fldChar w:fldCharType="end"/>
        </w:r>
      </w:hyperlink>
    </w:p>
    <w:p w:rsidR="00BB6F1F" w:rsidRDefault="00E73501">
      <w:pPr>
        <w:pStyle w:val="TOC9"/>
        <w:rPr>
          <w:rStyle w:val="Hyperlink"/>
          <w:noProof/>
        </w:rPr>
      </w:pPr>
      <w:hyperlink w:anchor="_Toc492984895" w:history="1">
        <w:r w:rsidR="00BB6F1F" w:rsidRPr="009016E3">
          <w:rPr>
            <w:rStyle w:val="Hyperlink"/>
            <w:noProof/>
          </w:rPr>
          <w:t>7.5</w:t>
        </w:r>
        <w:r w:rsidR="00BB6F1F">
          <w:rPr>
            <w:rFonts w:eastAsiaTheme="minorEastAsia"/>
            <w:noProof/>
            <w:spacing w:val="0"/>
            <w:lang w:eastAsia="en-AU"/>
          </w:rPr>
          <w:tab/>
        </w:r>
        <w:r w:rsidR="00BB6F1F" w:rsidRPr="009016E3">
          <w:rPr>
            <w:rStyle w:val="Hyperlink"/>
            <w:noProof/>
          </w:rPr>
          <w:t>Fair value determination of non</w:t>
        </w:r>
        <w:r w:rsidR="00BB6F1F" w:rsidRPr="009016E3">
          <w:rPr>
            <w:rStyle w:val="Hyperlink"/>
            <w:noProof/>
          </w:rPr>
          <w:noBreakHyphen/>
          <w:t>financial assets</w:t>
        </w:r>
        <w:r w:rsidR="00BB6F1F">
          <w:rPr>
            <w:noProof/>
            <w:webHidden/>
          </w:rPr>
          <w:tab/>
        </w:r>
        <w:r w:rsidR="00BB6F1F">
          <w:rPr>
            <w:noProof/>
            <w:webHidden/>
          </w:rPr>
          <w:fldChar w:fldCharType="begin"/>
        </w:r>
        <w:r w:rsidR="00BB6F1F">
          <w:rPr>
            <w:noProof/>
            <w:webHidden/>
          </w:rPr>
          <w:instrText xml:space="preserve"> PAGEREF _Toc492984895 \h </w:instrText>
        </w:r>
        <w:r w:rsidR="00BB6F1F">
          <w:rPr>
            <w:noProof/>
            <w:webHidden/>
          </w:rPr>
        </w:r>
        <w:r w:rsidR="00BB6F1F">
          <w:rPr>
            <w:noProof/>
            <w:webHidden/>
          </w:rPr>
          <w:fldChar w:fldCharType="separate"/>
        </w:r>
        <w:r w:rsidR="002C7F26">
          <w:rPr>
            <w:noProof/>
            <w:webHidden/>
          </w:rPr>
          <w:t>100</w:t>
        </w:r>
        <w:r w:rsidR="00BB6F1F">
          <w:rPr>
            <w:noProof/>
            <w:webHidden/>
          </w:rPr>
          <w:fldChar w:fldCharType="end"/>
        </w:r>
      </w:hyperlink>
    </w:p>
    <w:p w:rsidR="00BB6F1F" w:rsidRPr="00B24119" w:rsidRDefault="00BB6F1F" w:rsidP="00AC68FF">
      <w:pPr>
        <w:rPr>
          <w:noProof/>
        </w:rPr>
      </w:pPr>
    </w:p>
    <w:p w:rsidR="00BB6F1F" w:rsidRDefault="00BB6F1F" w:rsidP="00AC68FF">
      <w:r>
        <w:fldChar w:fldCharType="end"/>
      </w:r>
    </w:p>
    <w:p w:rsidR="00BB6F1F" w:rsidRDefault="00BB6F1F" w:rsidP="00AC68FF">
      <w:pPr>
        <w:sectPr w:rsidR="00BB6F1F" w:rsidSect="00AC68FF">
          <w:type w:val="continuous"/>
          <w:pgSz w:w="11907" w:h="16839" w:code="9"/>
          <w:pgMar w:top="1134" w:right="1134" w:bottom="1134" w:left="1134" w:header="624" w:footer="567" w:gutter="0"/>
          <w:cols w:num="2" w:space="709"/>
          <w:docGrid w:linePitch="360"/>
        </w:sectPr>
      </w:pPr>
    </w:p>
    <w:p w:rsidR="00BB6F1F" w:rsidRDefault="00BB6F1F" w:rsidP="00BB6F1F">
      <w:pPr>
        <w:pStyle w:val="Heading2"/>
        <w:numPr>
          <w:ilvl w:val="1"/>
          <w:numId w:val="24"/>
        </w:numPr>
        <w:spacing w:before="0"/>
      </w:pPr>
      <w:bookmarkStart w:id="53" w:name="_Toc492984891"/>
      <w:r>
        <w:lastRenderedPageBreak/>
        <w:t>Financial instruments</w:t>
      </w:r>
      <w:bookmarkEnd w:id="53"/>
    </w:p>
    <w:p w:rsidR="00BB6F1F" w:rsidRDefault="00BB6F1F" w:rsidP="00AC68FF">
      <w:pPr>
        <w:pStyle w:val="Heading30"/>
      </w:pPr>
      <w:r w:rsidRPr="006075AC">
        <w:t>Introduction</w:t>
      </w:r>
    </w:p>
    <w:p w:rsidR="00BB6F1F" w:rsidRDefault="00BB6F1F" w:rsidP="00AC68FF">
      <w:r>
        <w:t xml:space="preserve">Financial instruments arise out of contractual agreements that give rise to a financial asset of one entity and a financial liability or equity instrument of another entity. Due to the nature of the State’s activities, certain financial assets and financial liabilities arise under statute rather than a contract (for example, taxes, fines and penalties). Such assets and liabilities do not meet the definition of financial instruments in AASB 132 </w:t>
      </w:r>
      <w:r w:rsidRPr="000833A1">
        <w:rPr>
          <w:i/>
        </w:rPr>
        <w:t>Financial Instruments: Presentation</w:t>
      </w:r>
      <w:r>
        <w:t xml:space="preserve">. </w:t>
      </w:r>
    </w:p>
    <w:p w:rsidR="00BB6F1F" w:rsidRDefault="00BB6F1F" w:rsidP="00AC68FF"/>
    <w:p w:rsidR="00BB6F1F" w:rsidRDefault="00BB6F1F" w:rsidP="00AC68FF">
      <w:pPr>
        <w:spacing w:before="0"/>
      </w:pPr>
      <w:r>
        <w:lastRenderedPageBreak/>
        <w:t>Guarantees issued on behalf of the State are financial instruments because although authorised under statute, the terms and conditions for each financial guarantee may vary and are subject to an agreement.</w:t>
      </w:r>
    </w:p>
    <w:p w:rsidR="00BB6F1F" w:rsidRDefault="00BB6F1F" w:rsidP="00AC68FF">
      <w:r>
        <w:t>The main purposes for the State to hold financial instruments are:</w:t>
      </w:r>
    </w:p>
    <w:p w:rsidR="00BB6F1F" w:rsidRDefault="00BB6F1F" w:rsidP="00AC68FF">
      <w:pPr>
        <w:pStyle w:val="ListBullet"/>
      </w:pPr>
      <w:r>
        <w:t xml:space="preserve">for liquidity management purposes; </w:t>
      </w:r>
    </w:p>
    <w:p w:rsidR="00BB6F1F" w:rsidRDefault="00BB6F1F" w:rsidP="00AC68FF">
      <w:pPr>
        <w:pStyle w:val="ListBullet"/>
      </w:pPr>
      <w:r>
        <w:t xml:space="preserve">to manage financial risk; </w:t>
      </w:r>
    </w:p>
    <w:p w:rsidR="00BB6F1F" w:rsidRDefault="00BB6F1F" w:rsidP="00AC68FF">
      <w:pPr>
        <w:pStyle w:val="ListBullet"/>
      </w:pPr>
      <w:r>
        <w:t>to fund the State’s capital expenditure program; and</w:t>
      </w:r>
    </w:p>
    <w:p w:rsidR="00BB6F1F" w:rsidRDefault="00BB6F1F" w:rsidP="00AC68FF">
      <w:pPr>
        <w:pStyle w:val="ListBullet"/>
      </w:pPr>
      <w:r>
        <w:t>to meet long-term insurance and superannuation liabilities.</w:t>
      </w:r>
    </w:p>
    <w:p w:rsidR="00BB6F1F" w:rsidRDefault="00BB6F1F" w:rsidP="00AC68FF">
      <w:pPr>
        <w:pStyle w:val="TableHeading"/>
        <w:sectPr w:rsidR="00BB6F1F" w:rsidSect="00AC68FF">
          <w:headerReference w:type="even" r:id="rId97"/>
          <w:type w:val="continuous"/>
          <w:pgSz w:w="11907" w:h="16839" w:code="9"/>
          <w:pgMar w:top="1134" w:right="1134" w:bottom="1134" w:left="1134" w:header="624" w:footer="567" w:gutter="0"/>
          <w:cols w:num="2" w:space="709"/>
          <w:docGrid w:linePitch="360"/>
        </w:sectPr>
      </w:pPr>
    </w:p>
    <w:p w:rsidR="00BB6F1F" w:rsidRPr="00746768" w:rsidRDefault="00BB6F1F" w:rsidP="00AC68FF">
      <w:pPr>
        <w:pStyle w:val="TableHeading"/>
        <w:rPr>
          <w:bCs/>
          <w:lang w:val="en-US"/>
        </w:rPr>
      </w:pPr>
      <w:r>
        <w:lastRenderedPageBreak/>
        <w:t>Categories of financial instruments</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746768"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left w:val="nil"/>
              <w:bottom w:val="nil"/>
              <w:right w:val="nil"/>
            </w:tcBorders>
            <w:shd w:val="solid" w:color="000000" w:fill="auto"/>
          </w:tcPr>
          <w:p w:rsidR="00BB6F1F" w:rsidRPr="00746768" w:rsidRDefault="00BB6F1F" w:rsidP="00AC68FF">
            <w:pPr>
              <w:autoSpaceDE w:val="0"/>
              <w:autoSpaceDN w:val="0"/>
              <w:adjustRightInd w:val="0"/>
              <w:rPr>
                <w:rFonts w:eastAsiaTheme="minorEastAsia" w:cs="Calibri"/>
                <w:color w:val="FFFFFF"/>
                <w:lang w:eastAsia="en-AU"/>
              </w:rPr>
            </w:pPr>
            <w:r w:rsidRPr="00746768">
              <w:rPr>
                <w:rFonts w:eastAsiaTheme="minorEastAsia" w:cs="Calibri"/>
                <w:color w:val="FFFFFF"/>
                <w:lang w:eastAsia="en-AU"/>
              </w:rPr>
              <w:t xml:space="preserve"> </w:t>
            </w:r>
          </w:p>
        </w:tc>
        <w:tc>
          <w:tcPr>
            <w:tcW w:w="1814" w:type="dxa"/>
            <w:gridSpan w:val="2"/>
            <w:tcBorders>
              <w:top w:val="single" w:sz="6" w:space="0" w:color="auto"/>
              <w:left w:val="nil"/>
              <w:bottom w:val="nil"/>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State of Victoria</w:t>
            </w:r>
          </w:p>
        </w:tc>
        <w:tc>
          <w:tcPr>
            <w:tcW w:w="1814" w:type="dxa"/>
            <w:gridSpan w:val="2"/>
            <w:tcBorders>
              <w:top w:val="single" w:sz="6" w:space="0" w:color="auto"/>
              <w:left w:val="nil"/>
              <w:bottom w:val="nil"/>
              <w:right w:val="nil"/>
            </w:tcBorders>
            <w:shd w:val="solid" w:color="000000" w:fill="auto"/>
          </w:tcPr>
          <w:p w:rsidR="00BB6F1F" w:rsidRPr="00746768" w:rsidRDefault="00BB6F1F" w:rsidP="00D47122">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General </w:t>
            </w:r>
            <w:r w:rsidR="00D47122">
              <w:rPr>
                <w:rFonts w:eastAsiaTheme="minorEastAsia" w:cs="Calibri"/>
                <w:iCs/>
                <w:color w:val="FFFFFF"/>
                <w:lang w:eastAsia="en-AU"/>
              </w:rPr>
              <w:br/>
            </w:r>
            <w:r w:rsidRPr="00746768">
              <w:rPr>
                <w:rFonts w:eastAsiaTheme="minorEastAsia" w:cs="Calibri"/>
                <w:iCs/>
                <w:color w:val="FFFFFF"/>
                <w:lang w:eastAsia="en-AU"/>
              </w:rPr>
              <w:t>government sector</w:t>
            </w:r>
          </w:p>
        </w:tc>
      </w:tr>
      <w:tr w:rsidR="00BB6F1F" w:rsidRPr="00746768"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auto"/>
              <w:right w:val="nil"/>
            </w:tcBorders>
            <w:shd w:val="solid" w:color="000000" w:fill="auto"/>
          </w:tcPr>
          <w:p w:rsidR="00BB6F1F" w:rsidRPr="00746768" w:rsidRDefault="00BB6F1F" w:rsidP="00AC68FF">
            <w:pPr>
              <w:keepLines w:val="0"/>
              <w:autoSpaceDE w:val="0"/>
              <w:autoSpaceDN w:val="0"/>
              <w:adjustRightInd w:val="0"/>
              <w:rPr>
                <w:rFonts w:eastAsiaTheme="minorEastAsia" w:cs="Calibri"/>
                <w:color w:val="FFFFFF"/>
                <w:lang w:eastAsia="en-AU"/>
              </w:rPr>
            </w:pPr>
            <w:r w:rsidRPr="00746768">
              <w:rPr>
                <w:rFonts w:eastAsiaTheme="minorEastAsia" w:cs="Calibri"/>
                <w:color w:val="FFFFFF"/>
                <w:lang w:eastAsia="en-AU"/>
              </w:rPr>
              <w:t xml:space="preserve"> </w:t>
            </w:r>
          </w:p>
        </w:tc>
        <w:tc>
          <w:tcPr>
            <w:tcW w:w="907" w:type="dxa"/>
            <w:tcBorders>
              <w:top w:val="nil"/>
              <w:left w:val="nil"/>
              <w:bottom w:val="single" w:sz="6" w:space="0" w:color="auto"/>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2017</w:t>
            </w:r>
          </w:p>
        </w:tc>
        <w:tc>
          <w:tcPr>
            <w:tcW w:w="907" w:type="dxa"/>
            <w:tcBorders>
              <w:top w:val="nil"/>
              <w:left w:val="nil"/>
              <w:bottom w:val="single" w:sz="6" w:space="0" w:color="auto"/>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2016</w:t>
            </w:r>
          </w:p>
        </w:tc>
        <w:tc>
          <w:tcPr>
            <w:tcW w:w="907" w:type="dxa"/>
            <w:tcBorders>
              <w:top w:val="nil"/>
              <w:left w:val="nil"/>
              <w:bottom w:val="single" w:sz="6" w:space="0" w:color="auto"/>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2017</w:t>
            </w:r>
          </w:p>
        </w:tc>
        <w:tc>
          <w:tcPr>
            <w:tcW w:w="907" w:type="dxa"/>
            <w:tcBorders>
              <w:top w:val="nil"/>
              <w:left w:val="nil"/>
              <w:bottom w:val="single" w:sz="6" w:space="0" w:color="auto"/>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2016</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Financial assets</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746768">
              <w:rPr>
                <w:rFonts w:eastAsiaTheme="minorEastAsia" w:cs="Calibri"/>
                <w:i/>
                <w:iCs/>
                <w:color w:val="000000"/>
                <w:lang w:eastAsia="en-AU"/>
              </w:rPr>
              <w:t xml:space="preserve"> </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746768">
              <w:rPr>
                <w:rFonts w:eastAsiaTheme="minorEastAsia" w:cs="Calibri"/>
                <w:i/>
                <w:iCs/>
                <w:color w:val="000000"/>
                <w:lang w:eastAsia="en-AU"/>
              </w:rPr>
              <w:t xml:space="preserve"> </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746768">
              <w:rPr>
                <w:rFonts w:eastAsiaTheme="minorEastAsia" w:cs="Calibri"/>
                <w:i/>
                <w:iCs/>
                <w:color w:val="000000"/>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Cash and deposits</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5 869</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6 676</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5 530</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4 772</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Designated at fair value through the operating statement</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35 467</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33 975</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1 107</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1 063</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Held-for-trading at fair value through the operating statement</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307</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533</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17</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18</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Loans and receivables</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8 959</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3 513</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15 129</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6 779</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Available-for-sale</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552</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509</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328</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303</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Held-to-maturity</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662</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220</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1 720</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961</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rPr>
                <w:rFonts w:eastAsiaTheme="minorEastAsia" w:cs="Calibri"/>
                <w:b/>
                <w:bCs/>
                <w:color w:val="000000"/>
                <w:vertAlign w:val="superscript"/>
                <w:lang w:eastAsia="en-AU"/>
              </w:rPr>
            </w:pPr>
            <w:r w:rsidRPr="00746768">
              <w:rPr>
                <w:rFonts w:eastAsiaTheme="minorEastAsia" w:cs="Calibri"/>
                <w:b/>
                <w:bCs/>
                <w:color w:val="000000"/>
                <w:lang w:eastAsia="en-AU"/>
              </w:rPr>
              <w:t>Total financial assets</w:t>
            </w:r>
            <w:r>
              <w:rPr>
                <w:rFonts w:eastAsiaTheme="minorEastAsia" w:cs="Calibri"/>
                <w:b/>
                <w:bCs/>
                <w:color w:val="000000"/>
                <w:lang w:eastAsia="en-AU"/>
              </w:rPr>
              <w:t xml:space="preserve"> </w:t>
            </w:r>
            <w:r w:rsidRPr="00746768">
              <w:rPr>
                <w:rFonts w:eastAsiaTheme="minorEastAsia" w:cs="Calibri"/>
                <w:b/>
                <w:bCs/>
                <w:color w:val="000000"/>
                <w:vertAlign w:val="superscript"/>
                <w:lang w:eastAsia="en-AU"/>
              </w:rPr>
              <w:t>(a)</w:t>
            </w:r>
          </w:p>
        </w:tc>
        <w:tc>
          <w:tcPr>
            <w:tcW w:w="907" w:type="dxa"/>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51 815</w:t>
            </w:r>
          </w:p>
        </w:tc>
        <w:tc>
          <w:tcPr>
            <w:tcW w:w="907" w:type="dxa"/>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45 426</w:t>
            </w:r>
          </w:p>
        </w:tc>
        <w:tc>
          <w:tcPr>
            <w:tcW w:w="907" w:type="dxa"/>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23 830</w:t>
            </w:r>
          </w:p>
        </w:tc>
        <w:tc>
          <w:tcPr>
            <w:tcW w:w="907" w:type="dxa"/>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13 896</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 xml:space="preserve">Financial liabilities </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Designated at fair value through the operating statement</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39 463</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45 079</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122</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436</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Held-for-trading at fair value through the operating statement</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372</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1 033</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105</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150</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At amortised cost</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15 975</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14 907</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41 318</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37 408</w:t>
            </w:r>
          </w:p>
        </w:tc>
      </w:tr>
      <w:tr w:rsidR="00BB6F1F" w:rsidRPr="00746768"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BB6F1F" w:rsidRPr="00746768" w:rsidRDefault="00BB6F1F" w:rsidP="00AC68FF">
            <w:pPr>
              <w:keepLines w:val="0"/>
              <w:autoSpaceDE w:val="0"/>
              <w:autoSpaceDN w:val="0"/>
              <w:adjustRightInd w:val="0"/>
              <w:rPr>
                <w:rFonts w:eastAsiaTheme="minorEastAsia" w:cs="Calibri"/>
                <w:bCs/>
                <w:color w:val="000000"/>
                <w:vertAlign w:val="superscript"/>
                <w:lang w:eastAsia="en-AU"/>
              </w:rPr>
            </w:pPr>
            <w:r w:rsidRPr="00746768">
              <w:rPr>
                <w:rFonts w:eastAsiaTheme="minorEastAsia" w:cs="Calibri"/>
                <w:bCs/>
                <w:color w:val="000000"/>
                <w:lang w:eastAsia="en-AU"/>
              </w:rPr>
              <w:t>Total financial liabilities</w:t>
            </w:r>
            <w:r>
              <w:rPr>
                <w:rFonts w:eastAsiaTheme="minorEastAsia" w:cs="Calibri"/>
                <w:bCs/>
                <w:color w:val="000000"/>
                <w:lang w:eastAsia="en-AU"/>
              </w:rPr>
              <w:t xml:space="preserve"> </w:t>
            </w:r>
            <w:r w:rsidRPr="00746768">
              <w:rPr>
                <w:rFonts w:eastAsiaTheme="minorEastAsia" w:cs="Calibri"/>
                <w:bCs/>
                <w:color w:val="000000"/>
                <w:vertAlign w:val="superscript"/>
                <w:lang w:eastAsia="en-AU"/>
              </w:rPr>
              <w:t xml:space="preserve">(b) </w:t>
            </w:r>
          </w:p>
        </w:tc>
        <w:tc>
          <w:tcPr>
            <w:tcW w:w="907"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55 810</w:t>
            </w:r>
          </w:p>
        </w:tc>
        <w:tc>
          <w:tcPr>
            <w:tcW w:w="907"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61 019</w:t>
            </w:r>
          </w:p>
        </w:tc>
        <w:tc>
          <w:tcPr>
            <w:tcW w:w="907"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41 544</w:t>
            </w:r>
          </w:p>
        </w:tc>
        <w:tc>
          <w:tcPr>
            <w:tcW w:w="907"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37 993</w:t>
            </w:r>
          </w:p>
        </w:tc>
      </w:tr>
    </w:tbl>
    <w:p w:rsidR="00BB6F1F" w:rsidRPr="004626F7" w:rsidRDefault="00BB6F1F" w:rsidP="00AC68FF">
      <w:pPr>
        <w:pStyle w:val="Note"/>
      </w:pPr>
      <w:r w:rsidRPr="004626F7">
        <w:t>Notes:</w:t>
      </w:r>
    </w:p>
    <w:p w:rsidR="00BB6F1F" w:rsidRPr="004626F7" w:rsidRDefault="00BB6F1F" w:rsidP="00AC68FF">
      <w:pPr>
        <w:pStyle w:val="Note"/>
      </w:pPr>
      <w:r w:rsidRPr="004626F7">
        <w:t>(a)</w:t>
      </w:r>
      <w:r w:rsidRPr="004626F7">
        <w:tab/>
        <w:t xml:space="preserve">The State’s total financial assets in this table exclude statutory and other receivables of $5 178 million ($4 729 million in 2016) while the general government’s total financial assets exclude statutory receivables of $4 243 million ($3 879 million in 2016). </w:t>
      </w:r>
    </w:p>
    <w:p w:rsidR="00BB6F1F" w:rsidRDefault="00BB6F1F" w:rsidP="00AC68FF">
      <w:pPr>
        <w:pStyle w:val="Note"/>
      </w:pPr>
      <w:r w:rsidRPr="004626F7">
        <w:t>(b)</w:t>
      </w:r>
      <w:r w:rsidRPr="004626F7">
        <w:tab/>
        <w:t>The State’s total financial liabilities exclude statutory taxes payable, unearned income and advance premiums of $12 210 million ($3 505 million in 2016) while the general government’s total financial liabilities exclude statutory taxes payable and unearned income of $2 174 million ($2 297 million in 2016).</w:t>
      </w:r>
      <w:r>
        <w:t xml:space="preserve"> </w:t>
      </w:r>
    </w:p>
    <w:p w:rsidR="00BB6F1F" w:rsidRDefault="00BB6F1F" w:rsidP="00AC68FF">
      <w:pPr>
        <w:pStyle w:val="Heading30"/>
        <w:sectPr w:rsidR="00BB6F1F" w:rsidSect="00AC68FF">
          <w:headerReference w:type="even" r:id="rId98"/>
          <w:footerReference w:type="default" r:id="rId99"/>
          <w:type w:val="continuous"/>
          <w:pgSz w:w="11907" w:h="16839" w:code="9"/>
          <w:pgMar w:top="1134" w:right="1134" w:bottom="1134" w:left="1134" w:header="624" w:footer="567" w:gutter="0"/>
          <w:cols w:sep="1" w:space="567"/>
          <w:docGrid w:linePitch="360"/>
        </w:sectPr>
      </w:pPr>
    </w:p>
    <w:p w:rsidR="00BB6F1F" w:rsidRDefault="00BB6F1F" w:rsidP="00AC68FF">
      <w:pPr>
        <w:pStyle w:val="Heading30"/>
        <w:spacing w:before="0"/>
      </w:pPr>
      <w:r>
        <w:lastRenderedPageBreak/>
        <w:t>Categories of financial instruments</w:t>
      </w:r>
    </w:p>
    <w:p w:rsidR="00BB6F1F" w:rsidRDefault="00BB6F1F" w:rsidP="00AC68FF">
      <w:r w:rsidRPr="004D0F1E">
        <w:rPr>
          <w:b/>
        </w:rPr>
        <w:t>Loans and receivables</w:t>
      </w:r>
      <w:r>
        <w:t xml:space="preserve"> are financial instrument assets with fixed and determinable payments that are not quoted on an active market. These assets are initially recognised at fair value plus any directly attributable transaction costs. Subsequent to initial measurement, loans and receivables are measured at amortised cost using the effective interest method (and for assets, less any impairment). </w:t>
      </w:r>
    </w:p>
    <w:p w:rsidR="00BB6F1F" w:rsidRDefault="00BB6F1F" w:rsidP="00AC68FF">
      <w:r w:rsidRPr="004D0F1E">
        <w:rPr>
          <w:b/>
        </w:rPr>
        <w:t>Available-for-sale financial instrument assets</w:t>
      </w:r>
      <w:r>
        <w:t xml:space="preserve"> are those designated as available-for-sale or not classified in any other category of financial instrument asset. Such assets are initially recognised at fair value. Subsequent to initial recognition, they are measured at fair value with gains and losses arising from changes in fair value, recognised in ‘Other economic flows – other comprehensive income’ until the investment is disposed. Movements resulting from impairment and foreign currency changes are recognised in the net result as other economic flows. On disposal, the cumulative gain or loss previously recognised in ‘Other economic flows – other comprehensive income’ is transferred to other economic flows in the net result.</w:t>
      </w:r>
    </w:p>
    <w:p w:rsidR="00BB6F1F" w:rsidRDefault="00BB6F1F" w:rsidP="00AC68FF">
      <w:r w:rsidRPr="004D0F1E">
        <w:rPr>
          <w:b/>
        </w:rPr>
        <w:t>Held to maturity financial assets</w:t>
      </w:r>
      <w:r>
        <w:t>: If the State has the positive intent and ability to hold nominated investments to maturity, then such financial assets may be classified as held to maturity. Held to maturity financial assets are recognised initially at fair value plus any directly attributable transaction costs. Subsequent to initial recognition, held to maturity financial assets are measured at amortised cost using the effective interest method, less any impairment losses. The State makes limited use of this classification because any sale or reclassification of more than an insignificant amount of held to maturity investments not close to their maturity, would result in the whole category being reclassified as available-for-sale. The held to maturity category includes certain term deposits and debt securities for which the State intends to hold to maturity.</w:t>
      </w:r>
    </w:p>
    <w:p w:rsidR="00BB6F1F" w:rsidRDefault="00BB6F1F" w:rsidP="00AC68FF">
      <w:r w:rsidRPr="004D0F1E">
        <w:rPr>
          <w:b/>
        </w:rPr>
        <w:t xml:space="preserve">Financial assets and liabilities at fair value through the operating statement </w:t>
      </w:r>
      <w:r>
        <w:t xml:space="preserve">are categorised as such at trade date, or if they are classified as held for trading or designated as such upon initial recognition. Financial instrument assets are designated at fair value through profit or loss on the basis that the financial assets form part of a group of financial assets that are managed by the State based on their fair values, and have their performance evaluated in accordance with documented risk management and investment strategies. </w:t>
      </w:r>
    </w:p>
    <w:p w:rsidR="00BB6F1F" w:rsidRDefault="00BB6F1F" w:rsidP="00AC68FF">
      <w:r>
        <w:lastRenderedPageBreak/>
        <w:t xml:space="preserve">Financial instruments at fair value through the operating statement are initially measured at fair value and attributable transaction costs are expensed as incurred. Subsequently, any changes in fair value are recognised in the net result as other economic flows. </w:t>
      </w:r>
    </w:p>
    <w:p w:rsidR="00BB6F1F" w:rsidRDefault="00BB6F1F" w:rsidP="00AC68FF">
      <w:r w:rsidRPr="004D0F1E">
        <w:rPr>
          <w:b/>
        </w:rPr>
        <w:t>Financial liabilities at amortised</w:t>
      </w:r>
      <w:r>
        <w:t xml:space="preserve"> </w:t>
      </w:r>
      <w:r w:rsidRPr="009B2812">
        <w:rPr>
          <w:b/>
        </w:rPr>
        <w:t>cost</w:t>
      </w:r>
      <w: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 bearing liability, using the effective interest rate method (refer to Borrowings Note 5.1).</w:t>
      </w:r>
    </w:p>
    <w:p w:rsidR="00BB6F1F" w:rsidRDefault="00BB6F1F" w:rsidP="00AC68FF">
      <w:r>
        <w:t>Financial instrument liabilities measured at amortised cost include all of the State’s payables, deposits held and advances received, and interest bearing arrangements other than those designated at fair value through profit or loss.</w:t>
      </w:r>
    </w:p>
    <w:p w:rsidR="00BB6F1F" w:rsidRDefault="00BB6F1F" w:rsidP="00AC68FF">
      <w:pPr>
        <w:pStyle w:val="Heading30"/>
      </w:pPr>
      <w:proofErr w:type="spellStart"/>
      <w:r>
        <w:t>Derecognition</w:t>
      </w:r>
      <w:proofErr w:type="spellEnd"/>
      <w:r>
        <w:t xml:space="preserve"> of financial assets and liabilities</w:t>
      </w:r>
    </w:p>
    <w:p w:rsidR="00BB6F1F" w:rsidRDefault="00BB6F1F" w:rsidP="00AC68FF">
      <w:r>
        <w:t xml:space="preserve">A financial asset (or, where applicable, a part of a financial asset or part of a group of similar financial assets) is derecognised when: </w:t>
      </w:r>
    </w:p>
    <w:p w:rsidR="00BB6F1F" w:rsidRDefault="00BB6F1F" w:rsidP="00AC68FF">
      <w:pPr>
        <w:pStyle w:val="ListBullet"/>
      </w:pPr>
      <w:r>
        <w:t>the rights to receive cash flows from the asset have expired; or</w:t>
      </w:r>
    </w:p>
    <w:p w:rsidR="00BB6F1F" w:rsidRDefault="00BB6F1F" w:rsidP="00AC68FF">
      <w:pPr>
        <w:pStyle w:val="ListBullet"/>
      </w:pPr>
      <w:r>
        <w:t>the State retains the right to receive cash flows from the asset, but has assumed an obligation to pay them in full without material delay to a third party under a ‘pass through’ arrangement; or</w:t>
      </w:r>
    </w:p>
    <w:p w:rsidR="00BB6F1F" w:rsidRDefault="00BB6F1F" w:rsidP="00AC68FF">
      <w:pPr>
        <w:pStyle w:val="ListBullet"/>
      </w:pPr>
      <w:r>
        <w:t>the State has transferred its rights to receive cash flows from the asset and either:</w:t>
      </w:r>
    </w:p>
    <w:p w:rsidR="00BB6F1F" w:rsidRDefault="00BB6F1F" w:rsidP="00AC68FF">
      <w:pPr>
        <w:pStyle w:val="ListBullet2"/>
      </w:pPr>
      <w:r>
        <w:t>has transferred substantially all the risks and rewards of the asset; or</w:t>
      </w:r>
    </w:p>
    <w:p w:rsidR="00BB6F1F" w:rsidRDefault="00BB6F1F" w:rsidP="00AC68FF">
      <w:pPr>
        <w:pStyle w:val="ListBullet2"/>
      </w:pPr>
      <w:r>
        <w:t>has neither transferred nor retained substantially all the risks and rewards of the asset, but has transferred control of the asset.</w:t>
      </w:r>
    </w:p>
    <w:p w:rsidR="00BB6F1F" w:rsidRDefault="00BB6F1F" w:rsidP="00AC68FF">
      <w:r>
        <w:t>Where the State has retained substantially all the risks and rewards and not transferred control, the asset is recognised to the extent of the State’s continuing involvement in the asset.</w:t>
      </w:r>
    </w:p>
    <w:p w:rsidR="00BB6F1F" w:rsidRDefault="00BB6F1F" w:rsidP="00AC68FF">
      <w:r>
        <w:lastRenderedPageBreak/>
        <w:t xml:space="preserve">A financial liability is derecognised when the obligation under the liability is discharged, cancelled or expires. When an existing financial liability is replaced by another from the same lender on substantially different terms, or the terms of an existing liability are substantially modified, such an exchange or modification is treated as a </w:t>
      </w:r>
      <w:proofErr w:type="spellStart"/>
      <w:r>
        <w:t>derecognition</w:t>
      </w:r>
      <w:proofErr w:type="spellEnd"/>
      <w:r>
        <w:t xml:space="preserve"> of the original liability and the recognition of a new liability. The difference in the respective carrying amounts is recognised as an ‘Other economic flow’ in the consolidated comprehensive operating statement.</w:t>
      </w:r>
    </w:p>
    <w:p w:rsidR="00BB6F1F" w:rsidRDefault="00BB6F1F" w:rsidP="00AC68FF">
      <w:pPr>
        <w:pStyle w:val="Heading30"/>
      </w:pPr>
      <w:r>
        <w:t>Impairment of financial assets</w:t>
      </w:r>
    </w:p>
    <w:p w:rsidR="00BB6F1F" w:rsidRDefault="00BB6F1F" w:rsidP="00AC68FF">
      <w:r>
        <w:t>At the end of each reporting period, the State assesses whether there is objective evidence that a financial asset or group of financial assets is impaired. All financial instrument assets, except those measured at fair value through profit or loss, are subject to annual review for impairment.</w:t>
      </w:r>
    </w:p>
    <w:p w:rsidR="00BB6F1F" w:rsidRDefault="00BB6F1F" w:rsidP="00AC68FF">
      <w:r>
        <w:t xml:space="preserve">The amount of the allowance is the difference between the financial asset’s carrying amount and the present value of estimated future cash flows, discounted at the effective interest rate. In assessing impairment of statutory (non-contractual) financial assets, which are not financial instruments, professional judgement is applied in assessing materiality using estimates, averages and other computational methods in accordance with </w:t>
      </w:r>
      <w:r>
        <w:br/>
        <w:t xml:space="preserve">AASB 136 </w:t>
      </w:r>
      <w:r w:rsidRPr="00B843C9">
        <w:rPr>
          <w:i/>
        </w:rPr>
        <w:t>Impairment of Assets.</w:t>
      </w:r>
    </w:p>
    <w:p w:rsidR="00BB6F1F" w:rsidRDefault="00BB6F1F" w:rsidP="00AC68FF">
      <w:pPr>
        <w:pStyle w:val="Heading30"/>
      </w:pPr>
      <w:r>
        <w:t>Reclassification of financial instruments</w:t>
      </w:r>
    </w:p>
    <w:p w:rsidR="00BB6F1F" w:rsidRDefault="00BB6F1F" w:rsidP="00AC68FF">
      <w:r>
        <w:t>Subsequent to initial recognition and under rare circumstances, non-derivative financial instruments assets that have been designated at fair value through profit or loss upon recognition, may be reclassified out of the fair value through profit or loss category, if they are no longer held for the purpose of selling or repurchasing in the near term.</w:t>
      </w:r>
    </w:p>
    <w:p w:rsidR="00BB6F1F" w:rsidRDefault="00BB6F1F" w:rsidP="00AC68FF">
      <w:r>
        <w:t>Financial instrument assets that meet the definition of loans and receivables may be reclassified out of the fair value through profit and loss category into the loans and receivables category, where they would have met the definition of loans and receivables had they not been required to be classified as fair value through profit and loss. In these cases, the financial instrument assets may be reclassified out of the fair value through profit and loss category, if there is the intention and ability to hold them for the foreseeable future or until maturity.</w:t>
      </w:r>
    </w:p>
    <w:p w:rsidR="00BB6F1F" w:rsidRDefault="00BB6F1F" w:rsidP="00AC68FF">
      <w:r>
        <w:lastRenderedPageBreak/>
        <w:t>Available for sale financial instrument assets that meet the definition of loans and receivables may be reclassified into the loans and receivables category if there is the intention and ability to hold them for the foreseeable future or until maturity.</w:t>
      </w:r>
    </w:p>
    <w:p w:rsidR="00BB6F1F" w:rsidRDefault="00BB6F1F" w:rsidP="00AC68FF">
      <w:pPr>
        <w:pStyle w:val="Heading30"/>
      </w:pPr>
      <w:r>
        <w:t>Financial risk management</w:t>
      </w:r>
    </w:p>
    <w:p w:rsidR="00BB6F1F" w:rsidRDefault="00BB6F1F" w:rsidP="00AC68FF">
      <w:r>
        <w:t>The State is exposed to a number of financial risks, including:</w:t>
      </w:r>
    </w:p>
    <w:p w:rsidR="00BB6F1F" w:rsidRDefault="00BB6F1F" w:rsidP="00AC68FF">
      <w:r>
        <w:rPr>
          <w:noProof/>
          <w:lang w:eastAsia="en-AU"/>
        </w:rPr>
        <w:drawing>
          <wp:inline distT="0" distB="0" distL="0" distR="0" wp14:anchorId="0E349459" wp14:editId="122BD8E6">
            <wp:extent cx="2929890" cy="1905000"/>
            <wp:effectExtent l="0" t="0" r="2286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BB6F1F" w:rsidRDefault="00BB6F1F" w:rsidP="00AC68FF">
      <w:r>
        <w:t>As a whole, the State’s financial risk management program seeks to manage these risks and the associated volatility on its financial performance.</w:t>
      </w:r>
    </w:p>
    <w:p w:rsidR="00BB6F1F" w:rsidRDefault="00BB6F1F" w:rsidP="00AC68FF">
      <w:r>
        <w:t>Responsible and prudent financial risk management is carried out individually by the State’s entities, in accordance with the State’s risk management framework, developed by the Department of Treasury and Finance (DTF) and established by the Treasurer. The State’s risk management framework comprises the following key components:</w:t>
      </w:r>
    </w:p>
    <w:p w:rsidR="00BB6F1F" w:rsidRDefault="00BB6F1F" w:rsidP="00AC68FF">
      <w:pPr>
        <w:pStyle w:val="ListBullet"/>
      </w:pPr>
      <w:r>
        <w:t>the Treasurer is responsible for approving and establishing the prudential framework containing policies and guidelines on financial risk management;</w:t>
      </w:r>
    </w:p>
    <w:p w:rsidR="00BB6F1F" w:rsidRDefault="00BB6F1F" w:rsidP="00AC68FF">
      <w:pPr>
        <w:pStyle w:val="ListBullet"/>
      </w:pPr>
      <w:r>
        <w:t>the Senior Executive Group of DTF is responsible for advising the Government on the management of the State’s financial risks;</w:t>
      </w:r>
    </w:p>
    <w:p w:rsidR="00BB6F1F" w:rsidRDefault="00BB6F1F" w:rsidP="00AC68FF">
      <w:pPr>
        <w:pStyle w:val="ListBullet"/>
      </w:pPr>
      <w:r>
        <w:t>DTF’s Balance Sheet Management Committee provides oversight of the State’s key financial balance sheet and financial market risks. These risks relate to the State’s investments, borrowings, superannuation and insurance claims liabilities, as well as exposures to interest rate, foreign exchange and commodity price volatility and liquidity position;</w:t>
      </w:r>
    </w:p>
    <w:p w:rsidR="00BB6F1F" w:rsidRDefault="00BB6F1F" w:rsidP="00AC68FF">
      <w:pPr>
        <w:pStyle w:val="ListBullet"/>
      </w:pPr>
      <w:r>
        <w:t>the TCV is the State’s central borrowing authority and financing advisor. An independent prudential supervisor is appointed by the Treasurer to monitor TCV’s compliance with its prudential framework;</w:t>
      </w:r>
    </w:p>
    <w:p w:rsidR="00BB6F1F" w:rsidRDefault="00BB6F1F" w:rsidP="00AC68FF">
      <w:pPr>
        <w:pStyle w:val="ListBullet"/>
      </w:pPr>
      <w:r>
        <w:lastRenderedPageBreak/>
        <w:t>the Victorian Funds Management Corporation (VFMC) acts as the State’s central investment fund manager providing expertise in developing investment strategy and providing funds management services in accordance with each entity’s investment objectives. An independent prudential supervisor is appointed by the Treasurer to monitor VFMC’s compliance with its prudential framework; and</w:t>
      </w:r>
    </w:p>
    <w:p w:rsidR="00BB6F1F" w:rsidRDefault="00BB6F1F" w:rsidP="00AC68FF">
      <w:pPr>
        <w:pStyle w:val="ListBullet"/>
      </w:pPr>
      <w:r>
        <w:t>the State’s entities with gross debt or investments equal to or greater than $20 million, are responsible for setting their own financial risk policy and objectives in accordance with the Treasurer’s prudential framework. All entities are responsible for the day-to-day operational management of their financial instruments and associated risks in accordance with the treasury management guidelines.</w:t>
      </w:r>
    </w:p>
    <w:p w:rsidR="00BB6F1F" w:rsidRDefault="00BB6F1F" w:rsidP="00AC68FF">
      <w:r>
        <w:t>The prudential framework covers areas such as financial management objectives, responsibility structure and delegation, and policies and guidance on market risk, credit risk, liquidity risk and operational risk. The Chief Executive Officers and executives of the State’s entities are responsible for advising their boards, who in turn notify DTF and other stakeholders of any breach by the entities of the prudential standards set by the Treasurer or policies set by their respective boards, including the strategy to remediate the breach.</w:t>
      </w:r>
    </w:p>
    <w:p w:rsidR="00C91E19" w:rsidRDefault="00BB6F1F" w:rsidP="00AC68FF">
      <w:r>
        <w:t>A number of the State’s entities enter into derivative financial instruments in accordance with the Treasurer’s prudential and financial management framework, in order to manage their exposure to movements in interest rates, foreign currency exchange rates and commodity related exposures</w:t>
      </w:r>
      <w:r w:rsidR="00C91E19">
        <w:t>.</w:t>
      </w:r>
    </w:p>
    <w:p w:rsidR="00BB6F1F" w:rsidRDefault="00C91E19" w:rsidP="00C91E19">
      <w:pPr>
        <w:spacing w:before="40"/>
      </w:pPr>
      <w:r>
        <w:br w:type="column"/>
      </w:r>
      <w:r w:rsidR="00BB6F1F">
        <w:lastRenderedPageBreak/>
        <w:t>These derivative financial instruments, which include interest rate swaps, futures and forward foreign exchange contracts, are used to manage the risks inherent in either borrowings, financial asset investments or cash flow denominated in foreign currency. Derivative financial instruments are not used to add leverage to the State’s financial position.</w:t>
      </w:r>
    </w:p>
    <w:p w:rsidR="00BB6F1F" w:rsidRPr="00E31D88" w:rsidRDefault="00BB6F1F" w:rsidP="00BB6F1F">
      <w:pPr>
        <w:pStyle w:val="Heading3"/>
      </w:pPr>
      <w:r w:rsidRPr="00E31D88">
        <w:t>Interest rate risk</w:t>
      </w:r>
    </w:p>
    <w:p w:rsidR="00BB6F1F" w:rsidRDefault="00BB6F1F" w:rsidP="00AC68FF">
      <w:r>
        <w:t>The State is exposed to interest rate risk through borrowings and investments in interest bearing financial assets, such as deposits and debt securities. Interest rate risk could be in the form of fair value risk or cash flow risk:</w:t>
      </w:r>
    </w:p>
    <w:p w:rsidR="00BB6F1F" w:rsidRDefault="00BB6F1F" w:rsidP="00AC68FF">
      <w:pPr>
        <w:pStyle w:val="ListBullet"/>
      </w:pPr>
      <w:r>
        <w:t>fair value interest rate risk is the risk that the value of a financial instrument will fluctuate because of changes in market interest rates. It relates to financial instruments with fixed interest rates, measured at fair value and represents the most significant interest rate risk for the State; and</w:t>
      </w:r>
    </w:p>
    <w:p w:rsidR="00BB6F1F" w:rsidRDefault="00BB6F1F" w:rsidP="00AC68FF">
      <w:pPr>
        <w:pStyle w:val="ListBullet"/>
      </w:pPr>
      <w:r>
        <w:t>cash flow interest rate risk is the risk that the future cash flows of a financial instrument will fluctuate because of changes in market interest rates. Only a small portion of the State’s financial instruments are exposed to cash flow interest rate risk and these arise from financial assets and financial liabilities with floating interest rates, which are measured at amortised cost.</w:t>
      </w:r>
    </w:p>
    <w:p w:rsidR="00BB6F1F" w:rsidRDefault="00BB6F1F" w:rsidP="00AC68FF">
      <w:r>
        <w:t>The interest rate exposure table provides details of the carrying amounts of financial assets and liabilities that expose the State to either interest rate fair value risk or interest rate cash flow risk.</w:t>
      </w:r>
    </w:p>
    <w:p w:rsidR="00BB6F1F" w:rsidRDefault="00BB6F1F" w:rsidP="00AC68FF">
      <w:pPr>
        <w:sectPr w:rsidR="00BB6F1F" w:rsidSect="00AC68FF">
          <w:headerReference w:type="even" r:id="rId105"/>
          <w:headerReference w:type="default" r:id="rId106"/>
          <w:type w:val="continuous"/>
          <w:pgSz w:w="11907" w:h="16839" w:code="9"/>
          <w:pgMar w:top="1134" w:right="1134" w:bottom="1134" w:left="1134" w:header="624" w:footer="567" w:gutter="0"/>
          <w:cols w:num="2" w:space="709"/>
          <w:docGrid w:linePitch="360"/>
        </w:sectPr>
      </w:pPr>
    </w:p>
    <w:p w:rsidR="00BB6F1F" w:rsidRDefault="00BB6F1F" w:rsidP="00AC68FF"/>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Pr="00746768" w:rsidRDefault="00BB6F1F" w:rsidP="00C91E19">
      <w:pPr>
        <w:pStyle w:val="TableHeading"/>
        <w:spacing w:before="0"/>
        <w:rPr>
          <w:bCs/>
          <w:lang w:val="en-US"/>
        </w:rPr>
      </w:pPr>
      <w:r w:rsidRPr="004D0F1E">
        <w:lastRenderedPageBreak/>
        <w:t>Interest rate exposure as at 30 June</w:t>
      </w:r>
      <w:r w:rsidRPr="004D0F1E">
        <w:tab/>
      </w:r>
      <w:r w:rsidRPr="004D0F1E">
        <w:tab/>
        <w:t>($ million)</w:t>
      </w: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5499"/>
        <w:gridCol w:w="171"/>
        <w:gridCol w:w="963"/>
        <w:gridCol w:w="1022"/>
        <w:gridCol w:w="1246"/>
        <w:gridCol w:w="1134"/>
        <w:gridCol w:w="110"/>
        <w:gridCol w:w="1024"/>
        <w:gridCol w:w="1022"/>
        <w:gridCol w:w="1246"/>
        <w:gridCol w:w="1134"/>
      </w:tblGrid>
      <w:tr w:rsidR="00E97FD9" w:rsidRPr="00746768" w:rsidTr="00E97F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shd w:val="solid" w:color="000000" w:fill="auto"/>
          </w:tcPr>
          <w:p w:rsidR="00E97FD9" w:rsidRPr="00746768" w:rsidRDefault="00E97FD9" w:rsidP="00AC68FF">
            <w:pPr>
              <w:autoSpaceDE w:val="0"/>
              <w:autoSpaceDN w:val="0"/>
              <w:adjustRightInd w:val="0"/>
              <w:rPr>
                <w:rFonts w:eastAsiaTheme="minorEastAsia" w:cs="Calibri"/>
                <w:iCs/>
                <w:color w:val="FFFFFF"/>
                <w:szCs w:val="20"/>
                <w:lang w:eastAsia="en-AU"/>
              </w:rPr>
            </w:pPr>
            <w:r w:rsidRPr="00746768">
              <w:rPr>
                <w:rFonts w:eastAsiaTheme="minorEastAsia" w:cs="Calibri"/>
                <w:iCs/>
                <w:color w:val="FFFFFF"/>
                <w:szCs w:val="20"/>
                <w:lang w:eastAsia="en-AU"/>
              </w:rPr>
              <w:t xml:space="preserve"> </w:t>
            </w:r>
          </w:p>
        </w:tc>
        <w:tc>
          <w:tcPr>
            <w:tcW w:w="171" w:type="dxa"/>
            <w:tcBorders>
              <w:top w:val="nil"/>
              <w:left w:val="nil"/>
              <w:bottom w:val="nil"/>
              <w:right w:val="nil"/>
            </w:tcBorders>
            <w:shd w:val="solid" w:color="000000" w:fill="auto"/>
          </w:tcPr>
          <w:p w:rsidR="00E97FD9" w:rsidRPr="00746768" w:rsidRDefault="00E97FD9"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20"/>
                <w:lang w:eastAsia="en-AU"/>
              </w:rPr>
            </w:pPr>
          </w:p>
        </w:tc>
        <w:tc>
          <w:tcPr>
            <w:tcW w:w="4365" w:type="dxa"/>
            <w:gridSpan w:val="4"/>
            <w:tcBorders>
              <w:top w:val="nil"/>
              <w:left w:val="nil"/>
              <w:bottom w:val="single" w:sz="6" w:space="0" w:color="FFFFFF" w:themeColor="background1"/>
              <w:right w:val="nil"/>
            </w:tcBorders>
            <w:shd w:val="solid" w:color="000000" w:fill="auto"/>
          </w:tcPr>
          <w:p w:rsidR="00E97FD9" w:rsidRPr="00746768" w:rsidRDefault="00E97FD9"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State of Victoria</w:t>
            </w:r>
          </w:p>
        </w:tc>
        <w:tc>
          <w:tcPr>
            <w:tcW w:w="110" w:type="dxa"/>
            <w:tcBorders>
              <w:top w:val="nil"/>
              <w:left w:val="nil"/>
              <w:bottom w:val="nil"/>
              <w:right w:val="nil"/>
            </w:tcBorders>
            <w:shd w:val="solid" w:color="000000" w:fill="auto"/>
          </w:tcPr>
          <w:p w:rsidR="00E97FD9" w:rsidRPr="00746768" w:rsidRDefault="00E97FD9"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20"/>
                <w:lang w:eastAsia="en-AU"/>
              </w:rPr>
            </w:pPr>
          </w:p>
        </w:tc>
        <w:tc>
          <w:tcPr>
            <w:tcW w:w="4426" w:type="dxa"/>
            <w:gridSpan w:val="4"/>
            <w:tcBorders>
              <w:top w:val="nil"/>
              <w:left w:val="nil"/>
              <w:bottom w:val="single" w:sz="6" w:space="0" w:color="FFFFFF" w:themeColor="background1"/>
              <w:right w:val="nil"/>
            </w:tcBorders>
            <w:shd w:val="solid" w:color="000000" w:fill="auto"/>
          </w:tcPr>
          <w:p w:rsidR="00E97FD9" w:rsidRPr="00746768" w:rsidRDefault="00E97FD9"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General government sector</w:t>
            </w:r>
          </w:p>
        </w:tc>
      </w:tr>
      <w:tr w:rsidR="00BB6F1F" w:rsidRPr="00746768" w:rsidTr="00E97F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shd w:val="solid" w:color="000000" w:fill="auto"/>
          </w:tcPr>
          <w:p w:rsidR="00BB6F1F" w:rsidRPr="00746768" w:rsidRDefault="00E97FD9" w:rsidP="00AC68FF">
            <w:pPr>
              <w:keepLines w:val="0"/>
              <w:autoSpaceDE w:val="0"/>
              <w:autoSpaceDN w:val="0"/>
              <w:adjustRightInd w:val="0"/>
              <w:rPr>
                <w:rFonts w:eastAsiaTheme="minorEastAsia" w:cs="Calibri"/>
                <w:iCs/>
                <w:color w:val="FFFFFF"/>
                <w:szCs w:val="20"/>
                <w:lang w:eastAsia="en-AU"/>
              </w:rPr>
            </w:pPr>
            <w:r w:rsidRPr="00746768">
              <w:rPr>
                <w:rFonts w:eastAsiaTheme="minorEastAsia" w:cs="Calibri"/>
                <w:iCs/>
                <w:color w:val="FFFFFF"/>
                <w:szCs w:val="20"/>
                <w:lang w:eastAsia="en-AU"/>
              </w:rPr>
              <w:t>2017</w:t>
            </w:r>
          </w:p>
        </w:tc>
        <w:tc>
          <w:tcPr>
            <w:tcW w:w="1134" w:type="dxa"/>
            <w:gridSpan w:val="2"/>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 xml:space="preserve">Floating </w:t>
            </w:r>
            <w:r w:rsidR="00E97FD9">
              <w:rPr>
                <w:rFonts w:eastAsiaTheme="minorEastAsia" w:cs="Calibri"/>
                <w:iCs/>
                <w:color w:val="FFFFFF"/>
                <w:szCs w:val="20"/>
                <w:lang w:eastAsia="en-AU"/>
              </w:rPr>
              <w:br/>
            </w:r>
            <w:r w:rsidRPr="00746768">
              <w:rPr>
                <w:rFonts w:eastAsiaTheme="minorEastAsia" w:cs="Calibri"/>
                <w:iCs/>
                <w:color w:val="FFFFFF"/>
                <w:szCs w:val="20"/>
                <w:lang w:eastAsia="en-AU"/>
              </w:rPr>
              <w:t xml:space="preserve">rate </w:t>
            </w:r>
          </w:p>
        </w:tc>
        <w:tc>
          <w:tcPr>
            <w:tcW w:w="1022"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 xml:space="preserve">Fixed </w:t>
            </w:r>
            <w:r w:rsidR="00E97FD9">
              <w:rPr>
                <w:rFonts w:eastAsiaTheme="minorEastAsia" w:cs="Calibri"/>
                <w:iCs/>
                <w:color w:val="FFFFFF"/>
                <w:szCs w:val="20"/>
                <w:lang w:eastAsia="en-AU"/>
              </w:rPr>
              <w:br/>
            </w:r>
            <w:r w:rsidRPr="00746768">
              <w:rPr>
                <w:rFonts w:eastAsiaTheme="minorEastAsia" w:cs="Calibri"/>
                <w:iCs/>
                <w:color w:val="FFFFFF"/>
                <w:szCs w:val="20"/>
                <w:lang w:eastAsia="en-AU"/>
              </w:rPr>
              <w:t xml:space="preserve">rate </w:t>
            </w:r>
          </w:p>
        </w:tc>
        <w:tc>
          <w:tcPr>
            <w:tcW w:w="124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 xml:space="preserve">Non-interest bearing </w:t>
            </w:r>
          </w:p>
        </w:tc>
        <w:tc>
          <w:tcPr>
            <w:tcW w:w="1134"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Total</w:t>
            </w:r>
          </w:p>
        </w:tc>
        <w:tc>
          <w:tcPr>
            <w:tcW w:w="1134" w:type="dxa"/>
            <w:gridSpan w:val="2"/>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 xml:space="preserve">Floating </w:t>
            </w:r>
            <w:r w:rsidR="00E97FD9">
              <w:rPr>
                <w:rFonts w:eastAsiaTheme="minorEastAsia" w:cs="Calibri"/>
                <w:iCs/>
                <w:color w:val="FFFFFF"/>
                <w:szCs w:val="20"/>
                <w:lang w:eastAsia="en-AU"/>
              </w:rPr>
              <w:br/>
            </w:r>
            <w:r w:rsidRPr="00746768">
              <w:rPr>
                <w:rFonts w:eastAsiaTheme="minorEastAsia" w:cs="Calibri"/>
                <w:iCs/>
                <w:color w:val="FFFFFF"/>
                <w:szCs w:val="20"/>
                <w:lang w:eastAsia="en-AU"/>
              </w:rPr>
              <w:t xml:space="preserve">rate </w:t>
            </w:r>
          </w:p>
        </w:tc>
        <w:tc>
          <w:tcPr>
            <w:tcW w:w="1022"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 xml:space="preserve">Fixed </w:t>
            </w:r>
            <w:r w:rsidR="00E97FD9">
              <w:rPr>
                <w:rFonts w:eastAsiaTheme="minorEastAsia" w:cs="Calibri"/>
                <w:iCs/>
                <w:color w:val="FFFFFF"/>
                <w:szCs w:val="20"/>
                <w:lang w:eastAsia="en-AU"/>
              </w:rPr>
              <w:br/>
            </w:r>
            <w:r w:rsidRPr="00746768">
              <w:rPr>
                <w:rFonts w:eastAsiaTheme="minorEastAsia" w:cs="Calibri"/>
                <w:iCs/>
                <w:color w:val="FFFFFF"/>
                <w:szCs w:val="20"/>
                <w:lang w:eastAsia="en-AU"/>
              </w:rPr>
              <w:t xml:space="preserve">rate </w:t>
            </w:r>
          </w:p>
        </w:tc>
        <w:tc>
          <w:tcPr>
            <w:tcW w:w="124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 xml:space="preserve">Non-interest bearing </w:t>
            </w:r>
          </w:p>
        </w:tc>
        <w:tc>
          <w:tcPr>
            <w:tcW w:w="1134"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Total</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b/>
                <w:bCs/>
                <w:color w:val="000000"/>
                <w:szCs w:val="20"/>
                <w:lang w:eastAsia="en-AU"/>
              </w:rPr>
            </w:pPr>
            <w:r w:rsidRPr="00746768">
              <w:rPr>
                <w:rFonts w:eastAsiaTheme="minorEastAsia" w:cs="Calibri"/>
                <w:b/>
                <w:bCs/>
                <w:color w:val="000000"/>
                <w:szCs w:val="20"/>
                <w:lang w:eastAsia="en-AU"/>
              </w:rPr>
              <w:t>Financial assets</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20"/>
                <w:lang w:eastAsia="en-AU"/>
              </w:rPr>
            </w:pPr>
            <w:r w:rsidRPr="00746768">
              <w:rPr>
                <w:rFonts w:eastAsiaTheme="minorEastAsia" w:cs="Calibri"/>
                <w:i/>
                <w:iCs/>
                <w:color w:val="000000"/>
                <w:szCs w:val="20"/>
                <w:lang w:eastAsia="en-AU"/>
              </w:rPr>
              <w:t xml:space="preserve"> </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20"/>
                <w:lang w:eastAsia="en-AU"/>
              </w:rPr>
            </w:pPr>
            <w:r w:rsidRPr="00746768">
              <w:rPr>
                <w:rFonts w:eastAsiaTheme="minorEastAsia" w:cs="Calibri"/>
                <w:i/>
                <w:iCs/>
                <w:color w:val="000000"/>
                <w:szCs w:val="20"/>
                <w:lang w:eastAsia="en-AU"/>
              </w:rPr>
              <w:t xml:space="preserve"> </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20"/>
                <w:lang w:eastAsia="en-AU"/>
              </w:rPr>
            </w:pPr>
            <w:r w:rsidRPr="00746768">
              <w:rPr>
                <w:rFonts w:eastAsiaTheme="minorEastAsia" w:cs="Calibri"/>
                <w:i/>
                <w:iCs/>
                <w:color w:val="000000"/>
                <w:szCs w:val="20"/>
                <w:lang w:eastAsia="en-AU"/>
              </w:rPr>
              <w:t xml:space="preserve"> </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Cash and deposits</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5 655</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142</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72</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5 869</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4 962</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485</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83</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5 530</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Receivables</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110</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41</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2 709</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2 860</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45</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1 640</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1 688</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Advances paid</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201</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18</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61</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280</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8 455</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4 425</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59</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12 939</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Term deposits</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154</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6 320</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6 475</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240</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1 974</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2 214</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Derivative financial instruments</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273</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788</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1 061</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17</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17</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Equities and managed investment schemes</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651</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175</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28 007</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28 833</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401</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172</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844</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1 417</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Debt securities</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645</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5 792</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6 437</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24</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Total financial assets</w:t>
            </w:r>
          </w:p>
        </w:tc>
        <w:tc>
          <w:tcPr>
            <w:tcW w:w="1134" w:type="dxa"/>
            <w:gridSpan w:val="2"/>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7 417</w:t>
            </w:r>
          </w:p>
        </w:tc>
        <w:tc>
          <w:tcPr>
            <w:tcW w:w="1022" w:type="dxa"/>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12 761</w:t>
            </w:r>
          </w:p>
        </w:tc>
        <w:tc>
          <w:tcPr>
            <w:tcW w:w="1246" w:type="dxa"/>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31 636</w:t>
            </w:r>
          </w:p>
        </w:tc>
        <w:tc>
          <w:tcPr>
            <w:tcW w:w="1134" w:type="dxa"/>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51 815</w:t>
            </w:r>
          </w:p>
        </w:tc>
        <w:tc>
          <w:tcPr>
            <w:tcW w:w="1134" w:type="dxa"/>
            <w:gridSpan w:val="2"/>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14 126</w:t>
            </w:r>
          </w:p>
        </w:tc>
        <w:tc>
          <w:tcPr>
            <w:tcW w:w="1022" w:type="dxa"/>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7 061</w:t>
            </w:r>
          </w:p>
        </w:tc>
        <w:tc>
          <w:tcPr>
            <w:tcW w:w="1246" w:type="dxa"/>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2 643</w:t>
            </w:r>
          </w:p>
        </w:tc>
        <w:tc>
          <w:tcPr>
            <w:tcW w:w="1134" w:type="dxa"/>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23 830</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Financial liabilities</w:t>
            </w:r>
          </w:p>
        </w:tc>
        <w:tc>
          <w:tcPr>
            <w:tcW w:w="1134" w:type="dxa"/>
            <w:gridSpan w:val="2"/>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02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24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134"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134" w:type="dxa"/>
            <w:gridSpan w:val="2"/>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02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24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134"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Payables, deposits held and advances received</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868</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186</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5 908</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6 963</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8 390</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17</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4 321</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12 729</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Derivative financial instruments</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348</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140</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488</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17</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88</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105</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Interest-bearing liabilities</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38 412</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38 413</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19 326</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19 326</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Finance lease liabilities</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9 945</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9 946</w:t>
            </w:r>
          </w:p>
        </w:tc>
        <w:tc>
          <w:tcPr>
            <w:tcW w:w="1134"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9 384</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9 385</w:t>
            </w:r>
          </w:p>
        </w:tc>
      </w:tr>
      <w:tr w:rsidR="00BB6F1F" w:rsidRPr="00746768" w:rsidTr="00E97FD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9" w:type="dxa"/>
            <w:tcBorders>
              <w:top w:val="single" w:sz="6" w:space="0" w:color="auto"/>
              <w:bottom w:val="single" w:sz="12" w:space="0" w:color="auto"/>
            </w:tcBorders>
          </w:tcPr>
          <w:p w:rsidR="00BB6F1F" w:rsidRPr="00746768" w:rsidRDefault="00BB6F1F" w:rsidP="00AC68FF">
            <w:pPr>
              <w:keepLines w:val="0"/>
              <w:autoSpaceDE w:val="0"/>
              <w:autoSpaceDN w:val="0"/>
              <w:adjustRightInd w:val="0"/>
              <w:rPr>
                <w:rFonts w:eastAsiaTheme="minorEastAsia" w:cs="Calibri"/>
                <w:bCs/>
                <w:color w:val="000000"/>
                <w:lang w:eastAsia="en-AU"/>
              </w:rPr>
            </w:pPr>
            <w:r w:rsidRPr="00746768">
              <w:rPr>
                <w:rFonts w:eastAsiaTheme="minorEastAsia" w:cs="Calibri"/>
                <w:bCs/>
                <w:color w:val="000000"/>
                <w:lang w:eastAsia="en-AU"/>
              </w:rPr>
              <w:t>Total financial liabilities</w:t>
            </w:r>
          </w:p>
        </w:tc>
        <w:tc>
          <w:tcPr>
            <w:tcW w:w="1134" w:type="dxa"/>
            <w:gridSpan w:val="2"/>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870</w:t>
            </w:r>
          </w:p>
        </w:tc>
        <w:tc>
          <w:tcPr>
            <w:tcW w:w="1022"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48 891</w:t>
            </w:r>
          </w:p>
        </w:tc>
        <w:tc>
          <w:tcPr>
            <w:tcW w:w="1246"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6 049</w:t>
            </w:r>
          </w:p>
        </w:tc>
        <w:tc>
          <w:tcPr>
            <w:tcW w:w="1134"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55 810</w:t>
            </w:r>
          </w:p>
        </w:tc>
        <w:tc>
          <w:tcPr>
            <w:tcW w:w="1134" w:type="dxa"/>
            <w:gridSpan w:val="2"/>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8 391</w:t>
            </w:r>
          </w:p>
        </w:tc>
        <w:tc>
          <w:tcPr>
            <w:tcW w:w="1022"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28 743</w:t>
            </w:r>
          </w:p>
        </w:tc>
        <w:tc>
          <w:tcPr>
            <w:tcW w:w="1246"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4 410</w:t>
            </w:r>
          </w:p>
        </w:tc>
        <w:tc>
          <w:tcPr>
            <w:tcW w:w="1134"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41 544</w:t>
            </w:r>
          </w:p>
        </w:tc>
      </w:tr>
    </w:tbl>
    <w:p w:rsidR="00BB6F1F" w:rsidRPr="00746768" w:rsidRDefault="00BB6F1F" w:rsidP="00AC68FF">
      <w:pPr>
        <w:pStyle w:val="Note"/>
        <w:rPr>
          <w:b/>
          <w:bCs/>
          <w:lang w:val="en-US"/>
        </w:rPr>
      </w:pP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5499"/>
        <w:gridCol w:w="1134"/>
        <w:gridCol w:w="1022"/>
        <w:gridCol w:w="1246"/>
        <w:gridCol w:w="1134"/>
        <w:gridCol w:w="1134"/>
        <w:gridCol w:w="1022"/>
        <w:gridCol w:w="1246"/>
        <w:gridCol w:w="1134"/>
      </w:tblGrid>
      <w:tr w:rsidR="00BB6F1F" w:rsidRPr="00746768" w:rsidTr="00E97F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shd w:val="solid" w:color="000000" w:fill="auto"/>
          </w:tcPr>
          <w:p w:rsidR="00BB6F1F" w:rsidRPr="00746768" w:rsidRDefault="00BB6F1F" w:rsidP="00AC68FF">
            <w:pPr>
              <w:autoSpaceDE w:val="0"/>
              <w:autoSpaceDN w:val="0"/>
              <w:adjustRightInd w:val="0"/>
              <w:rPr>
                <w:rFonts w:eastAsiaTheme="minorEastAsia" w:cs="Calibri"/>
                <w:iCs/>
                <w:color w:val="FFFFFF"/>
                <w:szCs w:val="20"/>
                <w:lang w:eastAsia="en-AU"/>
              </w:rPr>
            </w:pPr>
            <w:r w:rsidRPr="00746768">
              <w:rPr>
                <w:rFonts w:eastAsiaTheme="minorEastAsia" w:cs="Calibri"/>
                <w:iCs/>
                <w:color w:val="FFFFFF"/>
                <w:szCs w:val="20"/>
                <w:lang w:eastAsia="en-AU"/>
              </w:rPr>
              <w:t>2016</w:t>
            </w:r>
          </w:p>
        </w:tc>
        <w:tc>
          <w:tcPr>
            <w:tcW w:w="1134"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 xml:space="preserve"> </w:t>
            </w:r>
          </w:p>
        </w:tc>
        <w:tc>
          <w:tcPr>
            <w:tcW w:w="1022"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 xml:space="preserve"> </w:t>
            </w:r>
          </w:p>
        </w:tc>
        <w:tc>
          <w:tcPr>
            <w:tcW w:w="124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 xml:space="preserve"> </w:t>
            </w:r>
          </w:p>
        </w:tc>
        <w:tc>
          <w:tcPr>
            <w:tcW w:w="1134"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 xml:space="preserve"> </w:t>
            </w:r>
          </w:p>
        </w:tc>
        <w:tc>
          <w:tcPr>
            <w:tcW w:w="1134"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 xml:space="preserve"> </w:t>
            </w:r>
          </w:p>
        </w:tc>
        <w:tc>
          <w:tcPr>
            <w:tcW w:w="1022"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 xml:space="preserve"> </w:t>
            </w:r>
          </w:p>
        </w:tc>
        <w:tc>
          <w:tcPr>
            <w:tcW w:w="124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 xml:space="preserve"> </w:t>
            </w:r>
          </w:p>
        </w:tc>
        <w:tc>
          <w:tcPr>
            <w:tcW w:w="1134"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 xml:space="preserve"> </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b/>
                <w:bCs/>
                <w:color w:val="000000"/>
                <w:szCs w:val="20"/>
                <w:lang w:eastAsia="en-AU"/>
              </w:rPr>
            </w:pPr>
            <w:r w:rsidRPr="00746768">
              <w:rPr>
                <w:rFonts w:eastAsiaTheme="minorEastAsia" w:cs="Calibri"/>
                <w:b/>
                <w:bCs/>
                <w:color w:val="000000"/>
                <w:szCs w:val="20"/>
                <w:lang w:eastAsia="en-AU"/>
              </w:rPr>
              <w:t>Financial assets</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20"/>
                <w:lang w:eastAsia="en-AU"/>
              </w:rPr>
            </w:pPr>
            <w:r w:rsidRPr="00746768">
              <w:rPr>
                <w:rFonts w:eastAsiaTheme="minorEastAsia" w:cs="Calibri"/>
                <w:i/>
                <w:iCs/>
                <w:color w:val="000000"/>
                <w:szCs w:val="20"/>
                <w:lang w:eastAsia="en-AU"/>
              </w:rPr>
              <w:t xml:space="preserve"> </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20"/>
                <w:lang w:eastAsia="en-AU"/>
              </w:rPr>
            </w:pPr>
            <w:r w:rsidRPr="00746768">
              <w:rPr>
                <w:rFonts w:eastAsiaTheme="minorEastAsia" w:cs="Calibri"/>
                <w:i/>
                <w:iCs/>
                <w:color w:val="000000"/>
                <w:szCs w:val="20"/>
                <w:lang w:eastAsia="en-AU"/>
              </w:rPr>
              <w:t xml:space="preserve"> </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Cash and deposits</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3 631</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2 919</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126</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6 676</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3 715</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919</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138</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4 772</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Receivables</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151</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116</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2 797</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3 063</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133</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50</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1 504</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1 688</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Advances paid</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62</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29</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62</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153</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59</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4 467</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57</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4 582</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Term deposits</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10</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502</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512</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66</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1 396</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1 462</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Derivative financial instruments</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427</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459</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236</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1 122</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18</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18</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Equities and managed investment schemes</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859</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412</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23 146</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24 416</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644</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409</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254</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1 307</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Debt securities</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1 238</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8 246</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9 484</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66</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67</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Total financial assets</w:t>
            </w:r>
          </w:p>
        </w:tc>
        <w:tc>
          <w:tcPr>
            <w:tcW w:w="1134" w:type="dxa"/>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6 378</w:t>
            </w:r>
          </w:p>
        </w:tc>
        <w:tc>
          <w:tcPr>
            <w:tcW w:w="1022" w:type="dxa"/>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12 682</w:t>
            </w:r>
          </w:p>
        </w:tc>
        <w:tc>
          <w:tcPr>
            <w:tcW w:w="1246" w:type="dxa"/>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26 367</w:t>
            </w:r>
          </w:p>
        </w:tc>
        <w:tc>
          <w:tcPr>
            <w:tcW w:w="1134" w:type="dxa"/>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45 426</w:t>
            </w:r>
          </w:p>
        </w:tc>
        <w:tc>
          <w:tcPr>
            <w:tcW w:w="1134" w:type="dxa"/>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4 683</w:t>
            </w:r>
          </w:p>
        </w:tc>
        <w:tc>
          <w:tcPr>
            <w:tcW w:w="1022" w:type="dxa"/>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7 260</w:t>
            </w:r>
          </w:p>
        </w:tc>
        <w:tc>
          <w:tcPr>
            <w:tcW w:w="1246" w:type="dxa"/>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1 953</w:t>
            </w:r>
          </w:p>
        </w:tc>
        <w:tc>
          <w:tcPr>
            <w:tcW w:w="1134" w:type="dxa"/>
            <w:tcBorders>
              <w:top w:val="single" w:sz="6" w:space="0" w:color="auto"/>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13 896</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Financial liabilities</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FF"/>
                <w:lang w:eastAsia="en-AU"/>
              </w:rPr>
            </w:pPr>
            <w:r w:rsidRPr="00746768">
              <w:rPr>
                <w:rFonts w:eastAsiaTheme="minorEastAsia" w:cs="Calibri"/>
                <w:color w:val="0000FF"/>
                <w:lang w:eastAsia="en-AU"/>
              </w:rPr>
              <w:t xml:space="preserve"> </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FF"/>
                <w:lang w:eastAsia="en-AU"/>
              </w:rPr>
            </w:pPr>
            <w:r w:rsidRPr="00746768">
              <w:rPr>
                <w:rFonts w:eastAsiaTheme="minorEastAsia" w:cs="Calibri"/>
                <w:color w:val="0000FF"/>
                <w:lang w:eastAsia="en-AU"/>
              </w:rPr>
              <w:t xml:space="preserve"> </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FF"/>
                <w:lang w:eastAsia="en-AU"/>
              </w:rPr>
            </w:pPr>
            <w:r w:rsidRPr="00746768">
              <w:rPr>
                <w:rFonts w:eastAsiaTheme="minorEastAsia" w:cs="Calibri"/>
                <w:color w:val="0000FF"/>
                <w:lang w:eastAsia="en-AU"/>
              </w:rPr>
              <w:t xml:space="preserve"> </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FF"/>
                <w:lang w:eastAsia="en-AU"/>
              </w:rPr>
            </w:pPr>
            <w:r w:rsidRPr="00746768">
              <w:rPr>
                <w:rFonts w:eastAsiaTheme="minorEastAsia" w:cs="Calibri"/>
                <w:color w:val="0000FF"/>
                <w:lang w:eastAsia="en-AU"/>
              </w:rPr>
              <w:t xml:space="preserve"> </w:t>
            </w:r>
          </w:p>
        </w:tc>
        <w:tc>
          <w:tcPr>
            <w:tcW w:w="1134"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02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24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134"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Payables, deposits held and advances received</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1 995</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404</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4 660</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7 059</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26</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485</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3 672</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4 183</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Derivative financial instruments</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62</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893</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250</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1 205</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19</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131</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150</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Interest-bearing liabilities</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43 114</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43 115</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24 651</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24 652</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Finance lease liabilities</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9 638</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9 640</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02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9 007</w:t>
            </w:r>
          </w:p>
        </w:tc>
        <w:tc>
          <w:tcPr>
            <w:tcW w:w="124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9 009</w:t>
            </w:r>
          </w:p>
        </w:tc>
      </w:tr>
      <w:tr w:rsidR="00BB6F1F" w:rsidRPr="00746768" w:rsidTr="00E97FD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9" w:type="dxa"/>
            <w:tcBorders>
              <w:top w:val="single" w:sz="6" w:space="0" w:color="auto"/>
              <w:bottom w:val="single" w:sz="12" w:space="0" w:color="auto"/>
            </w:tcBorders>
          </w:tcPr>
          <w:p w:rsidR="00BB6F1F" w:rsidRPr="00746768" w:rsidRDefault="00BB6F1F" w:rsidP="00AC68FF">
            <w:pPr>
              <w:keepLines w:val="0"/>
              <w:autoSpaceDE w:val="0"/>
              <w:autoSpaceDN w:val="0"/>
              <w:adjustRightInd w:val="0"/>
              <w:rPr>
                <w:rFonts w:eastAsiaTheme="minorEastAsia" w:cs="Calibri"/>
                <w:bCs/>
                <w:color w:val="000000"/>
                <w:lang w:eastAsia="en-AU"/>
              </w:rPr>
            </w:pPr>
            <w:r w:rsidRPr="00746768">
              <w:rPr>
                <w:rFonts w:eastAsiaTheme="minorEastAsia" w:cs="Calibri"/>
                <w:bCs/>
                <w:color w:val="000000"/>
                <w:lang w:eastAsia="en-AU"/>
              </w:rPr>
              <w:t>Total financial liabilities</w:t>
            </w:r>
          </w:p>
        </w:tc>
        <w:tc>
          <w:tcPr>
            <w:tcW w:w="1134"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2 057</w:t>
            </w:r>
          </w:p>
        </w:tc>
        <w:tc>
          <w:tcPr>
            <w:tcW w:w="1022"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54 049</w:t>
            </w:r>
          </w:p>
        </w:tc>
        <w:tc>
          <w:tcPr>
            <w:tcW w:w="1246"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4 912</w:t>
            </w:r>
          </w:p>
        </w:tc>
        <w:tc>
          <w:tcPr>
            <w:tcW w:w="1134"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61 019</w:t>
            </w:r>
          </w:p>
        </w:tc>
        <w:tc>
          <w:tcPr>
            <w:tcW w:w="1134"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26</w:t>
            </w:r>
          </w:p>
        </w:tc>
        <w:tc>
          <w:tcPr>
            <w:tcW w:w="1022"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34 162</w:t>
            </w:r>
          </w:p>
        </w:tc>
        <w:tc>
          <w:tcPr>
            <w:tcW w:w="1246"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3 805</w:t>
            </w:r>
          </w:p>
        </w:tc>
        <w:tc>
          <w:tcPr>
            <w:tcW w:w="1134"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37 993</w:t>
            </w:r>
          </w:p>
        </w:tc>
      </w:tr>
    </w:tbl>
    <w:p w:rsidR="00BB6F1F" w:rsidRDefault="00BB6F1F" w:rsidP="00AC68FF">
      <w:pPr>
        <w:sectPr w:rsidR="00BB6F1F" w:rsidSect="00AC68FF">
          <w:headerReference w:type="even" r:id="rId107"/>
          <w:headerReference w:type="default" r:id="rId108"/>
          <w:footerReference w:type="even" r:id="rId109"/>
          <w:footerReference w:type="default" r:id="rId110"/>
          <w:pgSz w:w="16839" w:h="11907" w:orient="landscape" w:code="9"/>
          <w:pgMar w:top="1134" w:right="1134" w:bottom="1134" w:left="1134" w:header="624" w:footer="567" w:gutter="0"/>
          <w:cols w:sep="1" w:space="567"/>
          <w:docGrid w:linePitch="360"/>
        </w:sectPr>
      </w:pPr>
    </w:p>
    <w:p w:rsidR="00BB6F1F" w:rsidRDefault="00BB6F1F" w:rsidP="00AC68FF">
      <w:pPr>
        <w:pStyle w:val="Heading4"/>
        <w:spacing w:before="0"/>
      </w:pPr>
      <w:r>
        <w:lastRenderedPageBreak/>
        <w:t>Interest rate risk management</w:t>
      </w:r>
    </w:p>
    <w:p w:rsidR="00BB6F1F" w:rsidRDefault="00BB6F1F" w:rsidP="00AC68FF">
      <w:r>
        <w:t>The State’s policy for managing interest rate risk on borrowings is to achieve relative certainty of cash interest cost while seeking to minimise net borrowing cost within portfolio risk management guidelines. Generally, this is achieved by undertaking fixed rate borrowings across a range of maturity profiles.</w:t>
      </w:r>
    </w:p>
    <w:p w:rsidR="00BB6F1F" w:rsidRDefault="00BB6F1F" w:rsidP="00AC68FF">
      <w:r>
        <w:t>TCV manages the State’s interest risk exposure from borrowings through daily quantification of the risk, which assesses the potential loss that the State might incur under various market scenarios. Interest rate risk is managed within an approved limit structure in accordance with TCV’s prudential policy and risk management framework, which requires consistency with the Australian Prudential Regulation Authority prudential statements for banks.</w:t>
      </w:r>
    </w:p>
    <w:p w:rsidR="00BB6F1F" w:rsidRDefault="00BB6F1F" w:rsidP="00AC68FF">
      <w:r>
        <w:t>Derivative instruments such as interest rate swaps and futures contracts are used to either change the interest rate between fixed and floating rates of interest or between different floating rates of interest.</w:t>
      </w:r>
    </w:p>
    <w:p w:rsidR="00BB6F1F" w:rsidRDefault="00BB6F1F" w:rsidP="00AC68FF">
      <w:r>
        <w:t xml:space="preserve">At 30 June 2017, approximately </w:t>
      </w:r>
      <w:r w:rsidRPr="0075678D">
        <w:t>94 per cent (9</w:t>
      </w:r>
      <w:r>
        <w:t>7 </w:t>
      </w:r>
      <w:r w:rsidRPr="0075678D">
        <w:t>per</w:t>
      </w:r>
      <w:r>
        <w:t> </w:t>
      </w:r>
      <w:r w:rsidRPr="0075678D">
        <w:t>cent in 2016) of the State’s borrowings are at fixed rates of interest. There has been no change in the State’s exposure to interest rate risk or the manner in which it manages and measures the risk from the previous reporting period.</w:t>
      </w:r>
    </w:p>
    <w:p w:rsidR="00BB6F1F" w:rsidRDefault="00BB6F1F" w:rsidP="00AC68FF">
      <w:pPr>
        <w:pStyle w:val="Heading4"/>
      </w:pPr>
      <w:r>
        <w:t>Interest rate sensitivity analysis</w:t>
      </w:r>
    </w:p>
    <w:p w:rsidR="00BB6F1F" w:rsidRDefault="00BB6F1F" w:rsidP="00AC68FF">
      <w:r>
        <w:t>The State has analysed the possible effects of feasible changes in interest rates on its financial position and result using the following assumptions:</w:t>
      </w:r>
    </w:p>
    <w:p w:rsidR="00BB6F1F" w:rsidRDefault="00BB6F1F" w:rsidP="00AC68FF">
      <w:pPr>
        <w:pStyle w:val="ListBullet"/>
      </w:pPr>
      <w:r>
        <w:t>the exposure to interest rates for both derivative and non-derivative instruments at the reporting date, and the stipulated change taking place at the beginning of the financial year, are held constant throughout the reporting period; and</w:t>
      </w:r>
    </w:p>
    <w:p w:rsidR="00BB6F1F" w:rsidRDefault="00BB6F1F" w:rsidP="00AC68FF">
      <w:pPr>
        <w:pStyle w:val="ListBullet"/>
      </w:pPr>
      <w:r>
        <w:t xml:space="preserve">based on historic movements, and in particular, management’s knowledge and experience of the recent volatility in global financial markets, the State has assessed that it may be exposed to a reasonably possible increase or decrease of 100 basis points in interest rates (100 basis points in 2016). </w:t>
      </w:r>
    </w:p>
    <w:p w:rsidR="00BB6F1F" w:rsidRDefault="00BB6F1F" w:rsidP="00AC68FF">
      <w:pPr>
        <w:spacing w:before="40"/>
      </w:pPr>
      <w:r>
        <w:br w:type="column"/>
      </w:r>
      <w:r>
        <w:lastRenderedPageBreak/>
        <w:t>With all other variables held constant, the impact of a 100 basis point increase or decrease on the net result and net assets at 30 June 2017 is a $1.6 billion increase/$1.7 billion decrease ($1.7 billion increase/$1.8 billion decrease in 2016).</w:t>
      </w:r>
    </w:p>
    <w:p w:rsidR="00BB6F1F" w:rsidRDefault="00BB6F1F" w:rsidP="00AC68FF">
      <w:r>
        <w:t>The State’s sensitivity to interest rates is mainly attributable to the revaluation of fixed interest borrowings at fair value and the revaluation of the insurance and superannuation liabilities, however this does not impact on the net result from transactions.</w:t>
      </w:r>
    </w:p>
    <w:p w:rsidR="00BB6F1F" w:rsidRPr="00E31D88" w:rsidRDefault="00BB6F1F" w:rsidP="00BB6F1F">
      <w:pPr>
        <w:pStyle w:val="Heading3"/>
      </w:pPr>
      <w:r w:rsidRPr="00E31D88">
        <w:t>Foreign currency risk</w:t>
      </w:r>
    </w:p>
    <w:p w:rsidR="00BB6F1F" w:rsidRDefault="00BB6F1F" w:rsidP="00AC68FF">
      <w:r>
        <w:t xml:space="preserve">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Non-monetary assets carried at fair value that are denominated in foreign currencies are translated to the functional currency at the rates prevailing at the date when the fair value was determined. </w:t>
      </w:r>
    </w:p>
    <w:p w:rsidR="00BB6F1F" w:rsidRDefault="00BB6F1F" w:rsidP="00AC68FF">
      <w:r>
        <w:t>Foreign currency translation differences are recognised in other economic flows in the consolidated comprehensive operating statement and accumulated in a separate component of equity, in the period in which they arise.</w:t>
      </w:r>
    </w:p>
    <w:p w:rsidR="00BB6F1F" w:rsidRDefault="00BB6F1F" w:rsidP="00AC68FF">
      <w:r>
        <w:t>The State is also exposed to foreign currency risk through investments in foreign currency denominated financial assets, primarily international equities. This exposure is mainly via the major currencies such as United States dollar, Canadian dollar, Japanese yen, Swiss franc, the euro, British pound and the New Zealand dollar.</w:t>
      </w:r>
    </w:p>
    <w:p w:rsidR="00BB6F1F" w:rsidRDefault="00BB6F1F" w:rsidP="00AC68FF">
      <w:r w:rsidRPr="00E92FEC">
        <w:t xml:space="preserve">The carrying amount of the State’s foreign currency denominated monetary assets and monetary liabilities at the reporting date is </w:t>
      </w:r>
      <w:r>
        <w:t>$2.8 b</w:t>
      </w:r>
      <w:r w:rsidRPr="00E92FEC">
        <w:t>illion ($2</w:t>
      </w:r>
      <w:r>
        <w:t>.6 b</w:t>
      </w:r>
      <w:r w:rsidRPr="00E92FEC">
        <w:t>illion in 2016) of equities and managed investment schemes and $126 million ($242 million in 2016) of foreign currency borrowings.</w:t>
      </w:r>
    </w:p>
    <w:p w:rsidR="00BB6F1F" w:rsidRDefault="00BB6F1F">
      <w:pPr>
        <w:keepLines w:val="0"/>
        <w:sectPr w:rsidR="00BB6F1F" w:rsidSect="00AC68FF">
          <w:headerReference w:type="even" r:id="rId111"/>
          <w:headerReference w:type="default" r:id="rId112"/>
          <w:footerReference w:type="even" r:id="rId113"/>
          <w:footerReference w:type="default" r:id="rId114"/>
          <w:pgSz w:w="11907" w:h="16839" w:code="9"/>
          <w:pgMar w:top="1134" w:right="1134" w:bottom="1134" w:left="1134" w:header="624" w:footer="567" w:gutter="0"/>
          <w:cols w:num="2" w:space="709"/>
          <w:docGrid w:linePitch="360"/>
        </w:sectPr>
      </w:pPr>
    </w:p>
    <w:p w:rsidR="00BB6F1F" w:rsidRDefault="00BB6F1F" w:rsidP="00AC68FF"/>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AC68FF">
      <w:pPr>
        <w:spacing w:before="40"/>
      </w:pPr>
      <w:r>
        <w:lastRenderedPageBreak/>
        <w:t>The VFMC, the State’s fund manager, applies a consolidated approach in managing the foreign currency exposure in accordance with investment risk management plans as approved by the Treasurer. VFMC’s approach is to hedge approximately 50 per cent of the foreign currency exposure arising from international equities, and to fully hedge foreign currency exposures arising from other offshore assets such as infrastructure, property and hedge funds.</w:t>
      </w:r>
    </w:p>
    <w:p w:rsidR="00BB6F1F" w:rsidRDefault="00BB6F1F" w:rsidP="00AC68FF">
      <w:r>
        <w:t>TCV is the State’s central borrowing authority and part of its funding program is comprised of foreign currency borrowings. The State’s policy is to hedge any material foreign currency exposures arising from borrowings. TCV uses foreign exchange options, spot and forward foreign exchange rate contracts in the management of offshore borrowings.</w:t>
      </w:r>
    </w:p>
    <w:p w:rsidR="00BB6F1F" w:rsidRDefault="00BB6F1F" w:rsidP="00AC68FF">
      <w:r>
        <w:t>There has been no material change in the State’s exposure to foreign currency risk or the manner in which it manages and measures the risk from the previous reporting period.</w:t>
      </w:r>
    </w:p>
    <w:p w:rsidR="00BB6F1F" w:rsidRDefault="00BB6F1F" w:rsidP="00AC68FF">
      <w:pPr>
        <w:pStyle w:val="Heading4"/>
      </w:pPr>
      <w:r>
        <w:t>Foreign currency sensitivity analysis</w:t>
      </w:r>
    </w:p>
    <w:p w:rsidR="00BB6F1F" w:rsidRDefault="00BB6F1F" w:rsidP="00AC68FF">
      <w:r>
        <w:t>The State has analysed the possible effects of feasible change in exchange rates against the Australian dollar on its financial position and result using the following assumptions:</w:t>
      </w:r>
    </w:p>
    <w:p w:rsidR="00BB6F1F" w:rsidRDefault="00BB6F1F" w:rsidP="00AC68FF">
      <w:pPr>
        <w:pStyle w:val="ListBullet"/>
      </w:pPr>
      <w:r>
        <w:t>exposure to the pool of foreign currencies for both derivative and non-derivative instruments at the reporting date, and the stipulated change taking place at the beginning of the financial year are held constant throughout the reporting period; and</w:t>
      </w:r>
    </w:p>
    <w:p w:rsidR="00BB6F1F" w:rsidRDefault="00BB6F1F" w:rsidP="00AC68FF">
      <w:pPr>
        <w:pStyle w:val="ListBullet"/>
      </w:pPr>
      <w:r>
        <w:t>based on historic movements, future expectations and management’s knowledge and experience of the foreign currency markets, the State has assessed that it may be exposed to an increase or decrease of 15 per cent against the Australian dollar (15 per cent in 2016).</w:t>
      </w:r>
    </w:p>
    <w:p w:rsidR="00BB6F1F" w:rsidRDefault="00BB6F1F" w:rsidP="00AC68FF">
      <w:r>
        <w:t>With all other variables held constant, the impact of a 15 per cent increase or decrease in exchange rates on economic flows and net assets at 30 June 2017 is $322 million decrease/$435 million increase ($302 million decrease/$408 million increase in 2016).</w:t>
      </w:r>
    </w:p>
    <w:p w:rsidR="00BB6F1F" w:rsidRDefault="00BB6F1F" w:rsidP="00AC68FF">
      <w:r>
        <w:t>The State’s exposure to foreign currency risk has no direct impact on the net result from transactions.</w:t>
      </w:r>
    </w:p>
    <w:p w:rsidR="00BB6F1F" w:rsidRPr="00E31D88" w:rsidRDefault="00BB6F1F" w:rsidP="00BB6F1F">
      <w:pPr>
        <w:pStyle w:val="Heading3"/>
      </w:pPr>
      <w:r w:rsidRPr="00E31D88">
        <w:lastRenderedPageBreak/>
        <w:t>Equity price risk</w:t>
      </w:r>
    </w:p>
    <w:p w:rsidR="00BB6F1F" w:rsidRDefault="00BB6F1F" w:rsidP="00AC68FF">
      <w:r>
        <w:t xml:space="preserve">The State is exposed to equity price risk from Australian and international investments in equities directly and indirectly via managed investment schemes or funds. These investments are selected as part of a diversified portfolio to match investment objectives appropriate to the State’s liabilities. The State limits its equity price risk through diversifying its investment portfolio. This is determined by VFMC and reflected in the Investment Risk Management Plan approved by the Treasurer, and in accordance with the </w:t>
      </w:r>
      <w:r w:rsidRPr="00B843C9">
        <w:rPr>
          <w:i/>
        </w:rPr>
        <w:t xml:space="preserve">Borrowing and Investments Powers Act 1987 </w:t>
      </w:r>
      <w:r>
        <w:t>(BIP Act) and the prudential supervisory policies and framework of the State.</w:t>
      </w:r>
    </w:p>
    <w:p w:rsidR="00BB6F1F" w:rsidRDefault="00BB6F1F" w:rsidP="00AC68FF">
      <w:r>
        <w:t>There has been no material change in the State’s exposure to equity price risk or the manner in which it manages and measures the risk from the previous reporting period.</w:t>
      </w:r>
    </w:p>
    <w:p w:rsidR="00BB6F1F" w:rsidRDefault="00BB6F1F" w:rsidP="00AC68FF">
      <w:pPr>
        <w:pStyle w:val="Heading4"/>
      </w:pPr>
      <w:r>
        <w:t>Equity price sensitivity analysis</w:t>
      </w:r>
    </w:p>
    <w:p w:rsidR="00BB6F1F" w:rsidRDefault="00BB6F1F" w:rsidP="00AC68FF">
      <w:r>
        <w:t>The State has analysed the possible effects of feasible changes in equity prices on its financial position and result using the following assumptions:</w:t>
      </w:r>
    </w:p>
    <w:p w:rsidR="00BB6F1F" w:rsidRDefault="00BB6F1F" w:rsidP="00AC68FF">
      <w:pPr>
        <w:pStyle w:val="ListBullet"/>
      </w:pPr>
      <w:r>
        <w:t>exposure to equity securities for both derivative and non-derivative instruments at the reporting date, and the stipulated change taking place at the beginning of the financial year are held constant throughout the reporting period; and</w:t>
      </w:r>
    </w:p>
    <w:p w:rsidR="00BB6F1F" w:rsidRDefault="00BB6F1F" w:rsidP="00AC68FF">
      <w:pPr>
        <w:pStyle w:val="ListBullet"/>
      </w:pPr>
      <w:r>
        <w:t>based on historic movements, future expectations and management’s knowledge and experience of the volatility of the equity markets, the State has assessed that it may be exposed to a reasonably possible increase or decrease of 15 per cent to equity prices (increase or decrease of 15 per cent in 2016).</w:t>
      </w:r>
    </w:p>
    <w:p w:rsidR="00BB6F1F" w:rsidRDefault="00BB6F1F" w:rsidP="00AC68FF">
      <w:r>
        <w:t>With all other variables held constant, the impact of a 15 per cent increase or decrease in listed equities prices on economic flows and net assets at 30 June 2017 is $1 million increase/$1 million decrease ($83 million increase/$83 million decrease in 2016) and from unlisted equities is $2.8 billion increase/$2.8 billion decrease ($2.3 billion increase/$2.3 billion decrease in 2016).</w:t>
      </w:r>
    </w:p>
    <w:p w:rsidR="00BB6F1F" w:rsidRDefault="00BB6F1F" w:rsidP="00AC68FF">
      <w:r>
        <w:t>The State’s exposure to equity price sensitivity has no direct impact on the net result from transactions.</w:t>
      </w:r>
    </w:p>
    <w:p w:rsidR="00BB6F1F" w:rsidRPr="00E31D88" w:rsidRDefault="00BB6F1F" w:rsidP="00BB6F1F">
      <w:pPr>
        <w:pStyle w:val="Heading3"/>
      </w:pPr>
      <w:r w:rsidRPr="00E31D88">
        <w:lastRenderedPageBreak/>
        <w:t>Credit risk</w:t>
      </w:r>
    </w:p>
    <w:p w:rsidR="00BB6F1F" w:rsidRDefault="00BB6F1F" w:rsidP="00AC68FF">
      <w:r>
        <w:t xml:space="preserve">Credit risk refers to the possibility that a borrower will default on its financial obligations as and when they fall due. The State’s exposure to credit risk mainly arises through its investments in fixed interest instruments and contractual loans and receivables. Most of the State’s investments and derivatives are centrally managed by TCV and VFMC. Limits are set both in terms of the quality and amount of credit exposure in accordance with the </w:t>
      </w:r>
      <w:r w:rsidRPr="006120D3">
        <w:rPr>
          <w:i/>
        </w:rPr>
        <w:t>Borrowings and Investment Powers Act 1987</w:t>
      </w:r>
      <w:r>
        <w:t xml:space="preserve"> and the prudential supervisory policies and framework of the State.</w:t>
      </w:r>
    </w:p>
    <w:p w:rsidR="00BB6F1F" w:rsidRDefault="00BB6F1F" w:rsidP="00AC68FF">
      <w:r>
        <w:t>The State has a material credit risk exposure resulting from the level of investments and derivative transactions with the four major Australian banks which is managed by reference to the credit quality and exposure policies that have been established.</w:t>
      </w:r>
    </w:p>
    <w:p w:rsidR="00BB6F1F" w:rsidRDefault="00BB6F1F" w:rsidP="00C91E19">
      <w:pPr>
        <w:pStyle w:val="Heading30"/>
        <w:pBdr>
          <w:bottom w:val="none" w:sz="0" w:space="0" w:color="auto"/>
        </w:pBdr>
      </w:pPr>
    </w:p>
    <w:p w:rsidR="00BB6F1F" w:rsidRDefault="00BB6F1F" w:rsidP="00AC68FF">
      <w:r>
        <w:t>The State’s maximum exposure to credit risk, without taking account of the value of any collateral obtained at the reporting date, in relation to each class of recognised financial asset, is the carrying amount of those assets as recognised in the balance sheet.</w:t>
      </w:r>
    </w:p>
    <w:p w:rsidR="00BB6F1F" w:rsidRDefault="00BB6F1F" w:rsidP="00AC68FF">
      <w:r>
        <w:t xml:space="preserve">There has been no material change to the State’s credit risk profile in 2016-17. </w:t>
      </w:r>
    </w:p>
    <w:p w:rsidR="00BB6F1F" w:rsidRDefault="00BB6F1F" w:rsidP="00AC68FF">
      <w:r>
        <w:t xml:space="preserve">The table below provides information on the credit quality of the State’s financial assets that are neither past due, nor impaired. Note 6.3 sets out the ageing of contractual receivables.  </w:t>
      </w:r>
    </w:p>
    <w:p w:rsidR="00BB6F1F" w:rsidRDefault="00BB6F1F" w:rsidP="00AC68FF">
      <w:pPr>
        <w:pStyle w:val="TableHeading"/>
        <w:sectPr w:rsidR="00BB6F1F" w:rsidSect="00AC68FF">
          <w:type w:val="continuous"/>
          <w:pgSz w:w="11907" w:h="16839" w:code="9"/>
          <w:pgMar w:top="1134" w:right="1134" w:bottom="1134" w:left="1134" w:header="624" w:footer="567" w:gutter="0"/>
          <w:cols w:num="2" w:space="709"/>
          <w:docGrid w:linePitch="360"/>
        </w:sectPr>
      </w:pPr>
    </w:p>
    <w:p w:rsidR="00C91E19" w:rsidRDefault="00C91E19" w:rsidP="00C91E19"/>
    <w:p w:rsidR="00BB6F1F" w:rsidRPr="00746768" w:rsidRDefault="00BB6F1F" w:rsidP="00AC68FF">
      <w:pPr>
        <w:pStyle w:val="TableHeading"/>
        <w:rPr>
          <w:bCs/>
          <w:lang w:val="en-US"/>
        </w:rPr>
      </w:pPr>
      <w:r>
        <w:t>Credit quality of financial assets that are neither past due nor impaired</w:t>
      </w:r>
      <w:r>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5102"/>
        <w:gridCol w:w="1134"/>
        <w:gridCol w:w="1276"/>
        <w:gridCol w:w="1134"/>
        <w:gridCol w:w="992"/>
      </w:tblGrid>
      <w:tr w:rsidR="00E97FD9" w:rsidRPr="00746768" w:rsidTr="00E97F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left w:val="single" w:sz="6" w:space="0" w:color="auto"/>
              <w:bottom w:val="single" w:sz="6" w:space="0" w:color="auto"/>
              <w:right w:val="nil"/>
            </w:tcBorders>
            <w:shd w:val="solid" w:color="000000" w:fill="auto"/>
          </w:tcPr>
          <w:p w:rsidR="00E97FD9" w:rsidRPr="00746768" w:rsidRDefault="00E97FD9" w:rsidP="00AC68FF">
            <w:pPr>
              <w:autoSpaceDE w:val="0"/>
              <w:autoSpaceDN w:val="0"/>
              <w:adjustRightInd w:val="0"/>
              <w:rPr>
                <w:rFonts w:eastAsiaTheme="minorEastAsia" w:cs="Calibri"/>
                <w:iCs/>
                <w:color w:val="FFFFFF"/>
                <w:lang w:eastAsia="en-AU"/>
              </w:rPr>
            </w:pPr>
            <w:r w:rsidRPr="00746768">
              <w:rPr>
                <w:rFonts w:eastAsiaTheme="minorEastAsia" w:cs="Calibri"/>
                <w:iCs/>
                <w:color w:val="FFFFFF"/>
                <w:lang w:eastAsia="en-AU"/>
              </w:rPr>
              <w:t>State of Victoria</w:t>
            </w:r>
          </w:p>
        </w:tc>
        <w:tc>
          <w:tcPr>
            <w:tcW w:w="1134" w:type="dxa"/>
            <w:tcBorders>
              <w:top w:val="single" w:sz="6" w:space="0" w:color="auto"/>
              <w:left w:val="nil"/>
              <w:bottom w:val="nil"/>
              <w:right w:val="nil"/>
            </w:tcBorders>
            <w:shd w:val="solid" w:color="000000" w:fill="auto"/>
          </w:tcPr>
          <w:p w:rsidR="00E97FD9" w:rsidRPr="00746768" w:rsidRDefault="00E97FD9"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 </w:t>
            </w:r>
          </w:p>
        </w:tc>
        <w:tc>
          <w:tcPr>
            <w:tcW w:w="1276" w:type="dxa"/>
            <w:tcBorders>
              <w:top w:val="single" w:sz="6" w:space="0" w:color="auto"/>
              <w:left w:val="nil"/>
              <w:bottom w:val="nil"/>
              <w:right w:val="nil"/>
            </w:tcBorders>
            <w:shd w:val="solid" w:color="000000" w:fill="auto"/>
          </w:tcPr>
          <w:p w:rsidR="00E97FD9" w:rsidRPr="00746768" w:rsidRDefault="00E97FD9"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Other</w:t>
            </w:r>
          </w:p>
        </w:tc>
        <w:tc>
          <w:tcPr>
            <w:tcW w:w="1134" w:type="dxa"/>
            <w:tcBorders>
              <w:top w:val="single" w:sz="6" w:space="0" w:color="auto"/>
              <w:left w:val="nil"/>
              <w:bottom w:val="nil"/>
              <w:right w:val="nil"/>
            </w:tcBorders>
            <w:shd w:val="solid" w:color="000000" w:fill="auto"/>
          </w:tcPr>
          <w:p w:rsidR="00E97FD9" w:rsidRPr="00746768" w:rsidRDefault="00E97FD9"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 </w:t>
            </w:r>
          </w:p>
        </w:tc>
        <w:tc>
          <w:tcPr>
            <w:tcW w:w="992" w:type="dxa"/>
            <w:vMerge w:val="restart"/>
            <w:tcBorders>
              <w:top w:val="single" w:sz="6" w:space="0" w:color="auto"/>
              <w:left w:val="nil"/>
              <w:right w:val="single" w:sz="6" w:space="0" w:color="auto"/>
            </w:tcBorders>
            <w:shd w:val="solid" w:color="000000" w:fill="auto"/>
          </w:tcPr>
          <w:p w:rsidR="00E97FD9" w:rsidRPr="00746768" w:rsidRDefault="00E97FD9" w:rsidP="00AC68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Total</w:t>
            </w:r>
          </w:p>
        </w:tc>
      </w:tr>
      <w:tr w:rsidR="00E97FD9" w:rsidRPr="00746768" w:rsidTr="00E97F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left w:val="single" w:sz="6" w:space="0" w:color="auto"/>
              <w:bottom w:val="single" w:sz="6" w:space="0" w:color="auto"/>
              <w:right w:val="nil"/>
            </w:tcBorders>
            <w:shd w:val="solid" w:color="000000" w:fill="auto"/>
          </w:tcPr>
          <w:p w:rsidR="00E97FD9" w:rsidRPr="00746768" w:rsidRDefault="00E97FD9" w:rsidP="00AC68FF">
            <w:pPr>
              <w:keepLines w:val="0"/>
              <w:autoSpaceDE w:val="0"/>
              <w:autoSpaceDN w:val="0"/>
              <w:adjustRightInd w:val="0"/>
              <w:rPr>
                <w:rFonts w:eastAsiaTheme="minorEastAsia" w:cs="Calibri"/>
                <w:iCs/>
                <w:color w:val="FFFFFF"/>
                <w:lang w:eastAsia="en-AU"/>
              </w:rPr>
            </w:pPr>
            <w:r w:rsidRPr="00746768">
              <w:rPr>
                <w:rFonts w:eastAsiaTheme="minorEastAsia" w:cs="Calibri"/>
                <w:iCs/>
                <w:color w:val="FFFFFF"/>
                <w:lang w:eastAsia="en-AU"/>
              </w:rPr>
              <w:t>2017</w:t>
            </w:r>
          </w:p>
        </w:tc>
        <w:tc>
          <w:tcPr>
            <w:tcW w:w="1134" w:type="dxa"/>
            <w:tcBorders>
              <w:top w:val="nil"/>
              <w:left w:val="nil"/>
              <w:bottom w:val="single" w:sz="6" w:space="0" w:color="auto"/>
              <w:right w:val="nil"/>
            </w:tcBorders>
            <w:shd w:val="solid" w:color="000000" w:fill="auto"/>
          </w:tcPr>
          <w:p w:rsidR="00E97FD9" w:rsidRPr="00746768" w:rsidRDefault="00E97FD9"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(triple-A </w:t>
            </w:r>
            <w:r>
              <w:rPr>
                <w:rFonts w:eastAsiaTheme="minorEastAsia" w:cs="Calibri"/>
                <w:iCs/>
                <w:color w:val="FFFFFF"/>
                <w:lang w:eastAsia="en-AU"/>
              </w:rPr>
              <w:br/>
            </w:r>
            <w:r w:rsidRPr="00746768">
              <w:rPr>
                <w:rFonts w:eastAsiaTheme="minorEastAsia" w:cs="Calibri"/>
                <w:iCs/>
                <w:color w:val="FFFFFF"/>
                <w:lang w:eastAsia="en-AU"/>
              </w:rPr>
              <w:t>credit rating)</w:t>
            </w:r>
          </w:p>
        </w:tc>
        <w:tc>
          <w:tcPr>
            <w:tcW w:w="1276" w:type="dxa"/>
            <w:tcBorders>
              <w:top w:val="nil"/>
              <w:left w:val="nil"/>
              <w:bottom w:val="single" w:sz="6" w:space="0" w:color="auto"/>
              <w:right w:val="nil"/>
            </w:tcBorders>
            <w:shd w:val="solid" w:color="000000" w:fill="auto"/>
          </w:tcPr>
          <w:p w:rsidR="00E97FD9" w:rsidRPr="00746768" w:rsidRDefault="00E97FD9"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(min triple-B </w:t>
            </w:r>
          </w:p>
          <w:p w:rsidR="00E97FD9" w:rsidRPr="00746768" w:rsidRDefault="00E97FD9"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credit rating)</w:t>
            </w:r>
          </w:p>
        </w:tc>
        <w:tc>
          <w:tcPr>
            <w:tcW w:w="1134" w:type="dxa"/>
            <w:tcBorders>
              <w:top w:val="nil"/>
              <w:left w:val="nil"/>
              <w:bottom w:val="single" w:sz="6" w:space="0" w:color="auto"/>
              <w:right w:val="nil"/>
            </w:tcBorders>
            <w:shd w:val="solid" w:color="000000" w:fill="auto"/>
          </w:tcPr>
          <w:p w:rsidR="00E97FD9" w:rsidRPr="00746768" w:rsidRDefault="00E97FD9"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Other</w:t>
            </w:r>
          </w:p>
          <w:p w:rsidR="00E97FD9" w:rsidRPr="00746768" w:rsidRDefault="00E97FD9"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(not rated)</w:t>
            </w:r>
          </w:p>
        </w:tc>
        <w:tc>
          <w:tcPr>
            <w:tcW w:w="992" w:type="dxa"/>
            <w:vMerge/>
            <w:tcBorders>
              <w:left w:val="nil"/>
              <w:bottom w:val="single" w:sz="6" w:space="0" w:color="auto"/>
              <w:right w:val="single" w:sz="6" w:space="0" w:color="auto"/>
            </w:tcBorders>
            <w:shd w:val="solid" w:color="000000" w:fill="auto"/>
          </w:tcPr>
          <w:p w:rsidR="00E97FD9" w:rsidRPr="00746768" w:rsidRDefault="00E97FD9"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Financial assets</w:t>
            </w:r>
          </w:p>
        </w:tc>
        <w:tc>
          <w:tcPr>
            <w:tcW w:w="1134"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FFFFFF"/>
                <w:lang w:eastAsia="en-AU"/>
              </w:rPr>
            </w:pPr>
            <w:r w:rsidRPr="00746768">
              <w:rPr>
                <w:rFonts w:eastAsiaTheme="minorEastAsia" w:cs="Calibri"/>
                <w:color w:val="FFFFFF"/>
                <w:lang w:eastAsia="en-AU"/>
              </w:rPr>
              <w:t xml:space="preserve"> </w:t>
            </w:r>
          </w:p>
        </w:tc>
        <w:tc>
          <w:tcPr>
            <w:tcW w:w="127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FFFFFF"/>
                <w:lang w:eastAsia="en-AU"/>
              </w:rPr>
            </w:pPr>
            <w:r w:rsidRPr="00746768">
              <w:rPr>
                <w:rFonts w:eastAsiaTheme="minorEastAsia" w:cs="Calibri"/>
                <w:color w:val="FFFFFF"/>
                <w:lang w:eastAsia="en-AU"/>
              </w:rPr>
              <w:t xml:space="preserve"> </w:t>
            </w:r>
          </w:p>
        </w:tc>
        <w:tc>
          <w:tcPr>
            <w:tcW w:w="1134"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FFFFFF"/>
                <w:lang w:eastAsia="en-AU"/>
              </w:rPr>
            </w:pPr>
            <w:r w:rsidRPr="00746768">
              <w:rPr>
                <w:rFonts w:eastAsiaTheme="minorEastAsia" w:cs="Calibri"/>
                <w:color w:val="FFFFFF"/>
                <w:lang w:eastAsia="en-AU"/>
              </w:rPr>
              <w:t xml:space="preserve"> </w:t>
            </w:r>
          </w:p>
        </w:tc>
        <w:tc>
          <w:tcPr>
            <w:tcW w:w="99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FFFFFF"/>
                <w:lang w:eastAsia="en-AU"/>
              </w:rPr>
            </w:pPr>
            <w:r w:rsidRPr="00746768">
              <w:rPr>
                <w:rFonts w:eastAsiaTheme="minorEastAsia" w:cs="Calibri"/>
                <w:color w:val="FFFFFF"/>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Cash and deposits</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485</w:t>
            </w:r>
          </w:p>
        </w:tc>
        <w:tc>
          <w:tcPr>
            <w:tcW w:w="127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4 957</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427</w:t>
            </w:r>
          </w:p>
        </w:tc>
        <w:tc>
          <w:tcPr>
            <w:tcW w:w="99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5 869</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Receivables</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46</w:t>
            </w:r>
          </w:p>
        </w:tc>
        <w:tc>
          <w:tcPr>
            <w:tcW w:w="127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388</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1 867</w:t>
            </w:r>
          </w:p>
        </w:tc>
        <w:tc>
          <w:tcPr>
            <w:tcW w:w="99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2 301</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Advances paid</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26</w:t>
            </w:r>
          </w:p>
        </w:tc>
        <w:tc>
          <w:tcPr>
            <w:tcW w:w="127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254</w:t>
            </w:r>
          </w:p>
        </w:tc>
        <w:tc>
          <w:tcPr>
            <w:tcW w:w="99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280</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Term deposits</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115</w:t>
            </w:r>
          </w:p>
        </w:tc>
        <w:tc>
          <w:tcPr>
            <w:tcW w:w="127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6 356</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w:t>
            </w:r>
          </w:p>
        </w:tc>
        <w:tc>
          <w:tcPr>
            <w:tcW w:w="99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6 475</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Debt securities</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1 008</w:t>
            </w:r>
          </w:p>
        </w:tc>
        <w:tc>
          <w:tcPr>
            <w:tcW w:w="127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5 423</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w:t>
            </w:r>
          </w:p>
        </w:tc>
        <w:tc>
          <w:tcPr>
            <w:tcW w:w="99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6 437</w:t>
            </w:r>
          </w:p>
        </w:tc>
      </w:tr>
      <w:tr w:rsidR="00BB6F1F" w:rsidRPr="00746768"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rPr>
                <w:rFonts w:eastAsiaTheme="minorEastAsia" w:cs="Calibri"/>
                <w:bCs/>
                <w:color w:val="000000"/>
                <w:lang w:eastAsia="en-AU"/>
              </w:rPr>
            </w:pPr>
            <w:r w:rsidRPr="00746768">
              <w:rPr>
                <w:rFonts w:eastAsiaTheme="minorEastAsia" w:cs="Calibri"/>
                <w:bCs/>
                <w:color w:val="000000"/>
                <w:lang w:eastAsia="en-AU"/>
              </w:rPr>
              <w:t>Total financial assets</w:t>
            </w:r>
          </w:p>
        </w:tc>
        <w:tc>
          <w:tcPr>
            <w:tcW w:w="1134"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1 679</w:t>
            </w:r>
          </w:p>
        </w:tc>
        <w:tc>
          <w:tcPr>
            <w:tcW w:w="1276"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17 124</w:t>
            </w:r>
          </w:p>
        </w:tc>
        <w:tc>
          <w:tcPr>
            <w:tcW w:w="1134"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2 558</w:t>
            </w:r>
          </w:p>
        </w:tc>
        <w:tc>
          <w:tcPr>
            <w:tcW w:w="992"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21 362</w:t>
            </w:r>
          </w:p>
        </w:tc>
      </w:tr>
    </w:tbl>
    <w:p w:rsidR="00BB6F1F" w:rsidRPr="00746768" w:rsidRDefault="00BB6F1F" w:rsidP="00C91E19">
      <w:pPr>
        <w:rPr>
          <w:b/>
          <w:bCs/>
          <w:lang w:val="en-US"/>
        </w:rPr>
      </w:pP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5102"/>
        <w:gridCol w:w="1134"/>
        <w:gridCol w:w="1276"/>
        <w:gridCol w:w="1134"/>
        <w:gridCol w:w="992"/>
      </w:tblGrid>
      <w:tr w:rsidR="00BB6F1F" w:rsidRPr="00746768"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rPr>
                <w:rFonts w:eastAsiaTheme="minorEastAsia" w:cs="Calibri"/>
                <w:iCs/>
                <w:color w:val="FFFFFF"/>
                <w:lang w:eastAsia="en-AU"/>
              </w:rPr>
            </w:pPr>
            <w:r w:rsidRPr="00746768">
              <w:rPr>
                <w:rFonts w:eastAsiaTheme="minorEastAsia" w:cs="Calibri"/>
                <w:iCs/>
                <w:color w:val="FFFFFF"/>
                <w:lang w:eastAsia="en-AU"/>
              </w:rPr>
              <w:t>2016</w:t>
            </w:r>
          </w:p>
        </w:tc>
        <w:tc>
          <w:tcPr>
            <w:tcW w:w="1134"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lang w:eastAsia="en-AU"/>
              </w:rPr>
            </w:pPr>
            <w:r w:rsidRPr="00746768">
              <w:rPr>
                <w:rFonts w:eastAsiaTheme="minorEastAsia" w:cs="Calibri"/>
                <w:color w:val="FFFFFF"/>
                <w:lang w:eastAsia="en-AU"/>
              </w:rPr>
              <w:t xml:space="preserve"> </w:t>
            </w:r>
          </w:p>
        </w:tc>
        <w:tc>
          <w:tcPr>
            <w:tcW w:w="127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lang w:eastAsia="en-AU"/>
              </w:rPr>
            </w:pPr>
            <w:r w:rsidRPr="00746768">
              <w:rPr>
                <w:rFonts w:eastAsiaTheme="minorEastAsia" w:cs="Calibri"/>
                <w:color w:val="FFFFFF"/>
                <w:lang w:eastAsia="en-AU"/>
              </w:rPr>
              <w:t xml:space="preserve"> </w:t>
            </w:r>
          </w:p>
        </w:tc>
        <w:tc>
          <w:tcPr>
            <w:tcW w:w="1134"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lang w:eastAsia="en-AU"/>
              </w:rPr>
            </w:pPr>
            <w:r w:rsidRPr="00746768">
              <w:rPr>
                <w:rFonts w:eastAsiaTheme="minorEastAsia" w:cs="Calibri"/>
                <w:color w:val="FFFFFF"/>
                <w:lang w:eastAsia="en-AU"/>
              </w:rPr>
              <w:t xml:space="preserve"> </w:t>
            </w:r>
          </w:p>
        </w:tc>
        <w:tc>
          <w:tcPr>
            <w:tcW w:w="992"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lang w:eastAsia="en-AU"/>
              </w:rPr>
            </w:pPr>
            <w:r w:rsidRPr="00746768">
              <w:rPr>
                <w:rFonts w:eastAsiaTheme="minorEastAsia" w:cs="Calibri"/>
                <w:color w:val="FFFFFF"/>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Financial assets</w:t>
            </w:r>
          </w:p>
        </w:tc>
        <w:tc>
          <w:tcPr>
            <w:tcW w:w="1134"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27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746768">
              <w:rPr>
                <w:rFonts w:eastAsiaTheme="minorEastAsia" w:cs="Calibri"/>
                <w:i/>
                <w:iCs/>
                <w:color w:val="000000"/>
                <w:lang w:eastAsia="en-AU"/>
              </w:rPr>
              <w:t xml:space="preserve"> </w:t>
            </w:r>
          </w:p>
        </w:tc>
        <w:tc>
          <w:tcPr>
            <w:tcW w:w="1134"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746768">
              <w:rPr>
                <w:rFonts w:eastAsiaTheme="minorEastAsia" w:cs="Calibri"/>
                <w:i/>
                <w:iCs/>
                <w:color w:val="000000"/>
                <w:lang w:eastAsia="en-AU"/>
              </w:rPr>
              <w:t xml:space="preserve"> </w:t>
            </w:r>
          </w:p>
        </w:tc>
        <w:tc>
          <w:tcPr>
            <w:tcW w:w="99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746768">
              <w:rPr>
                <w:rFonts w:eastAsiaTheme="minorEastAsia" w:cs="Calibri"/>
                <w:i/>
                <w:iCs/>
                <w:color w:val="000000"/>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Cash and deposits</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229</w:t>
            </w:r>
          </w:p>
        </w:tc>
        <w:tc>
          <w:tcPr>
            <w:tcW w:w="127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5 885</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562</w:t>
            </w:r>
          </w:p>
        </w:tc>
        <w:tc>
          <w:tcPr>
            <w:tcW w:w="99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6 676</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Receivables</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44</w:t>
            </w:r>
          </w:p>
        </w:tc>
        <w:tc>
          <w:tcPr>
            <w:tcW w:w="127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506</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1 906</w:t>
            </w:r>
          </w:p>
        </w:tc>
        <w:tc>
          <w:tcPr>
            <w:tcW w:w="99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2 455</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Advances paid</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27</w:t>
            </w:r>
          </w:p>
        </w:tc>
        <w:tc>
          <w:tcPr>
            <w:tcW w:w="127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121</w:t>
            </w:r>
          </w:p>
        </w:tc>
        <w:tc>
          <w:tcPr>
            <w:tcW w:w="99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153</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Term deposits</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100</w:t>
            </w:r>
          </w:p>
        </w:tc>
        <w:tc>
          <w:tcPr>
            <w:tcW w:w="127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406</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w:t>
            </w:r>
          </w:p>
        </w:tc>
        <w:tc>
          <w:tcPr>
            <w:tcW w:w="99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512</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Debt securities</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1 533</w:t>
            </w:r>
          </w:p>
        </w:tc>
        <w:tc>
          <w:tcPr>
            <w:tcW w:w="127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7 784</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166</w:t>
            </w:r>
          </w:p>
        </w:tc>
        <w:tc>
          <w:tcPr>
            <w:tcW w:w="99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9 484</w:t>
            </w:r>
          </w:p>
        </w:tc>
      </w:tr>
      <w:tr w:rsidR="00BB6F1F" w:rsidRPr="00746768"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rPr>
                <w:rFonts w:eastAsiaTheme="minorEastAsia" w:cs="Calibri"/>
                <w:bCs/>
                <w:color w:val="000000"/>
                <w:lang w:eastAsia="en-AU"/>
              </w:rPr>
            </w:pPr>
            <w:r w:rsidRPr="00746768">
              <w:rPr>
                <w:rFonts w:eastAsiaTheme="minorEastAsia" w:cs="Calibri"/>
                <w:bCs/>
                <w:color w:val="000000"/>
                <w:lang w:eastAsia="en-AU"/>
              </w:rPr>
              <w:t>Total financial assets</w:t>
            </w:r>
          </w:p>
        </w:tc>
        <w:tc>
          <w:tcPr>
            <w:tcW w:w="1134"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1 932</w:t>
            </w:r>
          </w:p>
        </w:tc>
        <w:tc>
          <w:tcPr>
            <w:tcW w:w="1276"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14 585</w:t>
            </w:r>
          </w:p>
        </w:tc>
        <w:tc>
          <w:tcPr>
            <w:tcW w:w="1134"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2 762</w:t>
            </w:r>
          </w:p>
        </w:tc>
        <w:tc>
          <w:tcPr>
            <w:tcW w:w="992"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19 279</w:t>
            </w:r>
          </w:p>
        </w:tc>
      </w:tr>
    </w:tbl>
    <w:p w:rsidR="00BB6F1F" w:rsidRDefault="00BB6F1F" w:rsidP="00AC68FF">
      <w:pPr>
        <w:pStyle w:val="Note"/>
      </w:pPr>
    </w:p>
    <w:p w:rsidR="00BB6F1F" w:rsidRDefault="00BB6F1F">
      <w:pPr>
        <w:keepLines w:val="0"/>
        <w:rPr>
          <w:rFonts w:asciiTheme="majorHAnsi" w:hAnsiTheme="majorHAnsi"/>
          <w:b/>
          <w:sz w:val="20"/>
          <w:szCs w:val="20"/>
        </w:rPr>
      </w:pPr>
      <w:r>
        <w:br w:type="page"/>
      </w:r>
    </w:p>
    <w:p w:rsidR="00BB6F1F" w:rsidRPr="00746768" w:rsidRDefault="00BB6F1F" w:rsidP="00AC68FF">
      <w:pPr>
        <w:pStyle w:val="TableHeading"/>
        <w:rPr>
          <w:bCs/>
          <w:lang w:val="en-US"/>
        </w:rPr>
      </w:pPr>
      <w:r w:rsidRPr="00BF6A95">
        <w:lastRenderedPageBreak/>
        <w:t xml:space="preserve">Credit quality of financial assets that are neither past due nor impaired </w:t>
      </w:r>
      <w:r w:rsidRPr="0003431C">
        <w:rPr>
          <w:i/>
        </w:rPr>
        <w:t>(continued)</w:t>
      </w:r>
      <w:r>
        <w:tab/>
      </w:r>
      <w:r w:rsidRPr="00BF6A95">
        <w:t>($ million)</w:t>
      </w:r>
    </w:p>
    <w:tbl>
      <w:tblPr>
        <w:tblStyle w:val="DTFTable"/>
        <w:tblW w:w="9639" w:type="dxa"/>
        <w:tblInd w:w="45" w:type="dxa"/>
        <w:tblLayout w:type="fixed"/>
        <w:tblCellMar>
          <w:left w:w="45" w:type="dxa"/>
          <w:right w:w="45" w:type="dxa"/>
        </w:tblCellMar>
        <w:tblLook w:val="06E0" w:firstRow="1" w:lastRow="1" w:firstColumn="1" w:lastColumn="0" w:noHBand="1" w:noVBand="1"/>
      </w:tblPr>
      <w:tblGrid>
        <w:gridCol w:w="3402"/>
        <w:gridCol w:w="1701"/>
        <w:gridCol w:w="1134"/>
        <w:gridCol w:w="1276"/>
        <w:gridCol w:w="1134"/>
        <w:gridCol w:w="992"/>
      </w:tblGrid>
      <w:tr w:rsidR="00BB6F1F" w:rsidRPr="00746768" w:rsidTr="00E97F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shd w:val="solid" w:color="000000" w:fill="auto"/>
          </w:tcPr>
          <w:p w:rsidR="00BB6F1F" w:rsidRPr="00746768" w:rsidRDefault="00BB6F1F" w:rsidP="00AC68FF">
            <w:pPr>
              <w:autoSpaceDE w:val="0"/>
              <w:autoSpaceDN w:val="0"/>
              <w:adjustRightInd w:val="0"/>
              <w:rPr>
                <w:rFonts w:eastAsiaTheme="minorEastAsia" w:cs="Calibri"/>
                <w:iCs/>
                <w:color w:val="FFFFFF"/>
                <w:lang w:eastAsia="en-AU"/>
              </w:rPr>
            </w:pPr>
            <w:r w:rsidRPr="00746768">
              <w:rPr>
                <w:rFonts w:eastAsiaTheme="minorEastAsia" w:cs="Calibri"/>
                <w:iCs/>
                <w:color w:val="FFFFFF"/>
                <w:lang w:eastAsia="en-AU"/>
              </w:rPr>
              <w:t>General government sector</w:t>
            </w:r>
          </w:p>
        </w:tc>
        <w:tc>
          <w:tcPr>
            <w:tcW w:w="1701"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Government agencies</w:t>
            </w:r>
          </w:p>
        </w:tc>
        <w:tc>
          <w:tcPr>
            <w:tcW w:w="1134"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c>
          <w:tcPr>
            <w:tcW w:w="127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Other</w:t>
            </w:r>
          </w:p>
        </w:tc>
        <w:tc>
          <w:tcPr>
            <w:tcW w:w="1134"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 </w:t>
            </w:r>
          </w:p>
        </w:tc>
        <w:tc>
          <w:tcPr>
            <w:tcW w:w="992"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 </w:t>
            </w:r>
          </w:p>
        </w:tc>
      </w:tr>
      <w:tr w:rsidR="00BB6F1F" w:rsidRPr="00746768" w:rsidTr="00E97F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rPr>
                <w:rFonts w:eastAsiaTheme="minorEastAsia" w:cs="Calibri"/>
                <w:iCs/>
                <w:color w:val="FFFFFF"/>
                <w:lang w:eastAsia="en-AU"/>
              </w:rPr>
            </w:pPr>
            <w:r w:rsidRPr="00746768">
              <w:rPr>
                <w:rFonts w:eastAsiaTheme="minorEastAsia" w:cs="Calibri"/>
                <w:iCs/>
                <w:color w:val="FFFFFF"/>
                <w:lang w:eastAsia="en-AU"/>
              </w:rPr>
              <w:t>2017</w:t>
            </w:r>
          </w:p>
        </w:tc>
        <w:tc>
          <w:tcPr>
            <w:tcW w:w="1701"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(triple-A </w:t>
            </w:r>
            <w:r>
              <w:rPr>
                <w:rFonts w:eastAsiaTheme="minorEastAsia" w:cs="Calibri"/>
                <w:i w:val="0"/>
                <w:iCs/>
                <w:color w:val="FFFFFF"/>
                <w:lang w:eastAsia="en-AU"/>
              </w:rPr>
              <w:br/>
            </w:r>
            <w:r w:rsidRPr="00746768">
              <w:rPr>
                <w:rFonts w:eastAsiaTheme="minorEastAsia" w:cs="Calibri"/>
                <w:iCs/>
                <w:color w:val="FFFFFF"/>
                <w:lang w:eastAsia="en-AU"/>
              </w:rPr>
              <w:t>credit rating)</w:t>
            </w:r>
          </w:p>
        </w:tc>
        <w:tc>
          <w:tcPr>
            <w:tcW w:w="1134"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 (triple-A </w:t>
            </w:r>
            <w:r>
              <w:rPr>
                <w:rFonts w:eastAsiaTheme="minorEastAsia" w:cs="Calibri"/>
                <w:i w:val="0"/>
                <w:iCs/>
                <w:color w:val="FFFFFF"/>
                <w:lang w:eastAsia="en-AU"/>
              </w:rPr>
              <w:br/>
            </w:r>
            <w:r w:rsidRPr="00746768">
              <w:rPr>
                <w:rFonts w:eastAsiaTheme="minorEastAsia" w:cs="Calibri"/>
                <w:iCs/>
                <w:color w:val="FFFFFF"/>
                <w:lang w:eastAsia="en-AU"/>
              </w:rPr>
              <w:t>credit rating)</w:t>
            </w:r>
          </w:p>
        </w:tc>
        <w:tc>
          <w:tcPr>
            <w:tcW w:w="127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(min triple-B credit rating)</w:t>
            </w:r>
          </w:p>
        </w:tc>
        <w:tc>
          <w:tcPr>
            <w:tcW w:w="1134"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(not rated)</w:t>
            </w:r>
          </w:p>
        </w:tc>
        <w:tc>
          <w:tcPr>
            <w:tcW w:w="992"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Total </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Financial assets</w:t>
            </w:r>
          </w:p>
        </w:tc>
        <w:tc>
          <w:tcPr>
            <w:tcW w:w="1701"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27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99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Cash and deposits</w:t>
            </w:r>
          </w:p>
        </w:tc>
        <w:tc>
          <w:tcPr>
            <w:tcW w:w="1701"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3 505</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363</w:t>
            </w:r>
          </w:p>
        </w:tc>
        <w:tc>
          <w:tcPr>
            <w:tcW w:w="127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1 536</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127</w:t>
            </w:r>
          </w:p>
        </w:tc>
        <w:tc>
          <w:tcPr>
            <w:tcW w:w="99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5 530</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Receivables</w:t>
            </w:r>
          </w:p>
        </w:tc>
        <w:tc>
          <w:tcPr>
            <w:tcW w:w="1701"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594</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28</w:t>
            </w:r>
          </w:p>
        </w:tc>
        <w:tc>
          <w:tcPr>
            <w:tcW w:w="127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92</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664</w:t>
            </w:r>
          </w:p>
        </w:tc>
        <w:tc>
          <w:tcPr>
            <w:tcW w:w="99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1 379</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Advances paid</w:t>
            </w:r>
          </w:p>
        </w:tc>
        <w:tc>
          <w:tcPr>
            <w:tcW w:w="1701"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12 702</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26</w:t>
            </w:r>
          </w:p>
        </w:tc>
        <w:tc>
          <w:tcPr>
            <w:tcW w:w="127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211</w:t>
            </w:r>
          </w:p>
        </w:tc>
        <w:tc>
          <w:tcPr>
            <w:tcW w:w="99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12 939</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Term deposits</w:t>
            </w:r>
          </w:p>
        </w:tc>
        <w:tc>
          <w:tcPr>
            <w:tcW w:w="1701"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1 485</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50</w:t>
            </w:r>
          </w:p>
        </w:tc>
        <w:tc>
          <w:tcPr>
            <w:tcW w:w="127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675</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w:t>
            </w:r>
          </w:p>
        </w:tc>
        <w:tc>
          <w:tcPr>
            <w:tcW w:w="99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2 214</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Debt securities</w:t>
            </w:r>
          </w:p>
        </w:tc>
        <w:tc>
          <w:tcPr>
            <w:tcW w:w="1701"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27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99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w:t>
            </w:r>
          </w:p>
        </w:tc>
      </w:tr>
      <w:tr w:rsidR="00BB6F1F" w:rsidRPr="00746768"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rPr>
                <w:rFonts w:eastAsiaTheme="minorEastAsia" w:cs="Calibri"/>
                <w:bCs/>
                <w:color w:val="000000"/>
                <w:lang w:eastAsia="en-AU"/>
              </w:rPr>
            </w:pPr>
            <w:r w:rsidRPr="00746768">
              <w:rPr>
                <w:rFonts w:eastAsiaTheme="minorEastAsia" w:cs="Calibri"/>
                <w:bCs/>
                <w:color w:val="000000"/>
                <w:lang w:eastAsia="en-AU"/>
              </w:rPr>
              <w:t>Total financial assets</w:t>
            </w:r>
          </w:p>
        </w:tc>
        <w:tc>
          <w:tcPr>
            <w:tcW w:w="1701"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18 286</w:t>
            </w:r>
          </w:p>
        </w:tc>
        <w:tc>
          <w:tcPr>
            <w:tcW w:w="1134"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466</w:t>
            </w:r>
          </w:p>
        </w:tc>
        <w:tc>
          <w:tcPr>
            <w:tcW w:w="1276"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2 328</w:t>
            </w:r>
          </w:p>
        </w:tc>
        <w:tc>
          <w:tcPr>
            <w:tcW w:w="1134"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1 007</w:t>
            </w:r>
          </w:p>
        </w:tc>
        <w:tc>
          <w:tcPr>
            <w:tcW w:w="992"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22 087</w:t>
            </w:r>
          </w:p>
        </w:tc>
      </w:tr>
    </w:tbl>
    <w:p w:rsidR="00BB6F1F" w:rsidRPr="00746768" w:rsidRDefault="00BB6F1F" w:rsidP="00AC68FF">
      <w:pPr>
        <w:rPr>
          <w:b/>
          <w:bCs/>
          <w:lang w:val="en-US"/>
        </w:rPr>
      </w:pPr>
    </w:p>
    <w:tbl>
      <w:tblPr>
        <w:tblStyle w:val="DTFTable"/>
        <w:tblW w:w="9639" w:type="dxa"/>
        <w:tblInd w:w="45" w:type="dxa"/>
        <w:tblLayout w:type="fixed"/>
        <w:tblCellMar>
          <w:left w:w="45" w:type="dxa"/>
          <w:right w:w="45" w:type="dxa"/>
        </w:tblCellMar>
        <w:tblLook w:val="06E0" w:firstRow="1" w:lastRow="1" w:firstColumn="1" w:lastColumn="0" w:noHBand="1" w:noVBand="1"/>
      </w:tblPr>
      <w:tblGrid>
        <w:gridCol w:w="3402"/>
        <w:gridCol w:w="1701"/>
        <w:gridCol w:w="1134"/>
        <w:gridCol w:w="1276"/>
        <w:gridCol w:w="1134"/>
        <w:gridCol w:w="992"/>
      </w:tblGrid>
      <w:tr w:rsidR="00BB6F1F" w:rsidRPr="00746768" w:rsidTr="00E97F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shd w:val="solid" w:color="000000" w:fill="auto"/>
          </w:tcPr>
          <w:p w:rsidR="00BB6F1F" w:rsidRPr="00746768" w:rsidRDefault="00BB6F1F" w:rsidP="00AC68FF">
            <w:pPr>
              <w:autoSpaceDE w:val="0"/>
              <w:autoSpaceDN w:val="0"/>
              <w:adjustRightInd w:val="0"/>
              <w:rPr>
                <w:rFonts w:eastAsiaTheme="minorEastAsia" w:cs="Calibri"/>
                <w:iCs/>
                <w:color w:val="FFFFFF"/>
                <w:lang w:eastAsia="en-AU"/>
              </w:rPr>
            </w:pPr>
            <w:r w:rsidRPr="00746768">
              <w:rPr>
                <w:rFonts w:eastAsiaTheme="minorEastAsia" w:cs="Calibri"/>
                <w:iCs/>
                <w:color w:val="FFFFFF"/>
                <w:lang w:eastAsia="en-AU"/>
              </w:rPr>
              <w:t>2016</w:t>
            </w:r>
          </w:p>
        </w:tc>
        <w:tc>
          <w:tcPr>
            <w:tcW w:w="1701"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 </w:t>
            </w:r>
          </w:p>
        </w:tc>
        <w:tc>
          <w:tcPr>
            <w:tcW w:w="1134"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 </w:t>
            </w:r>
          </w:p>
        </w:tc>
        <w:tc>
          <w:tcPr>
            <w:tcW w:w="127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 </w:t>
            </w:r>
          </w:p>
        </w:tc>
        <w:tc>
          <w:tcPr>
            <w:tcW w:w="1134"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 </w:t>
            </w:r>
          </w:p>
        </w:tc>
        <w:tc>
          <w:tcPr>
            <w:tcW w:w="992"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 </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Financial assets</w:t>
            </w:r>
          </w:p>
        </w:tc>
        <w:tc>
          <w:tcPr>
            <w:tcW w:w="1701"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746768">
              <w:rPr>
                <w:rFonts w:eastAsiaTheme="minorEastAsia" w:cs="Calibri"/>
                <w:i/>
                <w:iCs/>
                <w:color w:val="000000"/>
                <w:lang w:eastAsia="en-AU"/>
              </w:rPr>
              <w:t xml:space="preserve"> </w:t>
            </w:r>
          </w:p>
        </w:tc>
        <w:tc>
          <w:tcPr>
            <w:tcW w:w="1134"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746768">
              <w:rPr>
                <w:rFonts w:eastAsiaTheme="minorEastAsia" w:cs="Calibri"/>
                <w:i/>
                <w:iCs/>
                <w:color w:val="000000"/>
                <w:lang w:eastAsia="en-AU"/>
              </w:rPr>
              <w:t xml:space="preserve"> </w:t>
            </w:r>
          </w:p>
        </w:tc>
        <w:tc>
          <w:tcPr>
            <w:tcW w:w="127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746768">
              <w:rPr>
                <w:rFonts w:eastAsiaTheme="minorEastAsia" w:cs="Calibri"/>
                <w:i/>
                <w:iCs/>
                <w:color w:val="000000"/>
                <w:lang w:eastAsia="en-AU"/>
              </w:rPr>
              <w:t xml:space="preserve"> </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746768">
              <w:rPr>
                <w:rFonts w:eastAsiaTheme="minorEastAsia" w:cs="Calibri"/>
                <w:i/>
                <w:iCs/>
                <w:color w:val="000000"/>
                <w:lang w:eastAsia="en-AU"/>
              </w:rPr>
              <w:t xml:space="preserve"> </w:t>
            </w:r>
          </w:p>
        </w:tc>
        <w:tc>
          <w:tcPr>
            <w:tcW w:w="99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746768">
              <w:rPr>
                <w:rFonts w:eastAsiaTheme="minorEastAsia" w:cs="Calibri"/>
                <w:i/>
                <w:iCs/>
                <w:color w:val="000000"/>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Cash and deposits</w:t>
            </w:r>
          </w:p>
        </w:tc>
        <w:tc>
          <w:tcPr>
            <w:tcW w:w="1701"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2 720</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122</w:t>
            </w:r>
          </w:p>
        </w:tc>
        <w:tc>
          <w:tcPr>
            <w:tcW w:w="127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1 572</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358</w:t>
            </w:r>
          </w:p>
        </w:tc>
        <w:tc>
          <w:tcPr>
            <w:tcW w:w="99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4 772</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Receivables</w:t>
            </w:r>
          </w:p>
        </w:tc>
        <w:tc>
          <w:tcPr>
            <w:tcW w:w="1701"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508</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w:t>
            </w:r>
          </w:p>
        </w:tc>
        <w:tc>
          <w:tcPr>
            <w:tcW w:w="127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171</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603</w:t>
            </w:r>
          </w:p>
        </w:tc>
        <w:tc>
          <w:tcPr>
            <w:tcW w:w="99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1 284</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Advances paid</w:t>
            </w:r>
          </w:p>
        </w:tc>
        <w:tc>
          <w:tcPr>
            <w:tcW w:w="1701"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4 476</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27</w:t>
            </w:r>
          </w:p>
        </w:tc>
        <w:tc>
          <w:tcPr>
            <w:tcW w:w="127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75</w:t>
            </w:r>
          </w:p>
        </w:tc>
        <w:tc>
          <w:tcPr>
            <w:tcW w:w="99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4 582</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Term deposits</w:t>
            </w:r>
          </w:p>
        </w:tc>
        <w:tc>
          <w:tcPr>
            <w:tcW w:w="1701"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1 017</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46</w:t>
            </w:r>
          </w:p>
        </w:tc>
        <w:tc>
          <w:tcPr>
            <w:tcW w:w="127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394</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w:t>
            </w:r>
          </w:p>
        </w:tc>
        <w:tc>
          <w:tcPr>
            <w:tcW w:w="99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1 462</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Debt securities</w:t>
            </w:r>
          </w:p>
        </w:tc>
        <w:tc>
          <w:tcPr>
            <w:tcW w:w="1701"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27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w:t>
            </w:r>
          </w:p>
        </w:tc>
        <w:tc>
          <w:tcPr>
            <w:tcW w:w="113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42</w:t>
            </w:r>
          </w:p>
        </w:tc>
        <w:tc>
          <w:tcPr>
            <w:tcW w:w="992"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67</w:t>
            </w:r>
          </w:p>
        </w:tc>
      </w:tr>
      <w:tr w:rsidR="00BB6F1F" w:rsidRPr="00746768"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rPr>
                <w:rFonts w:eastAsiaTheme="minorEastAsia" w:cs="Calibri"/>
                <w:bCs/>
                <w:color w:val="000000"/>
                <w:lang w:eastAsia="en-AU"/>
              </w:rPr>
            </w:pPr>
            <w:r w:rsidRPr="00746768">
              <w:rPr>
                <w:rFonts w:eastAsiaTheme="minorEastAsia" w:cs="Calibri"/>
                <w:bCs/>
                <w:color w:val="000000"/>
                <w:lang w:eastAsia="en-AU"/>
              </w:rPr>
              <w:t>Total financial assets</w:t>
            </w:r>
          </w:p>
        </w:tc>
        <w:tc>
          <w:tcPr>
            <w:tcW w:w="1701"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8 721</w:t>
            </w:r>
          </w:p>
        </w:tc>
        <w:tc>
          <w:tcPr>
            <w:tcW w:w="1134"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197</w:t>
            </w:r>
          </w:p>
        </w:tc>
        <w:tc>
          <w:tcPr>
            <w:tcW w:w="1276"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2 168</w:t>
            </w:r>
          </w:p>
        </w:tc>
        <w:tc>
          <w:tcPr>
            <w:tcW w:w="1134"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1 082</w:t>
            </w:r>
          </w:p>
        </w:tc>
        <w:tc>
          <w:tcPr>
            <w:tcW w:w="992"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12 167</w:t>
            </w:r>
          </w:p>
        </w:tc>
      </w:tr>
    </w:tbl>
    <w:p w:rsidR="00BB6F1F" w:rsidRPr="00092971" w:rsidRDefault="00BB6F1F" w:rsidP="00AC68FF">
      <w:pPr>
        <w:rPr>
          <w:rFonts w:asciiTheme="majorHAnsi" w:hAnsiTheme="majorHAnsi"/>
          <w:color w:val="000000"/>
          <w:spacing w:val="4"/>
          <w:sz w:val="17"/>
          <w:lang w:val="en-US"/>
        </w:rPr>
      </w:pPr>
    </w:p>
    <w:p w:rsidR="00BB6F1F" w:rsidRDefault="00BB6F1F" w:rsidP="00BB6F1F">
      <w:pPr>
        <w:pStyle w:val="Heading3"/>
        <w:numPr>
          <w:ilvl w:val="2"/>
          <w:numId w:val="24"/>
        </w:numPr>
        <w:pBdr>
          <w:bottom w:val="single" w:sz="6" w:space="1" w:color="auto"/>
        </w:pBdr>
        <w:tabs>
          <w:tab w:val="right" w:pos="14572"/>
        </w:tabs>
        <w:ind w:left="851"/>
        <w:sectPr w:rsidR="00BB6F1F" w:rsidSect="00AC68FF">
          <w:type w:val="continuous"/>
          <w:pgSz w:w="11907" w:h="16839" w:code="9"/>
          <w:pgMar w:top="1134" w:right="1134" w:bottom="1134" w:left="1134" w:header="624" w:footer="567" w:gutter="0"/>
          <w:cols w:sep="1" w:space="567"/>
          <w:docGrid w:linePitch="360"/>
        </w:sectPr>
      </w:pPr>
    </w:p>
    <w:p w:rsidR="00BB6F1F" w:rsidRPr="0003431C" w:rsidRDefault="00BB6F1F" w:rsidP="00BB6F1F">
      <w:pPr>
        <w:pStyle w:val="Heading3"/>
      </w:pPr>
      <w:r w:rsidRPr="0003431C">
        <w:lastRenderedPageBreak/>
        <w:t>Liquidity risk</w:t>
      </w:r>
    </w:p>
    <w:p w:rsidR="00BB6F1F" w:rsidRDefault="00BB6F1F" w:rsidP="00AC68FF">
      <w:r>
        <w:t>Liquidity risk arises from being unable to meet financial obligations as they fall due. The State is exposed to liquidity risk mainly through the maturity of its external borrowings raised by TCV and the requirement to fund cash deficits. Liquidity management policy has three main components as follows.</w:t>
      </w:r>
    </w:p>
    <w:p w:rsidR="00BB6F1F" w:rsidRPr="0031759A" w:rsidRDefault="00BB6F1F" w:rsidP="00AC68FF">
      <w:pPr>
        <w:pStyle w:val="Heading4"/>
      </w:pPr>
      <w:r w:rsidRPr="0031759A">
        <w:t>Short term liquidity management and control</w:t>
      </w:r>
    </w:p>
    <w:p w:rsidR="00BB6F1F" w:rsidRDefault="00BB6F1F" w:rsidP="00AC68FF">
      <w:r>
        <w:t>The State’s central treasury, TCV, is responsible for ensuring that the State’s liquidity requirements can be met at all times.</w:t>
      </w:r>
    </w:p>
    <w:p w:rsidR="00BB6F1F" w:rsidRDefault="00BB6F1F" w:rsidP="00AC68FF">
      <w:r>
        <w:t>TCV has an enhanced liquidity policy to assist the Government to manage the whole of Victorian government liquidity strategy and improve TCV’s operational and medium to long term liquidity management. The policy introduced daily measurement of the whole of Victorian government liquidity ratio, which measures TCV’s liquid assets (after discounting to reflect potential loss of value in the event of a quick sale) versus 12 months of debt and interest obligations.</w:t>
      </w:r>
    </w:p>
    <w:p w:rsidR="00BB6F1F" w:rsidRDefault="00BB6F1F" w:rsidP="00AC68FF">
      <w:r>
        <w:t>The policy also measures the daily ‘going concern’ net and cumulative cash flow limits to manage short-term liquidity exposures during normal operating liquidity conditions and the monitoring of ‘going concern’ and ‘liquidity stress’ scenario cash flows out to 12 months.</w:t>
      </w:r>
    </w:p>
    <w:p w:rsidR="00BB6F1F" w:rsidRDefault="00BB6F1F" w:rsidP="00AC68FF">
      <w:r>
        <w:t xml:space="preserve">As at 30 June 2017, the whole of Victorian government liquidity ratio </w:t>
      </w:r>
      <w:r w:rsidRPr="00884426">
        <w:t>stood at 103 per cent</w:t>
      </w:r>
      <w:r>
        <w:t xml:space="preserve"> against a limit of 80 per cent (114 per cent against a limit of 80 per cent in 2016).</w:t>
      </w:r>
    </w:p>
    <w:p w:rsidR="00BB6F1F" w:rsidRPr="0031759A" w:rsidRDefault="00BB6F1F" w:rsidP="00AC68FF">
      <w:pPr>
        <w:pStyle w:val="Heading4"/>
      </w:pPr>
      <w:r>
        <w:br w:type="column"/>
      </w:r>
      <w:r w:rsidRPr="0031759A">
        <w:lastRenderedPageBreak/>
        <w:t>Long term liquidity management monitoring</w:t>
      </w:r>
    </w:p>
    <w:p w:rsidR="00BB6F1F" w:rsidRDefault="00BB6F1F" w:rsidP="00AC68FF">
      <w:r>
        <w:t>The State’s policy on long term management of liquidity primarily focuses on the diversification of funding sources and maturities.</w:t>
      </w:r>
    </w:p>
    <w:p w:rsidR="00BB6F1F" w:rsidRPr="0031759A" w:rsidRDefault="00BB6F1F" w:rsidP="00AC68FF">
      <w:pPr>
        <w:pStyle w:val="Heading4"/>
      </w:pPr>
      <w:r w:rsidRPr="0031759A">
        <w:t>Managing a liquidity crisis</w:t>
      </w:r>
    </w:p>
    <w:p w:rsidR="00BB6F1F" w:rsidRDefault="00BB6F1F" w:rsidP="00AC68FF">
      <w:r>
        <w:t>In the event of a liquidity crisis, the State has in place liquidity crisis management plans to manage liquidity conditions. The liquidity crisis management plans are a set of protocols established to respond to specific conditions during a crisis.</w:t>
      </w:r>
    </w:p>
    <w:p w:rsidR="00BB6F1F" w:rsidRPr="00943D3C" w:rsidRDefault="00BB6F1F" w:rsidP="00AC68FF">
      <w:pPr>
        <w:pStyle w:val="Heading30"/>
        <w:pBdr>
          <w:bottom w:val="none" w:sz="0" w:space="0" w:color="auto"/>
        </w:pBdr>
      </w:pPr>
      <w:r w:rsidRPr="00943D3C">
        <w:t>Maturity analysis of financial liabilities</w:t>
      </w:r>
    </w:p>
    <w:p w:rsidR="00BB6F1F" w:rsidRDefault="00BB6F1F" w:rsidP="00AC68FF">
      <w:r>
        <w:t xml:space="preserve">Disclosed are details of the State’s maturity analysis for its domestic borrowings and finance lease liabilities. The maturity analysis for the remainder of the State’s financial liabilities are immaterial to the financial report. </w:t>
      </w:r>
    </w:p>
    <w:p w:rsidR="00BB6F1F" w:rsidRDefault="00BB6F1F" w:rsidP="00AC68FF">
      <w:pPr>
        <w:pStyle w:val="TableHeading"/>
        <w:sectPr w:rsidR="00BB6F1F" w:rsidSect="00AC68FF">
          <w:type w:val="continuous"/>
          <w:pgSz w:w="11907" w:h="16839" w:code="9"/>
          <w:pgMar w:top="1134" w:right="1134" w:bottom="1134" w:left="1134" w:header="624" w:footer="567" w:gutter="0"/>
          <w:cols w:num="2" w:space="709"/>
          <w:docGrid w:linePitch="360"/>
        </w:sectPr>
      </w:pPr>
    </w:p>
    <w:p w:rsidR="00BB6F1F" w:rsidRPr="00746768" w:rsidRDefault="00BB6F1F" w:rsidP="006C0F1F">
      <w:pPr>
        <w:pStyle w:val="TableHeading"/>
        <w:spacing w:before="0"/>
        <w:rPr>
          <w:bCs/>
          <w:lang w:val="en-US"/>
        </w:rPr>
      </w:pPr>
      <w:r>
        <w:lastRenderedPageBreak/>
        <w:t>Domestic borrowings</w:t>
      </w:r>
      <w:r>
        <w:tab/>
      </w:r>
      <w:r w:rsidRPr="001D0E2F">
        <w:t>($ million)</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6009"/>
        <w:gridCol w:w="907"/>
        <w:gridCol w:w="907"/>
        <w:gridCol w:w="907"/>
        <w:gridCol w:w="907"/>
      </w:tblGrid>
      <w:tr w:rsidR="00E97FD9" w:rsidRPr="00746768" w:rsidTr="00E97FD9">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right w:val="nil"/>
            </w:tcBorders>
            <w:shd w:val="solid" w:color="000000" w:fill="auto"/>
          </w:tcPr>
          <w:p w:rsidR="00E97FD9" w:rsidRPr="00746768" w:rsidRDefault="00E97FD9" w:rsidP="00AC68FF">
            <w:pPr>
              <w:autoSpaceDE w:val="0"/>
              <w:autoSpaceDN w:val="0"/>
              <w:adjustRightInd w:val="0"/>
              <w:rPr>
                <w:rFonts w:eastAsiaTheme="minorEastAsia" w:cs="Calibri"/>
                <w:iCs/>
                <w:color w:val="FFFFFF"/>
                <w:lang w:eastAsia="en-AU"/>
              </w:rPr>
            </w:pPr>
            <w:r w:rsidRPr="00746768">
              <w:rPr>
                <w:rFonts w:eastAsiaTheme="minorEastAsia" w:cs="Calibri"/>
                <w:iCs/>
                <w:color w:val="FFFFFF"/>
                <w:lang w:eastAsia="en-AU"/>
              </w:rPr>
              <w:t xml:space="preserve"> </w:t>
            </w:r>
          </w:p>
        </w:tc>
        <w:tc>
          <w:tcPr>
            <w:tcW w:w="1814" w:type="dxa"/>
            <w:gridSpan w:val="2"/>
            <w:tcBorders>
              <w:top w:val="nil"/>
              <w:left w:val="nil"/>
              <w:right w:val="nil"/>
            </w:tcBorders>
            <w:shd w:val="solid" w:color="000000" w:fill="auto"/>
          </w:tcPr>
          <w:p w:rsidR="00E97FD9" w:rsidRPr="00746768" w:rsidRDefault="00E97FD9" w:rsidP="00AC68F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State of Victoria</w:t>
            </w:r>
          </w:p>
        </w:tc>
        <w:tc>
          <w:tcPr>
            <w:tcW w:w="1814" w:type="dxa"/>
            <w:gridSpan w:val="2"/>
            <w:tcBorders>
              <w:top w:val="nil"/>
              <w:left w:val="nil"/>
              <w:right w:val="nil"/>
            </w:tcBorders>
            <w:shd w:val="solid" w:color="000000" w:fill="auto"/>
          </w:tcPr>
          <w:p w:rsidR="00E97FD9" w:rsidRPr="00746768" w:rsidRDefault="00E97FD9" w:rsidP="00E97FD9">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General </w:t>
            </w:r>
            <w:r>
              <w:rPr>
                <w:rFonts w:eastAsiaTheme="minorEastAsia" w:cs="Calibri"/>
                <w:iCs/>
                <w:color w:val="FFFFFF"/>
                <w:lang w:eastAsia="en-AU"/>
              </w:rPr>
              <w:br/>
            </w:r>
            <w:r w:rsidRPr="00746768">
              <w:rPr>
                <w:rFonts w:eastAsiaTheme="minorEastAsia" w:cs="Calibri"/>
                <w:iCs/>
                <w:color w:val="FFFFFF"/>
                <w:lang w:eastAsia="en-AU"/>
              </w:rPr>
              <w:t>government sector</w:t>
            </w:r>
          </w:p>
        </w:tc>
      </w:tr>
      <w:tr w:rsidR="00BB6F1F" w:rsidRPr="00746768" w:rsidTr="009F66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rPr>
                <w:rFonts w:eastAsiaTheme="minorEastAsia" w:cs="Calibri"/>
                <w:iCs/>
                <w:color w:val="FFFFFF"/>
                <w:lang w:eastAsia="en-AU"/>
              </w:rPr>
            </w:pPr>
            <w:r w:rsidRPr="00746768">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2017</w:t>
            </w:r>
          </w:p>
        </w:tc>
        <w:tc>
          <w:tcPr>
            <w:tcW w:w="907"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2016</w:t>
            </w:r>
          </w:p>
        </w:tc>
        <w:tc>
          <w:tcPr>
            <w:tcW w:w="907"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2017</w:t>
            </w:r>
          </w:p>
        </w:tc>
        <w:tc>
          <w:tcPr>
            <w:tcW w:w="907"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2016</w:t>
            </w:r>
          </w:p>
        </w:tc>
      </w:tr>
      <w:tr w:rsidR="00BB6F1F" w:rsidRPr="00746768" w:rsidTr="009F6632">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szCs w:val="17"/>
                <w:lang w:eastAsia="en-AU"/>
              </w:rPr>
            </w:pPr>
            <w:r w:rsidRPr="00746768">
              <w:rPr>
                <w:rFonts w:eastAsiaTheme="minorEastAsia" w:cs="Calibri"/>
                <w:color w:val="000000"/>
                <w:szCs w:val="17"/>
                <w:lang w:eastAsia="en-AU"/>
              </w:rPr>
              <w:t>Carrying amount</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38 287</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42 873</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19 326</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24 652</w:t>
            </w:r>
          </w:p>
        </w:tc>
      </w:tr>
      <w:tr w:rsidR="00BB6F1F" w:rsidRPr="00746768" w:rsidTr="009F6632">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746768" w:rsidRDefault="00BB6F1F" w:rsidP="009F6632">
            <w:pPr>
              <w:keepLines w:val="0"/>
              <w:autoSpaceDE w:val="0"/>
              <w:autoSpaceDN w:val="0"/>
              <w:adjustRightInd w:val="0"/>
              <w:rPr>
                <w:rFonts w:eastAsiaTheme="minorEastAsia" w:cs="Calibri"/>
                <w:color w:val="000000"/>
                <w:szCs w:val="17"/>
                <w:lang w:eastAsia="en-AU"/>
              </w:rPr>
            </w:pPr>
            <w:r w:rsidRPr="00746768">
              <w:rPr>
                <w:rFonts w:eastAsiaTheme="minorEastAsia" w:cs="Calibri"/>
                <w:color w:val="000000"/>
                <w:szCs w:val="17"/>
                <w:lang w:eastAsia="en-AU"/>
              </w:rPr>
              <w:t xml:space="preserve">Nominal amount </w:t>
            </w:r>
            <w:r w:rsidRPr="00746768">
              <w:rPr>
                <w:rFonts w:eastAsiaTheme="minorEastAsia" w:cs="Calibri"/>
                <w:color w:val="000000"/>
                <w:szCs w:val="17"/>
                <w:vertAlign w:val="superscript"/>
                <w:lang w:eastAsia="en-AU"/>
              </w:rPr>
              <w:t>(a)</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43 568</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47 696</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19 326</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24 651</w:t>
            </w:r>
          </w:p>
        </w:tc>
      </w:tr>
      <w:tr w:rsidR="00BB6F1F" w:rsidRPr="00746768" w:rsidTr="009F6632">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b/>
                <w:bCs/>
                <w:color w:val="000000"/>
                <w:szCs w:val="17"/>
                <w:lang w:eastAsia="en-AU"/>
              </w:rPr>
            </w:pPr>
            <w:r w:rsidRPr="00746768">
              <w:rPr>
                <w:rFonts w:eastAsiaTheme="minorEastAsia" w:cs="Calibri"/>
                <w:b/>
                <w:bCs/>
                <w:color w:val="000000"/>
                <w:szCs w:val="17"/>
                <w:lang w:eastAsia="en-AU"/>
              </w:rPr>
              <w:t xml:space="preserve">Contractual maturity </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r>
      <w:tr w:rsidR="00BB6F1F" w:rsidRPr="00746768" w:rsidTr="009F6632">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746768" w:rsidRDefault="00BB6F1F" w:rsidP="009F6632">
            <w:pPr>
              <w:keepLines w:val="0"/>
              <w:autoSpaceDE w:val="0"/>
              <w:autoSpaceDN w:val="0"/>
              <w:adjustRightInd w:val="0"/>
              <w:rPr>
                <w:rFonts w:eastAsiaTheme="minorEastAsia" w:cs="Calibri"/>
                <w:color w:val="000000"/>
                <w:szCs w:val="17"/>
                <w:lang w:eastAsia="en-AU"/>
              </w:rPr>
            </w:pPr>
            <w:r w:rsidRPr="00746768">
              <w:rPr>
                <w:rFonts w:eastAsiaTheme="minorEastAsia" w:cs="Calibri"/>
                <w:color w:val="000000"/>
                <w:szCs w:val="17"/>
                <w:lang w:eastAsia="en-AU"/>
              </w:rPr>
              <w:t xml:space="preserve">   0 to 3 months</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337</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1 750</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497</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1 383</w:t>
            </w:r>
          </w:p>
        </w:tc>
      </w:tr>
      <w:tr w:rsidR="00BB6F1F" w:rsidRPr="00746768" w:rsidTr="009F6632">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746768" w:rsidRDefault="00BB6F1F" w:rsidP="009F6632">
            <w:pPr>
              <w:keepLines w:val="0"/>
              <w:autoSpaceDE w:val="0"/>
              <w:autoSpaceDN w:val="0"/>
              <w:adjustRightInd w:val="0"/>
              <w:rPr>
                <w:rFonts w:eastAsiaTheme="minorEastAsia" w:cs="Calibri"/>
                <w:color w:val="000000"/>
                <w:szCs w:val="17"/>
                <w:lang w:eastAsia="en-AU"/>
              </w:rPr>
            </w:pPr>
            <w:r w:rsidRPr="00746768">
              <w:rPr>
                <w:rFonts w:eastAsiaTheme="minorEastAsia" w:cs="Calibri"/>
                <w:color w:val="000000"/>
                <w:szCs w:val="17"/>
                <w:lang w:eastAsia="en-AU"/>
              </w:rPr>
              <w:t xml:space="preserve">   3 months to 1 year </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4 896</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5 112</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126</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1 754</w:t>
            </w:r>
          </w:p>
        </w:tc>
      </w:tr>
      <w:tr w:rsidR="00BB6F1F" w:rsidRPr="00746768" w:rsidTr="009F6632">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746768" w:rsidRDefault="00BB6F1F" w:rsidP="009F6632">
            <w:pPr>
              <w:keepLines w:val="0"/>
              <w:autoSpaceDE w:val="0"/>
              <w:autoSpaceDN w:val="0"/>
              <w:adjustRightInd w:val="0"/>
              <w:rPr>
                <w:rFonts w:eastAsiaTheme="minorEastAsia" w:cs="Calibri"/>
                <w:color w:val="000000"/>
                <w:szCs w:val="17"/>
                <w:lang w:eastAsia="en-AU"/>
              </w:rPr>
            </w:pPr>
            <w:r w:rsidRPr="00746768">
              <w:rPr>
                <w:rFonts w:eastAsiaTheme="minorEastAsia" w:cs="Calibri"/>
                <w:color w:val="000000"/>
                <w:szCs w:val="17"/>
                <w:lang w:eastAsia="en-AU"/>
              </w:rPr>
              <w:t xml:space="preserve">   1 to 2 years</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6 175</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4 820</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1 134</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1 972</w:t>
            </w:r>
          </w:p>
        </w:tc>
      </w:tr>
      <w:tr w:rsidR="00BB6F1F" w:rsidRPr="00746768" w:rsidTr="009F6632">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746768" w:rsidRDefault="00BB6F1F" w:rsidP="009F6632">
            <w:pPr>
              <w:keepLines w:val="0"/>
              <w:autoSpaceDE w:val="0"/>
              <w:autoSpaceDN w:val="0"/>
              <w:adjustRightInd w:val="0"/>
              <w:rPr>
                <w:rFonts w:eastAsiaTheme="minorEastAsia" w:cs="Calibri"/>
                <w:color w:val="000000"/>
                <w:szCs w:val="17"/>
                <w:lang w:eastAsia="en-AU"/>
              </w:rPr>
            </w:pPr>
            <w:r w:rsidRPr="00746768">
              <w:rPr>
                <w:rFonts w:eastAsiaTheme="minorEastAsia" w:cs="Calibri"/>
                <w:color w:val="000000"/>
                <w:szCs w:val="17"/>
                <w:lang w:eastAsia="en-AU"/>
              </w:rPr>
              <w:t xml:space="preserve">   2 to 5 years</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10 449</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14 893</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6 217</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6 234</w:t>
            </w:r>
          </w:p>
        </w:tc>
      </w:tr>
      <w:tr w:rsidR="00BB6F1F" w:rsidRPr="00746768" w:rsidTr="009F6632">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12" w:space="0" w:color="auto"/>
              <w:right w:val="nil"/>
            </w:tcBorders>
          </w:tcPr>
          <w:p w:rsidR="00BB6F1F" w:rsidRPr="00746768" w:rsidRDefault="00BB6F1F" w:rsidP="009F6632">
            <w:pPr>
              <w:keepLines w:val="0"/>
              <w:autoSpaceDE w:val="0"/>
              <w:autoSpaceDN w:val="0"/>
              <w:adjustRightInd w:val="0"/>
              <w:rPr>
                <w:rFonts w:eastAsiaTheme="minorEastAsia" w:cs="Calibri"/>
                <w:color w:val="000000"/>
                <w:szCs w:val="17"/>
                <w:lang w:eastAsia="en-AU"/>
              </w:rPr>
            </w:pPr>
            <w:r w:rsidRPr="00746768">
              <w:rPr>
                <w:rFonts w:eastAsiaTheme="minorEastAsia" w:cs="Calibri"/>
                <w:color w:val="000000"/>
                <w:szCs w:val="17"/>
                <w:lang w:eastAsia="en-AU"/>
              </w:rPr>
              <w:t xml:space="preserve">   5 years or more</w:t>
            </w:r>
          </w:p>
        </w:tc>
        <w:tc>
          <w:tcPr>
            <w:tcW w:w="907" w:type="dxa"/>
            <w:tcBorders>
              <w:top w:val="nil"/>
              <w:left w:val="nil"/>
              <w:bottom w:val="single" w:sz="12"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21 712</w:t>
            </w:r>
          </w:p>
        </w:tc>
        <w:tc>
          <w:tcPr>
            <w:tcW w:w="907" w:type="dxa"/>
            <w:tcBorders>
              <w:top w:val="nil"/>
              <w:left w:val="nil"/>
              <w:bottom w:val="single" w:sz="12"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21 120</w:t>
            </w:r>
          </w:p>
        </w:tc>
        <w:tc>
          <w:tcPr>
            <w:tcW w:w="907" w:type="dxa"/>
            <w:tcBorders>
              <w:top w:val="nil"/>
              <w:left w:val="nil"/>
              <w:bottom w:val="single" w:sz="12"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11 353</w:t>
            </w:r>
          </w:p>
        </w:tc>
        <w:tc>
          <w:tcPr>
            <w:tcW w:w="907" w:type="dxa"/>
            <w:tcBorders>
              <w:top w:val="nil"/>
              <w:left w:val="nil"/>
              <w:bottom w:val="single" w:sz="12"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13 308</w:t>
            </w:r>
          </w:p>
        </w:tc>
      </w:tr>
    </w:tbl>
    <w:p w:rsidR="00BB6F1F" w:rsidRDefault="00BB6F1F" w:rsidP="00AC68FF">
      <w:pPr>
        <w:pStyle w:val="Note"/>
      </w:pPr>
      <w:r>
        <w:t>Note:</w:t>
      </w:r>
    </w:p>
    <w:p w:rsidR="00BB6F1F" w:rsidRDefault="00BB6F1F" w:rsidP="00AC68FF">
      <w:pPr>
        <w:pStyle w:val="Note"/>
      </w:pPr>
      <w:r>
        <w:t>(a)</w:t>
      </w:r>
      <w:r>
        <w:tab/>
        <w:t>Represents undiscounted nominal amount.</w:t>
      </w:r>
    </w:p>
    <w:p w:rsidR="00BB6F1F" w:rsidRPr="00746768" w:rsidRDefault="00BB6F1F" w:rsidP="00AC68FF">
      <w:pPr>
        <w:pStyle w:val="TableHeading"/>
        <w:rPr>
          <w:bCs/>
          <w:lang w:val="en-US"/>
        </w:rPr>
      </w:pPr>
      <w:r>
        <w:t>Finance lease liabilities payable</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746768"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left w:val="nil"/>
              <w:bottom w:val="nil"/>
              <w:right w:val="nil"/>
            </w:tcBorders>
            <w:shd w:val="solid" w:color="000000" w:fill="auto"/>
          </w:tcPr>
          <w:p w:rsidR="00BB6F1F" w:rsidRPr="00746768" w:rsidRDefault="00BB6F1F" w:rsidP="00AC68FF">
            <w:pPr>
              <w:autoSpaceDE w:val="0"/>
              <w:autoSpaceDN w:val="0"/>
              <w:adjustRightInd w:val="0"/>
              <w:rPr>
                <w:rFonts w:eastAsiaTheme="minorEastAsia" w:cs="Calibri"/>
                <w:iCs/>
                <w:color w:val="FFFFFF"/>
                <w:lang w:eastAsia="en-AU"/>
              </w:rPr>
            </w:pPr>
            <w:r w:rsidRPr="00746768">
              <w:rPr>
                <w:rFonts w:eastAsiaTheme="minorEastAsia" w:cs="Calibri"/>
                <w:iCs/>
                <w:color w:val="FFFFFF"/>
                <w:lang w:eastAsia="en-AU"/>
              </w:rPr>
              <w:t xml:space="preserve"> </w:t>
            </w:r>
          </w:p>
        </w:tc>
        <w:tc>
          <w:tcPr>
            <w:tcW w:w="1814" w:type="dxa"/>
            <w:gridSpan w:val="2"/>
            <w:tcBorders>
              <w:top w:val="single" w:sz="6" w:space="0" w:color="auto"/>
              <w:left w:val="nil"/>
              <w:bottom w:val="nil"/>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State of Victoria</w:t>
            </w:r>
          </w:p>
        </w:tc>
        <w:tc>
          <w:tcPr>
            <w:tcW w:w="1814" w:type="dxa"/>
            <w:gridSpan w:val="2"/>
            <w:tcBorders>
              <w:top w:val="single" w:sz="6" w:space="0" w:color="auto"/>
              <w:left w:val="nil"/>
              <w:bottom w:val="nil"/>
              <w:right w:val="nil"/>
            </w:tcBorders>
            <w:shd w:val="solid" w:color="000000" w:fill="auto"/>
          </w:tcPr>
          <w:p w:rsidR="00BB6F1F" w:rsidRPr="00746768" w:rsidRDefault="00BB6F1F" w:rsidP="00E97FD9">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General </w:t>
            </w:r>
            <w:r w:rsidR="00E97FD9">
              <w:rPr>
                <w:rFonts w:eastAsiaTheme="minorEastAsia" w:cs="Calibri"/>
                <w:iCs/>
                <w:color w:val="FFFFFF"/>
                <w:lang w:eastAsia="en-AU"/>
              </w:rPr>
              <w:br/>
            </w:r>
            <w:r w:rsidRPr="00746768">
              <w:rPr>
                <w:rFonts w:eastAsiaTheme="minorEastAsia" w:cs="Calibri"/>
                <w:iCs/>
                <w:color w:val="FFFFFF"/>
                <w:lang w:eastAsia="en-AU"/>
              </w:rPr>
              <w:t>government sector</w:t>
            </w:r>
          </w:p>
        </w:tc>
      </w:tr>
      <w:tr w:rsidR="00BB6F1F" w:rsidRPr="00746768"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auto"/>
              <w:right w:val="nil"/>
            </w:tcBorders>
            <w:shd w:val="solid" w:color="000000" w:fill="auto"/>
          </w:tcPr>
          <w:p w:rsidR="00BB6F1F" w:rsidRPr="00746768" w:rsidRDefault="00BB6F1F" w:rsidP="00AC68FF">
            <w:pPr>
              <w:keepLines w:val="0"/>
              <w:autoSpaceDE w:val="0"/>
              <w:autoSpaceDN w:val="0"/>
              <w:adjustRightInd w:val="0"/>
              <w:rPr>
                <w:rFonts w:eastAsiaTheme="minorEastAsia" w:cs="Calibri"/>
                <w:iCs/>
                <w:color w:val="FFFFFF"/>
                <w:lang w:eastAsia="en-AU"/>
              </w:rPr>
            </w:pPr>
            <w:r w:rsidRPr="00746768">
              <w:rPr>
                <w:rFonts w:eastAsiaTheme="minorEastAsia" w:cs="Calibri"/>
                <w:iCs/>
                <w:color w:val="FFFFFF"/>
                <w:lang w:eastAsia="en-AU"/>
              </w:rPr>
              <w:t xml:space="preserve"> </w:t>
            </w:r>
          </w:p>
        </w:tc>
        <w:tc>
          <w:tcPr>
            <w:tcW w:w="907" w:type="dxa"/>
            <w:tcBorders>
              <w:top w:val="nil"/>
              <w:left w:val="nil"/>
              <w:bottom w:val="single" w:sz="6" w:space="0" w:color="auto"/>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2017</w:t>
            </w:r>
          </w:p>
        </w:tc>
        <w:tc>
          <w:tcPr>
            <w:tcW w:w="907" w:type="dxa"/>
            <w:tcBorders>
              <w:top w:val="nil"/>
              <w:left w:val="nil"/>
              <w:bottom w:val="single" w:sz="6" w:space="0" w:color="auto"/>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2016</w:t>
            </w:r>
          </w:p>
        </w:tc>
        <w:tc>
          <w:tcPr>
            <w:tcW w:w="907" w:type="dxa"/>
            <w:tcBorders>
              <w:top w:val="nil"/>
              <w:left w:val="nil"/>
              <w:bottom w:val="single" w:sz="6" w:space="0" w:color="auto"/>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2017</w:t>
            </w:r>
          </w:p>
        </w:tc>
        <w:tc>
          <w:tcPr>
            <w:tcW w:w="907" w:type="dxa"/>
            <w:tcBorders>
              <w:top w:val="nil"/>
              <w:left w:val="nil"/>
              <w:bottom w:val="single" w:sz="6" w:space="0" w:color="auto"/>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2016</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Less than 1 year</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662</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546</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491</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476</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1 year but less than 5 years</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2 464</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2 533</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2 082</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2 103</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5 years or more</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18 004</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17 758</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17 847</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17 627</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left w:val="nil"/>
              <w:bottom w:val="nil"/>
              <w:right w:val="nil"/>
            </w:tcBorders>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Minimum lease payments</w:t>
            </w:r>
          </w:p>
        </w:tc>
        <w:tc>
          <w:tcPr>
            <w:tcW w:w="907" w:type="dxa"/>
            <w:tcBorders>
              <w:top w:val="single" w:sz="6" w:space="0" w:color="auto"/>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21 129</w:t>
            </w:r>
          </w:p>
        </w:tc>
        <w:tc>
          <w:tcPr>
            <w:tcW w:w="907" w:type="dxa"/>
            <w:tcBorders>
              <w:top w:val="single" w:sz="6" w:space="0" w:color="auto"/>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20 837</w:t>
            </w:r>
          </w:p>
        </w:tc>
        <w:tc>
          <w:tcPr>
            <w:tcW w:w="907" w:type="dxa"/>
            <w:tcBorders>
              <w:top w:val="single" w:sz="6" w:space="0" w:color="auto"/>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20 420</w:t>
            </w:r>
          </w:p>
        </w:tc>
        <w:tc>
          <w:tcPr>
            <w:tcW w:w="907" w:type="dxa"/>
            <w:tcBorders>
              <w:top w:val="single" w:sz="6" w:space="0" w:color="auto"/>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20 206</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Future finance charges</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11 183</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11 197</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11 035</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11 197</w:t>
            </w:r>
          </w:p>
        </w:tc>
      </w:tr>
      <w:tr w:rsidR="00BB6F1F" w:rsidRPr="00746768"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BB6F1F" w:rsidRPr="00746768" w:rsidRDefault="00BB6F1F" w:rsidP="00AC68FF">
            <w:pPr>
              <w:keepLines w:val="0"/>
              <w:autoSpaceDE w:val="0"/>
              <w:autoSpaceDN w:val="0"/>
              <w:adjustRightInd w:val="0"/>
              <w:rPr>
                <w:rFonts w:eastAsiaTheme="minorEastAsia" w:cs="Calibri"/>
                <w:bCs/>
                <w:color w:val="000000"/>
                <w:lang w:eastAsia="en-AU"/>
              </w:rPr>
            </w:pPr>
            <w:r w:rsidRPr="00746768">
              <w:rPr>
                <w:rFonts w:eastAsiaTheme="minorEastAsia" w:cs="Calibri"/>
                <w:bCs/>
                <w:color w:val="000000"/>
                <w:lang w:eastAsia="en-AU"/>
              </w:rPr>
              <w:t xml:space="preserve">Total finance lease liabilities </w:t>
            </w:r>
          </w:p>
        </w:tc>
        <w:tc>
          <w:tcPr>
            <w:tcW w:w="907"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9 947</w:t>
            </w:r>
          </w:p>
        </w:tc>
        <w:tc>
          <w:tcPr>
            <w:tcW w:w="907"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9 640</w:t>
            </w:r>
          </w:p>
        </w:tc>
        <w:tc>
          <w:tcPr>
            <w:tcW w:w="907"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9 385</w:t>
            </w:r>
          </w:p>
        </w:tc>
        <w:tc>
          <w:tcPr>
            <w:tcW w:w="907"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9 009</w:t>
            </w:r>
          </w:p>
        </w:tc>
      </w:tr>
    </w:tbl>
    <w:p w:rsidR="00BB6F1F" w:rsidRPr="009254C6" w:rsidRDefault="00BB6F1F" w:rsidP="00AC68FF"/>
    <w:p w:rsidR="00BB6F1F" w:rsidRPr="009254C6" w:rsidRDefault="00BB6F1F" w:rsidP="009F6632">
      <w:pPr>
        <w:sectPr w:rsidR="00BB6F1F" w:rsidRPr="009254C6" w:rsidSect="00AC68FF">
          <w:type w:val="continuous"/>
          <w:pgSz w:w="11907" w:h="16839" w:code="9"/>
          <w:pgMar w:top="1134" w:right="1134" w:bottom="1134" w:left="1134" w:header="624" w:footer="567" w:gutter="0"/>
          <w:cols w:sep="1" w:space="567"/>
          <w:docGrid w:linePitch="360"/>
        </w:sectPr>
      </w:pPr>
    </w:p>
    <w:p w:rsidR="00BB6F1F" w:rsidRPr="0003431C" w:rsidRDefault="00BB6F1F" w:rsidP="00BB6F1F">
      <w:pPr>
        <w:pStyle w:val="Heading3"/>
        <w:spacing w:before="0"/>
      </w:pPr>
      <w:r w:rsidRPr="0003431C">
        <w:lastRenderedPageBreak/>
        <w:t>Other matters</w:t>
      </w:r>
    </w:p>
    <w:p w:rsidR="00BB6F1F" w:rsidRDefault="00BB6F1F" w:rsidP="00AC68FF">
      <w:pPr>
        <w:pStyle w:val="Heading4"/>
      </w:pPr>
      <w:r>
        <w:t>Offsetting financial instruments</w:t>
      </w:r>
    </w:p>
    <w:p w:rsidR="00BB6F1F" w:rsidRDefault="00BB6F1F" w:rsidP="00AC68FF">
      <w:r>
        <w:t xml:space="preserve">A master netting arrangement or similar arrangement can be set up with counterparties where required by general market practice. To the extent that these arrangements meet the criteria for offsetting in the consolidated balance sheet, they are reported on a net basis. </w:t>
      </w:r>
    </w:p>
    <w:p w:rsidR="00BB6F1F" w:rsidRDefault="00BB6F1F" w:rsidP="00AC68FF">
      <w:r>
        <w:t>Financial instrument assets and liabilities are offset, with the net amount reported in the consolidated balance sheet only where there is a currently legally enforceable right to offset the recognised amounts and there is an intention to settle on a net basis or to realise the asset and settle the liability simultaneously.</w:t>
      </w:r>
    </w:p>
    <w:p w:rsidR="00BB6F1F" w:rsidRDefault="00BB6F1F" w:rsidP="00AC68FF">
      <w:r>
        <w:t>Some master netting arrangements do not result in an offset of balance sheet assets and liabilities. Where the State does not have a legally enforceable right to offset recognised amounts, because the right to offset is enforceable only on the occurrence of future events such as default, insolvency or bankruptcy, they are reported on a gross basis.</w:t>
      </w:r>
    </w:p>
    <w:p w:rsidR="00BB6F1F" w:rsidRDefault="00BB6F1F" w:rsidP="009F6632">
      <w:pPr>
        <w:spacing w:before="20"/>
      </w:pPr>
      <w:r>
        <w:lastRenderedPageBreak/>
        <w:t xml:space="preserve">The following tables provide information on the impact of offsetting on the balance sheet, as well as the financial impact of netting for instruments subject to an enforceable master netting arrangement, as well as available cash and financial instrument collateral. </w:t>
      </w:r>
    </w:p>
    <w:p w:rsidR="00BB6F1F" w:rsidRDefault="00BB6F1F" w:rsidP="00AC68FF">
      <w:r>
        <w:t xml:space="preserve">The State of Victoria has entered into arrangements that do not meet criteria for offsetting in a normal course of business, but allow for the relevant amounts to be set off in certain circumstances, such as bankruptcy, default or insolvency. </w:t>
      </w:r>
    </w:p>
    <w:p w:rsidR="00BB6F1F" w:rsidRDefault="00BB6F1F" w:rsidP="00AC68FF">
      <w:r>
        <w:t>The effect of these arrangements is reflected in the column ‘related amounts not offset’.</w:t>
      </w:r>
    </w:p>
    <w:p w:rsidR="00BB6F1F" w:rsidRDefault="00BB6F1F" w:rsidP="00AC68FF">
      <w:r>
        <w:t>The column ‘Net amount’ shows the impact on State of Victoria balance sheet if all existing rights of offset were exercised.</w:t>
      </w:r>
    </w:p>
    <w:p w:rsidR="00BB6F1F" w:rsidRDefault="00BB6F1F" w:rsidP="00AC68FF"/>
    <w:p w:rsidR="00BB6F1F" w:rsidRPr="003E5253" w:rsidRDefault="00BB6F1F" w:rsidP="00AC68FF">
      <w:pPr>
        <w:sectPr w:rsidR="00BB6F1F" w:rsidRPr="003E5253" w:rsidSect="00AC68FF">
          <w:type w:val="continuous"/>
          <w:pgSz w:w="11907" w:h="16839" w:code="9"/>
          <w:pgMar w:top="1134" w:right="1134" w:bottom="1134" w:left="1134" w:header="624" w:footer="567" w:gutter="0"/>
          <w:cols w:num="2" w:space="709"/>
          <w:docGrid w:linePitch="360"/>
        </w:sectPr>
      </w:pPr>
    </w:p>
    <w:p w:rsidR="00BB6F1F" w:rsidRDefault="00BB6F1F">
      <w:pPr>
        <w:keepLines w:val="0"/>
        <w:rPr>
          <w:rFonts w:asciiTheme="majorHAnsi" w:hAnsiTheme="majorHAnsi"/>
          <w:b/>
          <w:sz w:val="20"/>
          <w:szCs w:val="20"/>
        </w:rPr>
      </w:pPr>
      <w:r>
        <w:lastRenderedPageBreak/>
        <w:br w:type="page"/>
      </w:r>
    </w:p>
    <w:p w:rsidR="00BB6F1F" w:rsidRPr="00746768" w:rsidRDefault="00BB6F1F" w:rsidP="00AC68FF">
      <w:pPr>
        <w:pStyle w:val="TableHeading"/>
        <w:rPr>
          <w:bCs/>
          <w:lang w:val="en-US"/>
        </w:rPr>
      </w:pPr>
      <w:r>
        <w:lastRenderedPageBreak/>
        <w:t xml:space="preserve">Master netting or similar arrangements </w:t>
      </w:r>
      <w:r>
        <w:rPr>
          <w:vertAlign w:val="superscript"/>
        </w:rPr>
        <w:t>(a)</w:t>
      </w:r>
      <w:r>
        <w:tab/>
        <w:t>($ million)</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3543"/>
        <w:gridCol w:w="850"/>
        <w:gridCol w:w="1701"/>
        <w:gridCol w:w="1843"/>
        <w:gridCol w:w="850"/>
        <w:gridCol w:w="850"/>
      </w:tblGrid>
      <w:tr w:rsidR="00BB6F1F" w:rsidRPr="00746768" w:rsidTr="009F66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000000" w:fill="auto"/>
          </w:tcPr>
          <w:p w:rsidR="00BB6F1F" w:rsidRPr="00746768" w:rsidRDefault="009F6632" w:rsidP="00AC68FF">
            <w:pPr>
              <w:autoSpaceDE w:val="0"/>
              <w:autoSpaceDN w:val="0"/>
              <w:adjustRightInd w:val="0"/>
              <w:rPr>
                <w:rFonts w:eastAsiaTheme="minorEastAsia" w:cs="Calibri"/>
                <w:iCs/>
                <w:color w:val="FFFFFF"/>
                <w:szCs w:val="20"/>
                <w:lang w:eastAsia="en-AU"/>
              </w:rPr>
            </w:pPr>
            <w:r w:rsidRPr="00746768">
              <w:rPr>
                <w:rFonts w:eastAsiaTheme="minorEastAsia" w:cs="Calibri"/>
                <w:iCs/>
                <w:color w:val="FFFFFF"/>
                <w:szCs w:val="20"/>
                <w:lang w:eastAsia="en-AU"/>
              </w:rPr>
              <w:t>State of Victoria</w:t>
            </w:r>
          </w:p>
        </w:tc>
        <w:tc>
          <w:tcPr>
            <w:tcW w:w="850"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 xml:space="preserve"> </w:t>
            </w:r>
          </w:p>
        </w:tc>
        <w:tc>
          <w:tcPr>
            <w:tcW w:w="5244" w:type="dxa"/>
            <w:gridSpan w:val="4"/>
            <w:tcBorders>
              <w:top w:val="nil"/>
              <w:left w:val="nil"/>
              <w:bottom w:val="single" w:sz="6" w:space="0" w:color="FFFFFF" w:themeColor="background1"/>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Effects of offsetting on the balance sheet</w:t>
            </w:r>
          </w:p>
        </w:tc>
      </w:tr>
      <w:tr w:rsidR="00BB6F1F" w:rsidRPr="00746768" w:rsidTr="009F66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000000" w:fill="auto"/>
          </w:tcPr>
          <w:p w:rsidR="00BB6F1F" w:rsidRPr="00746768" w:rsidRDefault="009F6632" w:rsidP="00AC68FF">
            <w:pPr>
              <w:keepLines w:val="0"/>
              <w:autoSpaceDE w:val="0"/>
              <w:autoSpaceDN w:val="0"/>
              <w:adjustRightInd w:val="0"/>
              <w:rPr>
                <w:rFonts w:eastAsiaTheme="minorEastAsia" w:cs="Calibri"/>
                <w:iCs/>
                <w:color w:val="FFFFFF"/>
                <w:szCs w:val="20"/>
                <w:lang w:eastAsia="en-AU"/>
              </w:rPr>
            </w:pPr>
            <w:r w:rsidRPr="00746768">
              <w:rPr>
                <w:rFonts w:eastAsiaTheme="minorEastAsia" w:cs="Calibri"/>
                <w:iCs/>
                <w:color w:val="FFFFFF"/>
                <w:szCs w:val="20"/>
                <w:lang w:eastAsia="en-AU"/>
              </w:rPr>
              <w:t>2017</w:t>
            </w:r>
          </w:p>
        </w:tc>
        <w:tc>
          <w:tcPr>
            <w:tcW w:w="850"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 xml:space="preserve">Gross amounts </w:t>
            </w:r>
          </w:p>
        </w:tc>
        <w:tc>
          <w:tcPr>
            <w:tcW w:w="1701" w:type="dxa"/>
            <w:tcBorders>
              <w:top w:val="single" w:sz="6" w:space="0" w:color="FFFFFF" w:themeColor="background1"/>
              <w:left w:val="nil"/>
              <w:bottom w:val="nil"/>
              <w:right w:val="nil"/>
            </w:tcBorders>
            <w:shd w:val="solid" w:color="000000" w:fill="auto"/>
          </w:tcPr>
          <w:p w:rsidR="00BB6F1F" w:rsidRPr="00746768" w:rsidRDefault="00BB6F1F" w:rsidP="00E97FD9">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Gross amounts set off</w:t>
            </w:r>
            <w:r w:rsidR="00E97FD9">
              <w:rPr>
                <w:rFonts w:eastAsiaTheme="minorEastAsia" w:cs="Calibri"/>
                <w:iCs/>
                <w:color w:val="FFFFFF"/>
                <w:szCs w:val="20"/>
                <w:lang w:eastAsia="en-AU"/>
              </w:rPr>
              <w:t xml:space="preserve"> </w:t>
            </w:r>
            <w:r w:rsidRPr="00746768">
              <w:rPr>
                <w:rFonts w:eastAsiaTheme="minorEastAsia" w:cs="Calibri"/>
                <w:iCs/>
                <w:color w:val="FFFFFF"/>
                <w:szCs w:val="20"/>
                <w:lang w:eastAsia="en-AU"/>
              </w:rPr>
              <w:t>in the consolidated balance sheet</w:t>
            </w:r>
          </w:p>
        </w:tc>
        <w:tc>
          <w:tcPr>
            <w:tcW w:w="1843" w:type="dxa"/>
            <w:tcBorders>
              <w:top w:val="single" w:sz="6" w:space="0" w:color="FFFFFF" w:themeColor="background1"/>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Net amounts presented in the consolidated balance sheet</w:t>
            </w:r>
          </w:p>
        </w:tc>
        <w:tc>
          <w:tcPr>
            <w:tcW w:w="850" w:type="dxa"/>
            <w:tcBorders>
              <w:top w:val="single" w:sz="6" w:space="0" w:color="FFFFFF" w:themeColor="background1"/>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Related amounts not offset</w:t>
            </w:r>
          </w:p>
        </w:tc>
        <w:tc>
          <w:tcPr>
            <w:tcW w:w="850" w:type="dxa"/>
            <w:tcBorders>
              <w:top w:val="single" w:sz="6" w:space="0" w:color="FFFFFF" w:themeColor="background1"/>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Net amount</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b/>
                <w:bCs/>
                <w:color w:val="000000"/>
                <w:szCs w:val="20"/>
                <w:lang w:eastAsia="en-AU"/>
              </w:rPr>
            </w:pPr>
            <w:r w:rsidRPr="00746768">
              <w:rPr>
                <w:rFonts w:eastAsiaTheme="minorEastAsia" w:cs="Calibri"/>
                <w:b/>
                <w:bCs/>
                <w:color w:val="000000"/>
                <w:szCs w:val="20"/>
                <w:lang w:eastAsia="en-AU"/>
              </w:rPr>
              <w:t>Financial assets</w:t>
            </w:r>
          </w:p>
        </w:tc>
        <w:tc>
          <w:tcPr>
            <w:tcW w:w="850"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746768">
              <w:rPr>
                <w:rFonts w:eastAsiaTheme="minorEastAsia" w:cs="Calibri"/>
                <w:i/>
                <w:iCs/>
                <w:color w:val="FFFFFF"/>
                <w:szCs w:val="20"/>
                <w:lang w:eastAsia="en-AU"/>
              </w:rPr>
              <w:t xml:space="preserve"> </w:t>
            </w:r>
          </w:p>
        </w:tc>
        <w:tc>
          <w:tcPr>
            <w:tcW w:w="1701"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c>
          <w:tcPr>
            <w:tcW w:w="1843"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746768">
              <w:rPr>
                <w:rFonts w:eastAsiaTheme="minorEastAsia" w:cs="Calibri"/>
                <w:i/>
                <w:iCs/>
                <w:color w:val="FFFFFF"/>
                <w:szCs w:val="20"/>
                <w:lang w:eastAsia="en-AU"/>
              </w:rPr>
              <w:t xml:space="preserve"> </w:t>
            </w:r>
          </w:p>
        </w:tc>
        <w:tc>
          <w:tcPr>
            <w:tcW w:w="850"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746768">
              <w:rPr>
                <w:rFonts w:eastAsiaTheme="minorEastAsia" w:cs="Calibri"/>
                <w:i/>
                <w:iCs/>
                <w:color w:val="FFFFFF"/>
                <w:szCs w:val="20"/>
                <w:lang w:eastAsia="en-AU"/>
              </w:rPr>
              <w:t xml:space="preserve"> </w:t>
            </w:r>
          </w:p>
        </w:tc>
        <w:tc>
          <w:tcPr>
            <w:tcW w:w="850"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746768">
              <w:rPr>
                <w:rFonts w:eastAsiaTheme="minorEastAsia" w:cs="Calibri"/>
                <w:i/>
                <w:iCs/>
                <w:color w:val="FFFFFF"/>
                <w:szCs w:val="20"/>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szCs w:val="20"/>
                <w:lang w:eastAsia="en-AU"/>
              </w:rPr>
            </w:pPr>
            <w:r w:rsidRPr="00746768">
              <w:rPr>
                <w:rFonts w:eastAsiaTheme="minorEastAsia" w:cs="Calibri"/>
                <w:color w:val="000000"/>
                <w:szCs w:val="20"/>
                <w:lang w:eastAsia="en-AU"/>
              </w:rPr>
              <w:t>Derivative financial instruments</w:t>
            </w:r>
          </w:p>
        </w:tc>
        <w:tc>
          <w:tcPr>
            <w:tcW w:w="850"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2 267</w:t>
            </w:r>
          </w:p>
        </w:tc>
        <w:tc>
          <w:tcPr>
            <w:tcW w:w="1701"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(1 206)</w:t>
            </w:r>
          </w:p>
        </w:tc>
        <w:tc>
          <w:tcPr>
            <w:tcW w:w="1843"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1 061</w:t>
            </w:r>
          </w:p>
        </w:tc>
        <w:tc>
          <w:tcPr>
            <w:tcW w:w="850"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(691)</w:t>
            </w:r>
          </w:p>
        </w:tc>
        <w:tc>
          <w:tcPr>
            <w:tcW w:w="850"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370</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b/>
                <w:bCs/>
                <w:color w:val="000000"/>
                <w:szCs w:val="20"/>
                <w:lang w:eastAsia="en-AU"/>
              </w:rPr>
            </w:pPr>
            <w:r w:rsidRPr="00746768">
              <w:rPr>
                <w:rFonts w:eastAsiaTheme="minorEastAsia" w:cs="Calibri"/>
                <w:b/>
                <w:bCs/>
                <w:color w:val="000000"/>
                <w:szCs w:val="20"/>
                <w:lang w:eastAsia="en-AU"/>
              </w:rPr>
              <w:t xml:space="preserve">Financial liabilities </w:t>
            </w:r>
          </w:p>
        </w:tc>
        <w:tc>
          <w:tcPr>
            <w:tcW w:w="850"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c>
          <w:tcPr>
            <w:tcW w:w="1701"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c>
          <w:tcPr>
            <w:tcW w:w="1843"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c>
          <w:tcPr>
            <w:tcW w:w="850"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c>
          <w:tcPr>
            <w:tcW w:w="850"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single" w:sz="12" w:space="0" w:color="auto"/>
              <w:right w:val="nil"/>
            </w:tcBorders>
          </w:tcPr>
          <w:p w:rsidR="00BB6F1F" w:rsidRPr="00746768" w:rsidRDefault="00BB6F1F" w:rsidP="00AC68FF">
            <w:pPr>
              <w:keepLines w:val="0"/>
              <w:autoSpaceDE w:val="0"/>
              <w:autoSpaceDN w:val="0"/>
              <w:adjustRightInd w:val="0"/>
              <w:rPr>
                <w:rFonts w:eastAsiaTheme="minorEastAsia" w:cs="Calibri"/>
                <w:color w:val="000000"/>
                <w:szCs w:val="20"/>
                <w:lang w:eastAsia="en-AU"/>
              </w:rPr>
            </w:pPr>
            <w:r w:rsidRPr="00746768">
              <w:rPr>
                <w:rFonts w:eastAsiaTheme="minorEastAsia" w:cs="Calibri"/>
                <w:color w:val="000000"/>
                <w:szCs w:val="20"/>
                <w:lang w:eastAsia="en-AU"/>
              </w:rPr>
              <w:t>Derivative financial instruments</w:t>
            </w:r>
          </w:p>
        </w:tc>
        <w:tc>
          <w:tcPr>
            <w:tcW w:w="850" w:type="dxa"/>
            <w:tcBorders>
              <w:top w:val="nil"/>
              <w:left w:val="nil"/>
              <w:bottom w:val="single" w:sz="12"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1 695</w:t>
            </w:r>
          </w:p>
        </w:tc>
        <w:tc>
          <w:tcPr>
            <w:tcW w:w="1701" w:type="dxa"/>
            <w:tcBorders>
              <w:top w:val="nil"/>
              <w:left w:val="nil"/>
              <w:bottom w:val="single" w:sz="12"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(1 206)</w:t>
            </w:r>
          </w:p>
        </w:tc>
        <w:tc>
          <w:tcPr>
            <w:tcW w:w="1843" w:type="dxa"/>
            <w:tcBorders>
              <w:top w:val="nil"/>
              <w:left w:val="nil"/>
              <w:bottom w:val="single" w:sz="12"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488</w:t>
            </w:r>
          </w:p>
        </w:tc>
        <w:tc>
          <w:tcPr>
            <w:tcW w:w="850" w:type="dxa"/>
            <w:tcBorders>
              <w:top w:val="nil"/>
              <w:left w:val="nil"/>
              <w:bottom w:val="single" w:sz="12"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(501)</w:t>
            </w:r>
          </w:p>
        </w:tc>
        <w:tc>
          <w:tcPr>
            <w:tcW w:w="850" w:type="dxa"/>
            <w:tcBorders>
              <w:top w:val="nil"/>
              <w:left w:val="nil"/>
              <w:bottom w:val="single" w:sz="12"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w:t>
            </w:r>
          </w:p>
        </w:tc>
      </w:tr>
    </w:tbl>
    <w:p w:rsidR="00BB6F1F" w:rsidRPr="00746768" w:rsidRDefault="00BB6F1F" w:rsidP="00AC68FF">
      <w:pPr>
        <w:rPr>
          <w:b/>
          <w:bCs/>
          <w:lang w:val="en-US"/>
        </w:rPr>
      </w:pPr>
    </w:p>
    <w:tbl>
      <w:tblPr>
        <w:tblStyle w:val="DTFTable"/>
        <w:tblW w:w="9638" w:type="dxa"/>
        <w:tblInd w:w="45" w:type="dxa"/>
        <w:tblLayout w:type="fixed"/>
        <w:tblCellMar>
          <w:left w:w="45" w:type="dxa"/>
          <w:right w:w="45" w:type="dxa"/>
        </w:tblCellMar>
        <w:tblLook w:val="06A0" w:firstRow="1" w:lastRow="0" w:firstColumn="1" w:lastColumn="0" w:noHBand="1" w:noVBand="1"/>
      </w:tblPr>
      <w:tblGrid>
        <w:gridCol w:w="3543"/>
        <w:gridCol w:w="850"/>
        <w:gridCol w:w="1701"/>
        <w:gridCol w:w="1843"/>
        <w:gridCol w:w="794"/>
        <w:gridCol w:w="907"/>
      </w:tblGrid>
      <w:tr w:rsidR="00BB6F1F" w:rsidRPr="00746768"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000000" w:fill="auto"/>
          </w:tcPr>
          <w:p w:rsidR="00BB6F1F" w:rsidRPr="00746768" w:rsidRDefault="00BB6F1F" w:rsidP="00AC68FF">
            <w:pPr>
              <w:autoSpaceDE w:val="0"/>
              <w:autoSpaceDN w:val="0"/>
              <w:adjustRightInd w:val="0"/>
              <w:rPr>
                <w:rFonts w:eastAsiaTheme="minorEastAsia" w:cs="Calibri"/>
                <w:iCs/>
                <w:color w:val="FFFFFF"/>
                <w:szCs w:val="20"/>
                <w:lang w:eastAsia="en-AU"/>
              </w:rPr>
            </w:pPr>
            <w:r w:rsidRPr="00746768">
              <w:rPr>
                <w:rFonts w:eastAsiaTheme="minorEastAsia" w:cs="Calibri"/>
                <w:iCs/>
                <w:color w:val="FFFFFF"/>
                <w:szCs w:val="20"/>
                <w:lang w:eastAsia="en-AU"/>
              </w:rPr>
              <w:t>2016</w:t>
            </w:r>
          </w:p>
        </w:tc>
        <w:tc>
          <w:tcPr>
            <w:tcW w:w="850"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 xml:space="preserve"> </w:t>
            </w:r>
          </w:p>
        </w:tc>
        <w:tc>
          <w:tcPr>
            <w:tcW w:w="1701"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 xml:space="preserve"> </w:t>
            </w:r>
          </w:p>
        </w:tc>
        <w:tc>
          <w:tcPr>
            <w:tcW w:w="1843"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 xml:space="preserve"> </w:t>
            </w:r>
          </w:p>
        </w:tc>
        <w:tc>
          <w:tcPr>
            <w:tcW w:w="794"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 xml:space="preserve"> </w:t>
            </w:r>
          </w:p>
        </w:tc>
        <w:tc>
          <w:tcPr>
            <w:tcW w:w="907"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b/>
                <w:bCs/>
                <w:color w:val="000000"/>
                <w:szCs w:val="20"/>
                <w:lang w:eastAsia="en-AU"/>
              </w:rPr>
            </w:pPr>
            <w:r w:rsidRPr="00746768">
              <w:rPr>
                <w:rFonts w:eastAsiaTheme="minorEastAsia" w:cs="Calibri"/>
                <w:b/>
                <w:bCs/>
                <w:color w:val="000000"/>
                <w:szCs w:val="20"/>
                <w:lang w:eastAsia="en-AU"/>
              </w:rPr>
              <w:t>Financial assets</w:t>
            </w:r>
          </w:p>
        </w:tc>
        <w:tc>
          <w:tcPr>
            <w:tcW w:w="850"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746768">
              <w:rPr>
                <w:rFonts w:eastAsiaTheme="minorEastAsia" w:cs="Calibri"/>
                <w:i/>
                <w:iCs/>
                <w:color w:val="FFFFFF"/>
                <w:szCs w:val="20"/>
                <w:lang w:eastAsia="en-AU"/>
              </w:rPr>
              <w:t xml:space="preserve"> </w:t>
            </w:r>
          </w:p>
        </w:tc>
        <w:tc>
          <w:tcPr>
            <w:tcW w:w="1701"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746768">
              <w:rPr>
                <w:rFonts w:eastAsiaTheme="minorEastAsia" w:cs="Calibri"/>
                <w:i/>
                <w:iCs/>
                <w:color w:val="FFFFFF"/>
                <w:szCs w:val="20"/>
                <w:lang w:eastAsia="en-AU"/>
              </w:rPr>
              <w:t xml:space="preserve"> </w:t>
            </w:r>
          </w:p>
        </w:tc>
        <w:tc>
          <w:tcPr>
            <w:tcW w:w="1843"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746768">
              <w:rPr>
                <w:rFonts w:eastAsiaTheme="minorEastAsia" w:cs="Calibri"/>
                <w:i/>
                <w:iCs/>
                <w:color w:val="FFFFFF"/>
                <w:szCs w:val="20"/>
                <w:lang w:eastAsia="en-AU"/>
              </w:rPr>
              <w:t xml:space="preserve"> </w:t>
            </w:r>
          </w:p>
        </w:tc>
        <w:tc>
          <w:tcPr>
            <w:tcW w:w="79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746768">
              <w:rPr>
                <w:rFonts w:eastAsiaTheme="minorEastAsia" w:cs="Calibri"/>
                <w:i/>
                <w:iCs/>
                <w:color w:val="FFFFFF"/>
                <w:szCs w:val="20"/>
                <w:lang w:eastAsia="en-AU"/>
              </w:rPr>
              <w:t xml:space="preserve"> </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szCs w:val="20"/>
                <w:lang w:eastAsia="en-AU"/>
              </w:rPr>
            </w:pPr>
            <w:r w:rsidRPr="00746768">
              <w:rPr>
                <w:rFonts w:eastAsiaTheme="minorEastAsia" w:cs="Calibri"/>
                <w:color w:val="000000"/>
                <w:szCs w:val="20"/>
                <w:lang w:eastAsia="en-AU"/>
              </w:rPr>
              <w:t>Derivative financial instruments</w:t>
            </w:r>
          </w:p>
        </w:tc>
        <w:tc>
          <w:tcPr>
            <w:tcW w:w="850"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2 689</w:t>
            </w:r>
          </w:p>
        </w:tc>
        <w:tc>
          <w:tcPr>
            <w:tcW w:w="1701"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(1 567)</w:t>
            </w:r>
          </w:p>
        </w:tc>
        <w:tc>
          <w:tcPr>
            <w:tcW w:w="1843"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1 122</w:t>
            </w:r>
          </w:p>
        </w:tc>
        <w:tc>
          <w:tcPr>
            <w:tcW w:w="79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(648)</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474</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b/>
                <w:bCs/>
                <w:color w:val="000000"/>
                <w:szCs w:val="20"/>
                <w:lang w:eastAsia="en-AU"/>
              </w:rPr>
            </w:pPr>
            <w:r w:rsidRPr="00746768">
              <w:rPr>
                <w:rFonts w:eastAsiaTheme="minorEastAsia" w:cs="Calibri"/>
                <w:b/>
                <w:bCs/>
                <w:color w:val="000000"/>
                <w:szCs w:val="20"/>
                <w:lang w:eastAsia="en-AU"/>
              </w:rPr>
              <w:t xml:space="preserve">Financial liabilities </w:t>
            </w:r>
          </w:p>
        </w:tc>
        <w:tc>
          <w:tcPr>
            <w:tcW w:w="850"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c>
          <w:tcPr>
            <w:tcW w:w="1701"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c>
          <w:tcPr>
            <w:tcW w:w="1843"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c>
          <w:tcPr>
            <w:tcW w:w="794"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single" w:sz="12" w:space="0" w:color="auto"/>
              <w:right w:val="nil"/>
            </w:tcBorders>
          </w:tcPr>
          <w:p w:rsidR="00BB6F1F" w:rsidRPr="00746768" w:rsidRDefault="00BB6F1F" w:rsidP="00AC68FF">
            <w:pPr>
              <w:keepLines w:val="0"/>
              <w:autoSpaceDE w:val="0"/>
              <w:autoSpaceDN w:val="0"/>
              <w:adjustRightInd w:val="0"/>
              <w:rPr>
                <w:rFonts w:eastAsiaTheme="minorEastAsia" w:cs="Calibri"/>
                <w:color w:val="000000"/>
                <w:szCs w:val="20"/>
                <w:lang w:eastAsia="en-AU"/>
              </w:rPr>
            </w:pPr>
            <w:r w:rsidRPr="00746768">
              <w:rPr>
                <w:rFonts w:eastAsiaTheme="minorEastAsia" w:cs="Calibri"/>
                <w:color w:val="000000"/>
                <w:szCs w:val="20"/>
                <w:lang w:eastAsia="en-AU"/>
              </w:rPr>
              <w:t>Derivative financial instruments</w:t>
            </w:r>
          </w:p>
        </w:tc>
        <w:tc>
          <w:tcPr>
            <w:tcW w:w="850" w:type="dxa"/>
            <w:tcBorders>
              <w:top w:val="nil"/>
              <w:left w:val="nil"/>
              <w:bottom w:val="single" w:sz="12"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2 772</w:t>
            </w:r>
          </w:p>
        </w:tc>
        <w:tc>
          <w:tcPr>
            <w:tcW w:w="1701" w:type="dxa"/>
            <w:tcBorders>
              <w:top w:val="nil"/>
              <w:left w:val="nil"/>
              <w:bottom w:val="single" w:sz="12"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(1 567)</w:t>
            </w:r>
          </w:p>
        </w:tc>
        <w:tc>
          <w:tcPr>
            <w:tcW w:w="1843" w:type="dxa"/>
            <w:tcBorders>
              <w:top w:val="nil"/>
              <w:left w:val="nil"/>
              <w:bottom w:val="single" w:sz="12"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1 205</w:t>
            </w:r>
          </w:p>
        </w:tc>
        <w:tc>
          <w:tcPr>
            <w:tcW w:w="794" w:type="dxa"/>
            <w:tcBorders>
              <w:top w:val="nil"/>
              <w:left w:val="nil"/>
              <w:bottom w:val="single" w:sz="12"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(978)</w:t>
            </w:r>
          </w:p>
        </w:tc>
        <w:tc>
          <w:tcPr>
            <w:tcW w:w="907" w:type="dxa"/>
            <w:tcBorders>
              <w:top w:val="nil"/>
              <w:left w:val="nil"/>
              <w:bottom w:val="single" w:sz="12"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226</w:t>
            </w:r>
          </w:p>
        </w:tc>
      </w:tr>
    </w:tbl>
    <w:p w:rsidR="00BB6F1F" w:rsidRDefault="00BB6F1F" w:rsidP="00AC68FF">
      <w:pPr>
        <w:pStyle w:val="Note"/>
      </w:pPr>
      <w:r>
        <w:t>Note:</w:t>
      </w:r>
    </w:p>
    <w:p w:rsidR="00BB6F1F" w:rsidRDefault="00BB6F1F" w:rsidP="00AC68FF">
      <w:pPr>
        <w:pStyle w:val="Note"/>
      </w:pPr>
      <w:r>
        <w:t>(a)</w:t>
      </w:r>
      <w:r>
        <w:tab/>
        <w:t>Master netting or similar arrangements is only disclosed for the whole of State as they are only material for the State’s insurance entities in the public financial corporations sector.</w:t>
      </w:r>
    </w:p>
    <w:p w:rsidR="00BB6F1F" w:rsidRDefault="00BB6F1F" w:rsidP="00AC68FF"/>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AC68FF">
      <w:pPr>
        <w:pStyle w:val="Heading4"/>
        <w:spacing w:before="120"/>
      </w:pPr>
      <w:r>
        <w:lastRenderedPageBreak/>
        <w:t>Net gain or loss by category of financial instruments</w:t>
      </w:r>
    </w:p>
    <w:p w:rsidR="00BB6F1F" w:rsidRDefault="00BB6F1F" w:rsidP="00AC68FF">
      <w:r>
        <w:t>The net gains or losses on financial assets and liabilities held at 30 June 2017 are determined as follows:</w:t>
      </w:r>
    </w:p>
    <w:p w:rsidR="00BB6F1F" w:rsidRDefault="00BB6F1F" w:rsidP="00AC68FF">
      <w:pPr>
        <w:pStyle w:val="ListBullet"/>
      </w:pPr>
      <w:r>
        <w:t>for loans and receivables and available for sale investments, the net gain or loss is calculated by taking the interest revenue, plus or minus foreign exchange gains or losses arising from revaluation of the financial assets, and minus any impairment recognised in the net result;</w:t>
      </w:r>
    </w:p>
    <w:p w:rsidR="00BB6F1F" w:rsidRPr="003E5253" w:rsidRDefault="00BB6F1F" w:rsidP="009F6632">
      <w:pPr>
        <w:pStyle w:val="ListBullet"/>
        <w:spacing w:before="100"/>
      </w:pPr>
      <w:r w:rsidRPr="003E5253">
        <w:lastRenderedPageBreak/>
        <w:t>for financial liabilities measured at amortised cost, the net gain or loss is calculated by taking the interest expense, plus or minus foreign exchange gains or losses arising from the revaluation of financial liabilities measured at amortised cost; and</w:t>
      </w:r>
    </w:p>
    <w:p w:rsidR="00BB6F1F" w:rsidRPr="003E5253" w:rsidRDefault="00BB6F1F" w:rsidP="00AC68FF">
      <w:pPr>
        <w:pStyle w:val="ListBullet"/>
      </w:pPr>
      <w:r w:rsidRPr="003E5253">
        <w:t xml:space="preserve">for financial assets and liabilities that are held for trading or designated at fair value through profit or loss, the net gain or loss is calculated by taking the movement in the fair value of the financial asset or liability. </w:t>
      </w:r>
    </w:p>
    <w:p w:rsidR="00BB6F1F" w:rsidRPr="003E5253" w:rsidRDefault="00BB6F1F" w:rsidP="00AC68FF">
      <w:pPr>
        <w:pStyle w:val="ListBullet"/>
        <w:sectPr w:rsidR="00BB6F1F" w:rsidRPr="003E5253" w:rsidSect="00AC68FF">
          <w:type w:val="continuous"/>
          <w:pgSz w:w="11907" w:h="16839" w:code="9"/>
          <w:pgMar w:top="1134" w:right="1134" w:bottom="1134" w:left="1134" w:header="624" w:footer="567" w:gutter="0"/>
          <w:cols w:num="2" w:space="709"/>
          <w:docGrid w:linePitch="360"/>
        </w:sectPr>
      </w:pPr>
    </w:p>
    <w:p w:rsidR="00343347" w:rsidRPr="00343347" w:rsidRDefault="00BB6F1F" w:rsidP="00343347">
      <w:pPr>
        <w:pStyle w:val="TableHeading"/>
        <w:rPr>
          <w:bCs/>
          <w:lang w:val="en-US"/>
        </w:rPr>
      </w:pPr>
      <w:r>
        <w:lastRenderedPageBreak/>
        <w:t>Net gain or loss by category of financial instruments</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343347" w:rsidRPr="00343347" w:rsidTr="00E977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left w:val="nil"/>
              <w:bottom w:val="nil"/>
              <w:right w:val="nil"/>
            </w:tcBorders>
            <w:shd w:val="solid" w:color="000000" w:fill="auto"/>
          </w:tcPr>
          <w:p w:rsidR="00343347" w:rsidRPr="00343347" w:rsidRDefault="00343347" w:rsidP="00343347">
            <w:pPr>
              <w:autoSpaceDE w:val="0"/>
              <w:autoSpaceDN w:val="0"/>
              <w:adjustRightInd w:val="0"/>
              <w:rPr>
                <w:rFonts w:eastAsiaTheme="minorEastAsia" w:cs="Calibri"/>
                <w:b/>
                <w:bCs/>
                <w:color w:val="FFFFFF"/>
                <w:lang w:eastAsia="en-AU"/>
              </w:rPr>
            </w:pPr>
            <w:r w:rsidRPr="00343347">
              <w:rPr>
                <w:rFonts w:eastAsiaTheme="minorEastAsia" w:cs="Calibri"/>
                <w:b/>
                <w:bCs/>
                <w:color w:val="FFFFFF"/>
                <w:lang w:eastAsia="en-AU"/>
              </w:rPr>
              <w:t xml:space="preserve"> </w:t>
            </w:r>
          </w:p>
        </w:tc>
        <w:tc>
          <w:tcPr>
            <w:tcW w:w="1814" w:type="dxa"/>
            <w:gridSpan w:val="2"/>
            <w:tcBorders>
              <w:top w:val="single" w:sz="6" w:space="0" w:color="auto"/>
              <w:left w:val="nil"/>
              <w:bottom w:val="nil"/>
              <w:right w:val="nil"/>
            </w:tcBorders>
            <w:shd w:val="solid" w:color="000000" w:fill="auto"/>
          </w:tcPr>
          <w:p w:rsidR="00343347" w:rsidRPr="00343347" w:rsidRDefault="00343347" w:rsidP="00343347">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343347">
              <w:rPr>
                <w:rFonts w:eastAsiaTheme="minorEastAsia" w:cs="Calibri"/>
                <w:iCs/>
                <w:color w:val="FFFFFF"/>
                <w:lang w:eastAsia="en-AU"/>
              </w:rPr>
              <w:t>State of Victoria</w:t>
            </w:r>
          </w:p>
        </w:tc>
        <w:tc>
          <w:tcPr>
            <w:tcW w:w="1814" w:type="dxa"/>
            <w:gridSpan w:val="2"/>
            <w:tcBorders>
              <w:top w:val="single" w:sz="6" w:space="0" w:color="auto"/>
              <w:left w:val="nil"/>
              <w:bottom w:val="nil"/>
              <w:right w:val="nil"/>
            </w:tcBorders>
            <w:shd w:val="solid" w:color="000000" w:fill="auto"/>
          </w:tcPr>
          <w:p w:rsidR="00343347" w:rsidRPr="00343347" w:rsidRDefault="00343347" w:rsidP="00E97FD9">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343347">
              <w:rPr>
                <w:rFonts w:eastAsiaTheme="minorEastAsia" w:cs="Calibri"/>
                <w:iCs/>
                <w:color w:val="FFFFFF"/>
                <w:lang w:eastAsia="en-AU"/>
              </w:rPr>
              <w:t xml:space="preserve">General </w:t>
            </w:r>
            <w:r w:rsidR="00E97FD9">
              <w:rPr>
                <w:rFonts w:eastAsiaTheme="minorEastAsia" w:cs="Calibri"/>
                <w:iCs/>
                <w:color w:val="FFFFFF"/>
                <w:lang w:eastAsia="en-AU"/>
              </w:rPr>
              <w:br/>
            </w:r>
            <w:r w:rsidRPr="00343347">
              <w:rPr>
                <w:rFonts w:eastAsiaTheme="minorEastAsia" w:cs="Calibri"/>
                <w:iCs/>
                <w:color w:val="FFFFFF"/>
                <w:lang w:eastAsia="en-AU"/>
              </w:rPr>
              <w:t>government sector</w:t>
            </w:r>
          </w:p>
        </w:tc>
      </w:tr>
      <w:tr w:rsidR="00343347" w:rsidRPr="00343347" w:rsidTr="003433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auto"/>
              <w:right w:val="nil"/>
            </w:tcBorders>
            <w:shd w:val="solid" w:color="000000" w:fill="auto"/>
          </w:tcPr>
          <w:p w:rsidR="00343347" w:rsidRPr="00343347" w:rsidRDefault="00343347" w:rsidP="00343347">
            <w:pPr>
              <w:keepLines w:val="0"/>
              <w:autoSpaceDE w:val="0"/>
              <w:autoSpaceDN w:val="0"/>
              <w:adjustRightInd w:val="0"/>
              <w:rPr>
                <w:rFonts w:eastAsiaTheme="minorEastAsia" w:cs="Calibri"/>
                <w:color w:val="FFFFFF"/>
                <w:lang w:eastAsia="en-AU"/>
              </w:rPr>
            </w:pPr>
            <w:r w:rsidRPr="00343347">
              <w:rPr>
                <w:rFonts w:eastAsiaTheme="minorEastAsia" w:cs="Calibri"/>
                <w:color w:val="FFFFFF"/>
                <w:lang w:eastAsia="en-AU"/>
              </w:rPr>
              <w:t xml:space="preserve"> </w:t>
            </w:r>
          </w:p>
        </w:tc>
        <w:tc>
          <w:tcPr>
            <w:tcW w:w="907" w:type="dxa"/>
            <w:tcBorders>
              <w:top w:val="nil"/>
              <w:left w:val="nil"/>
              <w:bottom w:val="single" w:sz="6" w:space="0" w:color="auto"/>
              <w:right w:val="nil"/>
            </w:tcBorders>
            <w:shd w:val="solid" w:color="000000" w:fill="auto"/>
          </w:tcPr>
          <w:p w:rsidR="00343347" w:rsidRPr="00343347" w:rsidRDefault="00343347" w:rsidP="0034334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343347">
              <w:rPr>
                <w:rFonts w:eastAsiaTheme="minorEastAsia" w:cs="Calibri"/>
                <w:iCs/>
                <w:color w:val="FFFFFF"/>
                <w:lang w:eastAsia="en-AU"/>
              </w:rPr>
              <w:t>2017</w:t>
            </w:r>
          </w:p>
        </w:tc>
        <w:tc>
          <w:tcPr>
            <w:tcW w:w="907" w:type="dxa"/>
            <w:tcBorders>
              <w:top w:val="nil"/>
              <w:left w:val="nil"/>
              <w:bottom w:val="single" w:sz="6" w:space="0" w:color="auto"/>
              <w:right w:val="nil"/>
            </w:tcBorders>
            <w:shd w:val="solid" w:color="000000" w:fill="auto"/>
          </w:tcPr>
          <w:p w:rsidR="00343347" w:rsidRPr="00343347" w:rsidRDefault="00343347" w:rsidP="0034334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343347">
              <w:rPr>
                <w:rFonts w:eastAsiaTheme="minorEastAsia" w:cs="Calibri"/>
                <w:iCs/>
                <w:color w:val="FFFFFF"/>
                <w:lang w:eastAsia="en-AU"/>
              </w:rPr>
              <w:t>2016</w:t>
            </w:r>
          </w:p>
        </w:tc>
        <w:tc>
          <w:tcPr>
            <w:tcW w:w="907" w:type="dxa"/>
            <w:tcBorders>
              <w:top w:val="nil"/>
              <w:left w:val="nil"/>
              <w:bottom w:val="single" w:sz="6" w:space="0" w:color="auto"/>
              <w:right w:val="nil"/>
            </w:tcBorders>
            <w:shd w:val="solid" w:color="000000" w:fill="auto"/>
          </w:tcPr>
          <w:p w:rsidR="00343347" w:rsidRPr="00343347" w:rsidRDefault="00343347" w:rsidP="0034334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343347">
              <w:rPr>
                <w:rFonts w:eastAsiaTheme="minorEastAsia" w:cs="Calibri"/>
                <w:iCs/>
                <w:color w:val="FFFFFF"/>
                <w:lang w:eastAsia="en-AU"/>
              </w:rPr>
              <w:t>2017</w:t>
            </w:r>
          </w:p>
        </w:tc>
        <w:tc>
          <w:tcPr>
            <w:tcW w:w="907" w:type="dxa"/>
            <w:tcBorders>
              <w:top w:val="nil"/>
              <w:left w:val="nil"/>
              <w:bottom w:val="single" w:sz="6" w:space="0" w:color="auto"/>
              <w:right w:val="nil"/>
            </w:tcBorders>
            <w:shd w:val="solid" w:color="000000" w:fill="auto"/>
          </w:tcPr>
          <w:p w:rsidR="00343347" w:rsidRPr="00343347" w:rsidRDefault="00343347" w:rsidP="0034334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343347">
              <w:rPr>
                <w:rFonts w:eastAsiaTheme="minorEastAsia" w:cs="Calibri"/>
                <w:iCs/>
                <w:color w:val="FFFFFF"/>
                <w:lang w:eastAsia="en-AU"/>
              </w:rPr>
              <w:t>2016</w:t>
            </w:r>
          </w:p>
        </w:tc>
      </w:tr>
      <w:tr w:rsidR="00343347" w:rsidRPr="00343347" w:rsidTr="00343347">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343347" w:rsidRPr="00343347" w:rsidRDefault="00343347" w:rsidP="00343347">
            <w:pPr>
              <w:keepLines w:val="0"/>
              <w:autoSpaceDE w:val="0"/>
              <w:autoSpaceDN w:val="0"/>
              <w:adjustRightInd w:val="0"/>
              <w:rPr>
                <w:rFonts w:eastAsiaTheme="minorEastAsia" w:cs="Calibri"/>
                <w:b/>
                <w:bCs/>
                <w:color w:val="000000"/>
                <w:lang w:eastAsia="en-AU"/>
              </w:rPr>
            </w:pPr>
            <w:r w:rsidRPr="00343347">
              <w:rPr>
                <w:rFonts w:eastAsiaTheme="minorEastAsia" w:cs="Calibri"/>
                <w:b/>
                <w:bCs/>
                <w:color w:val="000000"/>
                <w:lang w:eastAsia="en-AU"/>
              </w:rPr>
              <w:t>Financial assets</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343347">
              <w:rPr>
                <w:rFonts w:eastAsiaTheme="minorEastAsia" w:cs="Calibri"/>
                <w:color w:val="000000"/>
                <w:lang w:eastAsia="en-AU"/>
              </w:rPr>
              <w:t xml:space="preserve"> </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343347">
              <w:rPr>
                <w:rFonts w:eastAsiaTheme="minorEastAsia" w:cs="Calibri"/>
                <w:i/>
                <w:iCs/>
                <w:color w:val="000000"/>
                <w:lang w:eastAsia="en-AU"/>
              </w:rPr>
              <w:t xml:space="preserve"> </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343347">
              <w:rPr>
                <w:rFonts w:eastAsiaTheme="minorEastAsia" w:cs="Calibri"/>
                <w:i/>
                <w:iCs/>
                <w:color w:val="000000"/>
                <w:lang w:eastAsia="en-AU"/>
              </w:rPr>
              <w:t xml:space="preserve"> </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343347">
              <w:rPr>
                <w:rFonts w:eastAsiaTheme="minorEastAsia" w:cs="Calibri"/>
                <w:i/>
                <w:iCs/>
                <w:color w:val="000000"/>
                <w:lang w:eastAsia="en-AU"/>
              </w:rPr>
              <w:t xml:space="preserve"> </w:t>
            </w:r>
          </w:p>
        </w:tc>
      </w:tr>
      <w:tr w:rsidR="00343347" w:rsidRPr="00343347" w:rsidTr="00343347">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343347" w:rsidRPr="00343347" w:rsidRDefault="00343347" w:rsidP="00343347">
            <w:pPr>
              <w:keepLines w:val="0"/>
              <w:autoSpaceDE w:val="0"/>
              <w:autoSpaceDN w:val="0"/>
              <w:adjustRightInd w:val="0"/>
              <w:rPr>
                <w:rFonts w:eastAsiaTheme="minorEastAsia" w:cs="Calibri"/>
                <w:color w:val="000000"/>
                <w:lang w:eastAsia="en-AU"/>
              </w:rPr>
            </w:pPr>
            <w:r w:rsidRPr="00343347">
              <w:rPr>
                <w:rFonts w:eastAsiaTheme="minorEastAsia" w:cs="Calibri"/>
                <w:color w:val="000000"/>
                <w:lang w:eastAsia="en-AU"/>
              </w:rPr>
              <w:t xml:space="preserve">Cash and deposits </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219</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(63)</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847</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445</w:t>
            </w:r>
          </w:p>
        </w:tc>
      </w:tr>
      <w:tr w:rsidR="00343347" w:rsidRPr="00343347" w:rsidTr="00343347">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343347" w:rsidRPr="00343347" w:rsidRDefault="00343347" w:rsidP="00343347">
            <w:pPr>
              <w:keepLines w:val="0"/>
              <w:autoSpaceDE w:val="0"/>
              <w:autoSpaceDN w:val="0"/>
              <w:adjustRightInd w:val="0"/>
              <w:rPr>
                <w:rFonts w:eastAsiaTheme="minorEastAsia" w:cs="Calibri"/>
                <w:color w:val="000000"/>
                <w:lang w:eastAsia="en-AU"/>
              </w:rPr>
            </w:pPr>
            <w:r w:rsidRPr="00343347">
              <w:rPr>
                <w:rFonts w:eastAsiaTheme="minorEastAsia" w:cs="Calibri"/>
                <w:color w:val="000000"/>
                <w:lang w:eastAsia="en-AU"/>
              </w:rPr>
              <w:t>Designated at fair value through the operating statement</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343347">
              <w:rPr>
                <w:rFonts w:eastAsiaTheme="minorEastAsia" w:cs="Calibri"/>
                <w:color w:val="000000"/>
                <w:lang w:eastAsia="en-AU"/>
              </w:rPr>
              <w:t>2 384</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(108)</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w:t>
            </w:r>
          </w:p>
        </w:tc>
      </w:tr>
      <w:tr w:rsidR="00343347" w:rsidRPr="00343347" w:rsidTr="00343347">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343347" w:rsidRPr="00343347" w:rsidRDefault="00343347" w:rsidP="00343347">
            <w:pPr>
              <w:keepLines w:val="0"/>
              <w:autoSpaceDE w:val="0"/>
              <w:autoSpaceDN w:val="0"/>
              <w:adjustRightInd w:val="0"/>
              <w:rPr>
                <w:rFonts w:eastAsiaTheme="minorEastAsia" w:cs="Calibri"/>
                <w:color w:val="000000"/>
                <w:lang w:eastAsia="en-AU"/>
              </w:rPr>
            </w:pPr>
            <w:r w:rsidRPr="00343347">
              <w:rPr>
                <w:rFonts w:eastAsiaTheme="minorEastAsia" w:cs="Calibri"/>
                <w:color w:val="000000"/>
                <w:lang w:eastAsia="en-AU"/>
              </w:rPr>
              <w:t>Held-for-trading at fair value through the operating statement</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w:t>
            </w:r>
          </w:p>
        </w:tc>
      </w:tr>
      <w:tr w:rsidR="00343347" w:rsidRPr="00343347" w:rsidTr="00343347">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343347" w:rsidRPr="00343347" w:rsidRDefault="00343347" w:rsidP="00343347">
            <w:pPr>
              <w:keepLines w:val="0"/>
              <w:autoSpaceDE w:val="0"/>
              <w:autoSpaceDN w:val="0"/>
              <w:adjustRightInd w:val="0"/>
              <w:rPr>
                <w:rFonts w:eastAsiaTheme="minorEastAsia" w:cs="Calibri"/>
                <w:color w:val="000000"/>
                <w:lang w:eastAsia="en-AU"/>
              </w:rPr>
            </w:pPr>
            <w:r w:rsidRPr="00343347">
              <w:rPr>
                <w:rFonts w:eastAsiaTheme="minorEastAsia" w:cs="Calibri"/>
                <w:color w:val="000000"/>
                <w:lang w:eastAsia="en-AU"/>
              </w:rPr>
              <w:t>Loans and receivables</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(31)</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(10)</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r>
      <w:tr w:rsidR="00343347" w:rsidRPr="00343347" w:rsidTr="00343347">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auto"/>
              <w:right w:val="nil"/>
            </w:tcBorders>
          </w:tcPr>
          <w:p w:rsidR="00343347" w:rsidRPr="00343347" w:rsidRDefault="00343347" w:rsidP="00343347">
            <w:pPr>
              <w:keepLines w:val="0"/>
              <w:autoSpaceDE w:val="0"/>
              <w:autoSpaceDN w:val="0"/>
              <w:adjustRightInd w:val="0"/>
              <w:rPr>
                <w:rFonts w:eastAsiaTheme="minorEastAsia" w:cs="Calibri"/>
                <w:color w:val="000000"/>
                <w:lang w:eastAsia="en-AU"/>
              </w:rPr>
            </w:pPr>
            <w:r w:rsidRPr="00343347">
              <w:rPr>
                <w:rFonts w:eastAsiaTheme="minorEastAsia" w:cs="Calibri"/>
                <w:color w:val="000000"/>
                <w:lang w:eastAsia="en-AU"/>
              </w:rPr>
              <w:t>Available-for-sale</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343347">
              <w:rPr>
                <w:rFonts w:eastAsiaTheme="minorEastAsia" w:cs="Calibri"/>
                <w:color w:val="000000"/>
                <w:lang w:eastAsia="en-AU"/>
              </w:rPr>
              <w:t>..</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343347">
              <w:rPr>
                <w:rFonts w:eastAsiaTheme="minorEastAsia" w:cs="Calibri"/>
                <w:color w:val="000000"/>
                <w:lang w:eastAsia="en-AU"/>
              </w:rPr>
              <w:t>..</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343347">
              <w:rPr>
                <w:rFonts w:eastAsiaTheme="minorEastAsia" w:cs="Calibri"/>
                <w:color w:val="000000"/>
                <w:lang w:eastAsia="en-AU"/>
              </w:rPr>
              <w:t>..</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343347">
              <w:rPr>
                <w:rFonts w:eastAsiaTheme="minorEastAsia" w:cs="Calibri"/>
                <w:color w:val="000000"/>
                <w:lang w:eastAsia="en-AU"/>
              </w:rPr>
              <w:t>..</w:t>
            </w:r>
          </w:p>
        </w:tc>
      </w:tr>
      <w:tr w:rsidR="00343347" w:rsidRPr="00343347" w:rsidTr="00343347">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left w:val="nil"/>
              <w:bottom w:val="single" w:sz="6" w:space="0" w:color="auto"/>
              <w:right w:val="nil"/>
            </w:tcBorders>
          </w:tcPr>
          <w:p w:rsidR="00343347" w:rsidRPr="00343347" w:rsidRDefault="00343347" w:rsidP="00343347">
            <w:pPr>
              <w:keepLines w:val="0"/>
              <w:autoSpaceDE w:val="0"/>
              <w:autoSpaceDN w:val="0"/>
              <w:adjustRightInd w:val="0"/>
              <w:rPr>
                <w:rFonts w:eastAsiaTheme="minorEastAsia" w:cs="Calibri"/>
                <w:b/>
                <w:bCs/>
                <w:color w:val="000000"/>
                <w:lang w:eastAsia="en-AU"/>
              </w:rPr>
            </w:pPr>
            <w:r w:rsidRPr="00343347">
              <w:rPr>
                <w:rFonts w:eastAsiaTheme="minorEastAsia" w:cs="Calibri"/>
                <w:b/>
                <w:bCs/>
                <w:color w:val="000000"/>
                <w:lang w:eastAsia="en-AU"/>
              </w:rPr>
              <w:t>Total</w:t>
            </w:r>
          </w:p>
        </w:tc>
        <w:tc>
          <w:tcPr>
            <w:tcW w:w="907" w:type="dxa"/>
            <w:tcBorders>
              <w:top w:val="single" w:sz="6" w:space="0" w:color="auto"/>
              <w:left w:val="nil"/>
              <w:bottom w:val="single" w:sz="6" w:space="0" w:color="auto"/>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343347">
              <w:rPr>
                <w:rFonts w:eastAsiaTheme="minorEastAsia" w:cs="Calibri"/>
                <w:b/>
                <w:bCs/>
                <w:color w:val="000000"/>
                <w:lang w:eastAsia="en-AU"/>
              </w:rPr>
              <w:t>2 575</w:t>
            </w:r>
          </w:p>
        </w:tc>
        <w:tc>
          <w:tcPr>
            <w:tcW w:w="907" w:type="dxa"/>
            <w:tcBorders>
              <w:top w:val="single" w:sz="6" w:space="0" w:color="auto"/>
              <w:left w:val="nil"/>
              <w:bottom w:val="single" w:sz="6" w:space="0" w:color="auto"/>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(178)</w:t>
            </w:r>
          </w:p>
        </w:tc>
        <w:tc>
          <w:tcPr>
            <w:tcW w:w="907" w:type="dxa"/>
            <w:tcBorders>
              <w:top w:val="single" w:sz="6" w:space="0" w:color="auto"/>
              <w:left w:val="nil"/>
              <w:bottom w:val="single" w:sz="6" w:space="0" w:color="auto"/>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856</w:t>
            </w:r>
          </w:p>
        </w:tc>
        <w:tc>
          <w:tcPr>
            <w:tcW w:w="907" w:type="dxa"/>
            <w:tcBorders>
              <w:top w:val="single" w:sz="6" w:space="0" w:color="auto"/>
              <w:left w:val="nil"/>
              <w:bottom w:val="single" w:sz="6" w:space="0" w:color="auto"/>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442</w:t>
            </w:r>
          </w:p>
        </w:tc>
      </w:tr>
      <w:tr w:rsidR="00343347" w:rsidRPr="00343347" w:rsidTr="00343347">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343347" w:rsidRPr="00343347" w:rsidRDefault="00343347" w:rsidP="00343347">
            <w:pPr>
              <w:keepLines w:val="0"/>
              <w:autoSpaceDE w:val="0"/>
              <w:autoSpaceDN w:val="0"/>
              <w:adjustRightInd w:val="0"/>
              <w:rPr>
                <w:rFonts w:eastAsiaTheme="minorEastAsia" w:cs="Calibri"/>
                <w:b/>
                <w:bCs/>
                <w:color w:val="000000"/>
                <w:lang w:eastAsia="en-AU"/>
              </w:rPr>
            </w:pPr>
            <w:r w:rsidRPr="00343347">
              <w:rPr>
                <w:rFonts w:eastAsiaTheme="minorEastAsia" w:cs="Calibri"/>
                <w:b/>
                <w:bCs/>
                <w:color w:val="000000"/>
                <w:lang w:eastAsia="en-AU"/>
              </w:rPr>
              <w:t>Financial liabilities</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343347">
              <w:rPr>
                <w:rFonts w:eastAsiaTheme="minorEastAsia" w:cs="Calibri"/>
                <w:b/>
                <w:bCs/>
                <w:color w:val="000000"/>
                <w:lang w:eastAsia="en-AU"/>
              </w:rPr>
              <w:t xml:space="preserve"> </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343347">
              <w:rPr>
                <w:rFonts w:eastAsiaTheme="minorEastAsia" w:cs="Calibri"/>
                <w:b/>
                <w:bCs/>
                <w:color w:val="000000"/>
                <w:lang w:eastAsia="en-AU"/>
              </w:rPr>
              <w:t xml:space="preserve"> </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343347">
              <w:rPr>
                <w:rFonts w:eastAsiaTheme="minorEastAsia" w:cs="Calibri"/>
                <w:b/>
                <w:bCs/>
                <w:color w:val="000000"/>
                <w:lang w:eastAsia="en-AU"/>
              </w:rPr>
              <w:t xml:space="preserve"> </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343347">
              <w:rPr>
                <w:rFonts w:eastAsiaTheme="minorEastAsia" w:cs="Calibri"/>
                <w:b/>
                <w:bCs/>
                <w:color w:val="000000"/>
                <w:lang w:eastAsia="en-AU"/>
              </w:rPr>
              <w:t xml:space="preserve"> </w:t>
            </w:r>
          </w:p>
        </w:tc>
      </w:tr>
      <w:tr w:rsidR="00343347" w:rsidRPr="00343347" w:rsidTr="00343347">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343347" w:rsidRPr="00343347" w:rsidRDefault="00343347" w:rsidP="00343347">
            <w:pPr>
              <w:keepLines w:val="0"/>
              <w:autoSpaceDE w:val="0"/>
              <w:autoSpaceDN w:val="0"/>
              <w:adjustRightInd w:val="0"/>
              <w:rPr>
                <w:rFonts w:eastAsiaTheme="minorEastAsia" w:cs="Calibri"/>
                <w:color w:val="000000"/>
                <w:lang w:eastAsia="en-AU"/>
              </w:rPr>
            </w:pPr>
            <w:r w:rsidRPr="00343347">
              <w:rPr>
                <w:rFonts w:eastAsiaTheme="minorEastAsia" w:cs="Calibri"/>
                <w:color w:val="000000"/>
                <w:lang w:eastAsia="en-AU"/>
              </w:rPr>
              <w:t>Designated at fair value through the operating statement</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343347">
              <w:rPr>
                <w:rFonts w:eastAsiaTheme="minorEastAsia" w:cs="Calibri"/>
                <w:color w:val="000000"/>
                <w:lang w:eastAsia="en-AU"/>
              </w:rPr>
              <w:t>(1 744)</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343347">
              <w:rPr>
                <w:rFonts w:eastAsiaTheme="minorEastAsia" w:cs="Calibri"/>
                <w:color w:val="000000"/>
                <w:lang w:eastAsia="en-AU"/>
              </w:rPr>
              <w:t>1 226</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r>
      <w:tr w:rsidR="00343347" w:rsidRPr="00343347" w:rsidTr="00343347">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343347" w:rsidRPr="00343347" w:rsidRDefault="00343347" w:rsidP="00343347">
            <w:pPr>
              <w:keepLines w:val="0"/>
              <w:autoSpaceDE w:val="0"/>
              <w:autoSpaceDN w:val="0"/>
              <w:adjustRightInd w:val="0"/>
              <w:rPr>
                <w:rFonts w:eastAsiaTheme="minorEastAsia" w:cs="Calibri"/>
                <w:color w:val="000000"/>
                <w:lang w:eastAsia="en-AU"/>
              </w:rPr>
            </w:pPr>
            <w:r w:rsidRPr="00343347">
              <w:rPr>
                <w:rFonts w:eastAsiaTheme="minorEastAsia" w:cs="Calibri"/>
                <w:color w:val="000000"/>
                <w:lang w:eastAsia="en-AU"/>
              </w:rPr>
              <w:t>Held-for-trading at fair value through the operating statement</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(10)</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68</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343347">
              <w:rPr>
                <w:rFonts w:eastAsiaTheme="minorEastAsia" w:cs="Calibri"/>
                <w:color w:val="000000"/>
                <w:lang w:eastAsia="en-AU"/>
              </w:rPr>
              <w:t>..</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343347">
              <w:rPr>
                <w:rFonts w:eastAsiaTheme="minorEastAsia" w:cs="Calibri"/>
                <w:color w:val="000000"/>
                <w:lang w:eastAsia="en-AU"/>
              </w:rPr>
              <w:t>..</w:t>
            </w:r>
          </w:p>
        </w:tc>
      </w:tr>
      <w:tr w:rsidR="00343347" w:rsidRPr="00343347" w:rsidTr="00343347">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343347" w:rsidRPr="00343347" w:rsidRDefault="00343347" w:rsidP="00343347">
            <w:pPr>
              <w:keepLines w:val="0"/>
              <w:autoSpaceDE w:val="0"/>
              <w:autoSpaceDN w:val="0"/>
              <w:adjustRightInd w:val="0"/>
              <w:rPr>
                <w:rFonts w:eastAsiaTheme="minorEastAsia" w:cs="Calibri"/>
                <w:color w:val="000000"/>
                <w:lang w:eastAsia="en-AU"/>
              </w:rPr>
            </w:pPr>
            <w:r w:rsidRPr="00343347">
              <w:rPr>
                <w:rFonts w:eastAsiaTheme="minorEastAsia" w:cs="Calibri"/>
                <w:color w:val="000000"/>
                <w:lang w:eastAsia="en-AU"/>
              </w:rPr>
              <w:t xml:space="preserve">At amortised cost </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343347">
              <w:rPr>
                <w:rFonts w:eastAsiaTheme="minorEastAsia" w:cs="Calibri"/>
                <w:color w:val="000000"/>
                <w:lang w:eastAsia="en-AU"/>
              </w:rPr>
              <w:t>..</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343347">
              <w:rPr>
                <w:rFonts w:eastAsiaTheme="minorEastAsia" w:cs="Calibri"/>
                <w:color w:val="000000"/>
                <w:lang w:eastAsia="en-AU"/>
              </w:rPr>
              <w:t>..</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343347">
              <w:rPr>
                <w:rFonts w:eastAsiaTheme="minorEastAsia" w:cs="Calibri"/>
                <w:color w:val="000000"/>
                <w:lang w:eastAsia="en-AU"/>
              </w:rPr>
              <w:t>..</w:t>
            </w:r>
          </w:p>
        </w:tc>
        <w:tc>
          <w:tcPr>
            <w:tcW w:w="907" w:type="dxa"/>
            <w:tcBorders>
              <w:top w:val="nil"/>
              <w:left w:val="nil"/>
              <w:bottom w:val="nil"/>
              <w:right w:val="nil"/>
            </w:tcBorders>
          </w:tcPr>
          <w:p w:rsidR="00343347" w:rsidRPr="00343347" w:rsidRDefault="00343347" w:rsidP="00343347">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343347">
              <w:rPr>
                <w:rFonts w:eastAsiaTheme="minorEastAsia" w:cs="Calibri"/>
                <w:color w:val="000000"/>
                <w:lang w:eastAsia="en-AU"/>
              </w:rPr>
              <w:t>..</w:t>
            </w:r>
          </w:p>
        </w:tc>
      </w:tr>
      <w:tr w:rsidR="00343347" w:rsidRPr="00343347" w:rsidTr="003433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rsidR="00343347" w:rsidRPr="00343347" w:rsidRDefault="00343347" w:rsidP="00343347">
            <w:pPr>
              <w:keepLines w:val="0"/>
              <w:autoSpaceDE w:val="0"/>
              <w:autoSpaceDN w:val="0"/>
              <w:adjustRightInd w:val="0"/>
              <w:rPr>
                <w:rFonts w:eastAsiaTheme="minorEastAsia" w:cs="Calibri"/>
                <w:bCs/>
                <w:color w:val="000000"/>
                <w:lang w:eastAsia="en-AU"/>
              </w:rPr>
            </w:pPr>
            <w:r w:rsidRPr="00343347">
              <w:rPr>
                <w:rFonts w:eastAsiaTheme="minorEastAsia" w:cs="Calibri"/>
                <w:bCs/>
                <w:color w:val="000000"/>
                <w:lang w:eastAsia="en-AU"/>
              </w:rPr>
              <w:t>Total</w:t>
            </w:r>
          </w:p>
        </w:tc>
        <w:tc>
          <w:tcPr>
            <w:tcW w:w="907" w:type="dxa"/>
            <w:tcBorders>
              <w:top w:val="single" w:sz="6" w:space="0" w:color="auto"/>
              <w:bottom w:val="single" w:sz="12" w:space="0" w:color="auto"/>
            </w:tcBorders>
          </w:tcPr>
          <w:p w:rsidR="00343347" w:rsidRPr="00343347" w:rsidRDefault="00343347" w:rsidP="0034334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343347">
              <w:rPr>
                <w:rFonts w:eastAsiaTheme="minorEastAsia" w:cs="Calibri"/>
                <w:bCs/>
                <w:color w:val="000000"/>
                <w:lang w:eastAsia="en-AU"/>
              </w:rPr>
              <w:t>(1 754)</w:t>
            </w:r>
          </w:p>
        </w:tc>
        <w:tc>
          <w:tcPr>
            <w:tcW w:w="907" w:type="dxa"/>
            <w:tcBorders>
              <w:top w:val="single" w:sz="6" w:space="0" w:color="auto"/>
              <w:bottom w:val="single" w:sz="12" w:space="0" w:color="auto"/>
            </w:tcBorders>
          </w:tcPr>
          <w:p w:rsidR="00343347" w:rsidRPr="00343347" w:rsidRDefault="00343347" w:rsidP="0034334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343347">
              <w:rPr>
                <w:rFonts w:eastAsiaTheme="minorEastAsia" w:cs="Calibri"/>
                <w:bCs/>
                <w:color w:val="000000"/>
                <w:lang w:eastAsia="en-AU"/>
              </w:rPr>
              <w:t>1 293</w:t>
            </w:r>
          </w:p>
        </w:tc>
        <w:tc>
          <w:tcPr>
            <w:tcW w:w="907" w:type="dxa"/>
            <w:tcBorders>
              <w:top w:val="single" w:sz="6" w:space="0" w:color="auto"/>
              <w:bottom w:val="single" w:sz="12" w:space="0" w:color="auto"/>
            </w:tcBorders>
          </w:tcPr>
          <w:p w:rsidR="00343347" w:rsidRPr="00343347" w:rsidRDefault="00343347" w:rsidP="0034334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w:t>
            </w:r>
          </w:p>
        </w:tc>
        <w:tc>
          <w:tcPr>
            <w:tcW w:w="907" w:type="dxa"/>
            <w:tcBorders>
              <w:top w:val="single" w:sz="6" w:space="0" w:color="auto"/>
              <w:bottom w:val="single" w:sz="12" w:space="0" w:color="auto"/>
            </w:tcBorders>
          </w:tcPr>
          <w:p w:rsidR="00343347" w:rsidRPr="00343347" w:rsidRDefault="00343347" w:rsidP="00343347">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w:t>
            </w:r>
          </w:p>
        </w:tc>
      </w:tr>
    </w:tbl>
    <w:p w:rsidR="00BB6F1F" w:rsidRPr="003E5253" w:rsidRDefault="00BB6F1F" w:rsidP="00343347"/>
    <w:p w:rsidR="00BB6F1F" w:rsidRPr="003E5253" w:rsidRDefault="00BB6F1F" w:rsidP="00AC68FF">
      <w:r w:rsidRPr="003E5253">
        <w:br w:type="page"/>
      </w:r>
    </w:p>
    <w:p w:rsidR="00BB6F1F" w:rsidRPr="00746768" w:rsidRDefault="00BB6F1F" w:rsidP="00AC68FF">
      <w:pPr>
        <w:pStyle w:val="TableHeading"/>
        <w:rPr>
          <w:bCs/>
          <w:lang w:val="en-US"/>
        </w:rPr>
      </w:pPr>
      <w:r w:rsidRPr="00560915">
        <w:lastRenderedPageBreak/>
        <w:t xml:space="preserve">Breakdown of interest </w:t>
      </w:r>
      <w:r w:rsidRPr="003E5253">
        <w:t>revenue</w:t>
      </w:r>
      <w:r w:rsidRPr="00560915">
        <w:t xml:space="preserve"> </w:t>
      </w:r>
      <w:r w:rsidRPr="00560915">
        <w:rPr>
          <w:vertAlign w:val="superscript"/>
        </w:rPr>
        <w:t>(a)</w:t>
      </w:r>
      <w:r>
        <w:tab/>
        <w:t>($ million)</w:t>
      </w:r>
    </w:p>
    <w:tbl>
      <w:tblPr>
        <w:tblStyle w:val="DTFTable"/>
        <w:tblW w:w="9642" w:type="dxa"/>
        <w:tblInd w:w="45" w:type="dxa"/>
        <w:tblLayout w:type="fixed"/>
        <w:tblCellMar>
          <w:left w:w="45" w:type="dxa"/>
          <w:right w:w="45" w:type="dxa"/>
        </w:tblCellMar>
        <w:tblLook w:val="06E0" w:firstRow="1" w:lastRow="1" w:firstColumn="1" w:lastColumn="0" w:noHBand="1" w:noVBand="1"/>
      </w:tblPr>
      <w:tblGrid>
        <w:gridCol w:w="6378"/>
        <w:gridCol w:w="816"/>
        <w:gridCol w:w="816"/>
        <w:gridCol w:w="816"/>
        <w:gridCol w:w="816"/>
      </w:tblGrid>
      <w:tr w:rsidR="00BB6F1F" w:rsidRPr="00746768" w:rsidTr="00E97F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78" w:type="dxa"/>
            <w:tcBorders>
              <w:top w:val="nil"/>
              <w:left w:val="nil"/>
              <w:bottom w:val="nil"/>
              <w:right w:val="nil"/>
            </w:tcBorders>
            <w:shd w:val="solid" w:color="000000" w:fill="auto"/>
          </w:tcPr>
          <w:p w:rsidR="00BB6F1F" w:rsidRPr="00746768" w:rsidRDefault="00BB6F1F" w:rsidP="00AC68FF">
            <w:pPr>
              <w:autoSpaceDE w:val="0"/>
              <w:autoSpaceDN w:val="0"/>
              <w:adjustRightInd w:val="0"/>
              <w:rPr>
                <w:rFonts w:eastAsiaTheme="minorEastAsia" w:cs="Calibri"/>
                <w:b/>
                <w:bCs/>
                <w:color w:val="FFFFFF"/>
                <w:lang w:eastAsia="en-AU"/>
              </w:rPr>
            </w:pPr>
            <w:r w:rsidRPr="00746768">
              <w:rPr>
                <w:rFonts w:eastAsiaTheme="minorEastAsia" w:cs="Calibri"/>
                <w:b/>
                <w:bCs/>
                <w:color w:val="FFFFFF"/>
                <w:lang w:eastAsia="en-AU"/>
              </w:rPr>
              <w:t xml:space="preserve"> </w:t>
            </w:r>
          </w:p>
        </w:tc>
        <w:tc>
          <w:tcPr>
            <w:tcW w:w="1632" w:type="dxa"/>
            <w:gridSpan w:val="2"/>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State of Victoria</w:t>
            </w:r>
          </w:p>
        </w:tc>
        <w:tc>
          <w:tcPr>
            <w:tcW w:w="1627" w:type="dxa"/>
            <w:gridSpan w:val="2"/>
            <w:tcBorders>
              <w:top w:val="nil"/>
              <w:left w:val="nil"/>
              <w:bottom w:val="nil"/>
              <w:right w:val="nil"/>
            </w:tcBorders>
            <w:shd w:val="solid" w:color="000000" w:fill="auto"/>
          </w:tcPr>
          <w:p w:rsidR="00BB6F1F" w:rsidRPr="00746768" w:rsidRDefault="00BB6F1F" w:rsidP="00E97FD9">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General </w:t>
            </w:r>
            <w:r w:rsidR="00E97FD9">
              <w:rPr>
                <w:rFonts w:eastAsiaTheme="minorEastAsia" w:cs="Calibri"/>
                <w:iCs/>
                <w:color w:val="FFFFFF"/>
                <w:lang w:eastAsia="en-AU"/>
              </w:rPr>
              <w:br/>
            </w:r>
            <w:r w:rsidRPr="00746768">
              <w:rPr>
                <w:rFonts w:eastAsiaTheme="minorEastAsia" w:cs="Calibri"/>
                <w:iCs/>
                <w:color w:val="FFFFFF"/>
                <w:lang w:eastAsia="en-AU"/>
              </w:rPr>
              <w:t>government sector</w:t>
            </w:r>
          </w:p>
        </w:tc>
      </w:tr>
      <w:tr w:rsidR="00BB6F1F" w:rsidRPr="00746768" w:rsidTr="00E97F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78"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rPr>
                <w:rFonts w:eastAsiaTheme="minorEastAsia" w:cs="Calibri"/>
                <w:color w:val="FFFFFF"/>
                <w:lang w:eastAsia="en-AU"/>
              </w:rPr>
            </w:pPr>
            <w:r w:rsidRPr="00746768">
              <w:rPr>
                <w:rFonts w:eastAsiaTheme="minorEastAsia" w:cs="Calibri"/>
                <w:color w:val="FFFFFF"/>
                <w:lang w:eastAsia="en-AU"/>
              </w:rPr>
              <w:t xml:space="preserve"> </w:t>
            </w:r>
          </w:p>
        </w:tc>
        <w:tc>
          <w:tcPr>
            <w:tcW w:w="81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2017</w:t>
            </w:r>
          </w:p>
        </w:tc>
        <w:tc>
          <w:tcPr>
            <w:tcW w:w="81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2016</w:t>
            </w:r>
          </w:p>
        </w:tc>
        <w:tc>
          <w:tcPr>
            <w:tcW w:w="81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2017</w:t>
            </w:r>
          </w:p>
        </w:tc>
        <w:tc>
          <w:tcPr>
            <w:tcW w:w="81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2016</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637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vertAlign w:val="superscript"/>
                <w:lang w:eastAsia="en-AU"/>
              </w:rPr>
            </w:pPr>
            <w:r w:rsidRPr="00746768">
              <w:rPr>
                <w:rFonts w:eastAsiaTheme="minorEastAsia" w:cs="Calibri"/>
                <w:color w:val="000000"/>
                <w:lang w:eastAsia="en-AU"/>
              </w:rPr>
              <w:t xml:space="preserve">Interest revenue from financial assets not at fair value through the operating statement </w:t>
            </w:r>
            <w:r w:rsidRPr="00746768">
              <w:rPr>
                <w:rFonts w:eastAsiaTheme="minorEastAsia" w:cs="Calibri"/>
                <w:color w:val="000000"/>
                <w:vertAlign w:val="superscript"/>
                <w:lang w:eastAsia="en-AU"/>
              </w:rPr>
              <w:t>(b)</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425</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439</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863</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786</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637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Interest revenue from financial assets at fair value through the operating statement</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425</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471</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637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Interest revenue from impaired financial assets</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8" w:type="dxa"/>
            <w:tcBorders>
              <w:top w:val="single" w:sz="6" w:space="0" w:color="auto"/>
              <w:bottom w:val="single" w:sz="12" w:space="0" w:color="auto"/>
            </w:tcBorders>
          </w:tcPr>
          <w:p w:rsidR="00BB6F1F" w:rsidRPr="00746768" w:rsidRDefault="00BB6F1F" w:rsidP="00AC68FF">
            <w:pPr>
              <w:keepLines w:val="0"/>
              <w:autoSpaceDE w:val="0"/>
              <w:autoSpaceDN w:val="0"/>
              <w:adjustRightInd w:val="0"/>
              <w:rPr>
                <w:rFonts w:eastAsiaTheme="minorEastAsia" w:cs="Calibri"/>
                <w:bCs/>
                <w:color w:val="000000"/>
                <w:vertAlign w:val="superscript"/>
                <w:lang w:eastAsia="en-AU"/>
              </w:rPr>
            </w:pPr>
            <w:r w:rsidRPr="00746768">
              <w:rPr>
                <w:rFonts w:eastAsiaTheme="minorEastAsia" w:cs="Calibri"/>
                <w:bCs/>
                <w:color w:val="000000"/>
                <w:lang w:eastAsia="en-AU"/>
              </w:rPr>
              <w:t xml:space="preserve">Total </w:t>
            </w:r>
            <w:r w:rsidRPr="00746768">
              <w:rPr>
                <w:rFonts w:eastAsiaTheme="minorEastAsia" w:cs="Calibri"/>
                <w:bCs/>
                <w:color w:val="000000"/>
                <w:vertAlign w:val="superscript"/>
                <w:lang w:eastAsia="en-AU"/>
              </w:rPr>
              <w:t>(b)</w:t>
            </w:r>
          </w:p>
        </w:tc>
        <w:tc>
          <w:tcPr>
            <w:tcW w:w="816"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850</w:t>
            </w:r>
          </w:p>
        </w:tc>
        <w:tc>
          <w:tcPr>
            <w:tcW w:w="816"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910</w:t>
            </w:r>
          </w:p>
        </w:tc>
        <w:tc>
          <w:tcPr>
            <w:tcW w:w="816"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863</w:t>
            </w:r>
          </w:p>
        </w:tc>
        <w:tc>
          <w:tcPr>
            <w:tcW w:w="816"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786</w:t>
            </w:r>
          </w:p>
        </w:tc>
      </w:tr>
    </w:tbl>
    <w:p w:rsidR="00BB6F1F" w:rsidRDefault="00BB6F1F" w:rsidP="00AC68FF">
      <w:pPr>
        <w:pStyle w:val="Note"/>
      </w:pPr>
      <w:r>
        <w:t>Notes:</w:t>
      </w:r>
    </w:p>
    <w:p w:rsidR="00BB6F1F" w:rsidRDefault="00BB6F1F" w:rsidP="00AC68FF">
      <w:pPr>
        <w:pStyle w:val="Note"/>
      </w:pPr>
      <w:r>
        <w:t>(a)</w:t>
      </w:r>
      <w:r>
        <w:tab/>
        <w:t>These items include amounts that relate to discount interest on financial assets. Therefore, figures in this table cannot be reconciled to the primary financial statements.</w:t>
      </w:r>
    </w:p>
    <w:p w:rsidR="00BB6F1F" w:rsidRPr="004E06C4" w:rsidRDefault="00BB6F1F" w:rsidP="00AC68FF">
      <w:pPr>
        <w:pStyle w:val="Note"/>
      </w:pPr>
      <w:r>
        <w:t>(b)</w:t>
      </w:r>
      <w:r>
        <w:tab/>
      </w:r>
      <w:r w:rsidRPr="008B5089">
        <w:t>June 2016 comparative figures have been restated to reflect the reclassification of borrowings</w:t>
      </w:r>
      <w:r>
        <w:t xml:space="preserve"> and investments </w:t>
      </w:r>
      <w:r w:rsidRPr="008B5089">
        <w:t xml:space="preserve">sold at a premium </w:t>
      </w:r>
      <w:r>
        <w:t xml:space="preserve">/ discount </w:t>
      </w:r>
      <w:r w:rsidRPr="008B5089">
        <w:t>from interes</w:t>
      </w:r>
      <w:r w:rsidR="009F6632">
        <w:t>t expense to interest revenue.</w:t>
      </w:r>
    </w:p>
    <w:p w:rsidR="00BB6F1F" w:rsidRPr="00746768" w:rsidRDefault="00BB6F1F" w:rsidP="00AC68FF">
      <w:pPr>
        <w:pStyle w:val="TableHeading"/>
        <w:rPr>
          <w:bCs/>
          <w:lang w:val="en-US"/>
        </w:rPr>
      </w:pPr>
      <w:r>
        <w:t xml:space="preserve">Breakdown of interest and fee expense items </w:t>
      </w:r>
      <w:r w:rsidRPr="00560915">
        <w:rPr>
          <w:vertAlign w:val="superscript"/>
        </w:rPr>
        <w:t>(a)</w:t>
      </w:r>
      <w:r>
        <w:tab/>
        <w:t>($ million)</w:t>
      </w:r>
    </w:p>
    <w:tbl>
      <w:tblPr>
        <w:tblStyle w:val="DTFTable"/>
        <w:tblW w:w="9642" w:type="dxa"/>
        <w:tblInd w:w="45" w:type="dxa"/>
        <w:tblLayout w:type="fixed"/>
        <w:tblCellMar>
          <w:left w:w="45" w:type="dxa"/>
          <w:right w:w="45" w:type="dxa"/>
        </w:tblCellMar>
        <w:tblLook w:val="06E0" w:firstRow="1" w:lastRow="1" w:firstColumn="1" w:lastColumn="0" w:noHBand="1" w:noVBand="1"/>
      </w:tblPr>
      <w:tblGrid>
        <w:gridCol w:w="6378"/>
        <w:gridCol w:w="131"/>
        <w:gridCol w:w="685"/>
        <w:gridCol w:w="816"/>
        <w:gridCol w:w="816"/>
        <w:gridCol w:w="816"/>
      </w:tblGrid>
      <w:tr w:rsidR="00BB6F1F" w:rsidRPr="00746768" w:rsidTr="00E97F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78" w:type="dxa"/>
            <w:tcBorders>
              <w:top w:val="nil"/>
              <w:left w:val="nil"/>
              <w:bottom w:val="nil"/>
              <w:right w:val="nil"/>
            </w:tcBorders>
            <w:shd w:val="solid" w:color="000000" w:fill="auto"/>
          </w:tcPr>
          <w:p w:rsidR="00BB6F1F" w:rsidRPr="00746768" w:rsidRDefault="00BB6F1F" w:rsidP="00AC68FF">
            <w:pPr>
              <w:autoSpaceDE w:val="0"/>
              <w:autoSpaceDN w:val="0"/>
              <w:adjustRightInd w:val="0"/>
              <w:rPr>
                <w:rFonts w:eastAsiaTheme="minorEastAsia" w:cs="Calibri"/>
                <w:b/>
                <w:bCs/>
                <w:color w:val="FFFFFF"/>
                <w:lang w:eastAsia="en-AU"/>
              </w:rPr>
            </w:pPr>
            <w:r w:rsidRPr="00746768">
              <w:rPr>
                <w:rFonts w:eastAsiaTheme="minorEastAsia" w:cs="Calibri"/>
                <w:b/>
                <w:bCs/>
                <w:color w:val="FFFFFF"/>
                <w:lang w:eastAsia="en-AU"/>
              </w:rPr>
              <w:t xml:space="preserve"> </w:t>
            </w:r>
          </w:p>
        </w:tc>
        <w:tc>
          <w:tcPr>
            <w:tcW w:w="1632" w:type="dxa"/>
            <w:gridSpan w:val="3"/>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State of Victoria</w:t>
            </w:r>
          </w:p>
        </w:tc>
        <w:tc>
          <w:tcPr>
            <w:tcW w:w="1632" w:type="dxa"/>
            <w:gridSpan w:val="2"/>
            <w:tcBorders>
              <w:top w:val="nil"/>
              <w:left w:val="nil"/>
              <w:bottom w:val="nil"/>
              <w:right w:val="nil"/>
            </w:tcBorders>
            <w:shd w:val="solid" w:color="000000" w:fill="auto"/>
          </w:tcPr>
          <w:p w:rsidR="00BB6F1F" w:rsidRPr="00746768" w:rsidRDefault="00BB6F1F" w:rsidP="00E97FD9">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General </w:t>
            </w:r>
            <w:r w:rsidR="00E97FD9">
              <w:rPr>
                <w:rFonts w:eastAsiaTheme="minorEastAsia" w:cs="Calibri"/>
                <w:iCs/>
                <w:color w:val="FFFFFF"/>
                <w:lang w:eastAsia="en-AU"/>
              </w:rPr>
              <w:br/>
            </w:r>
            <w:r w:rsidRPr="00746768">
              <w:rPr>
                <w:rFonts w:eastAsiaTheme="minorEastAsia" w:cs="Calibri"/>
                <w:iCs/>
                <w:color w:val="FFFFFF"/>
                <w:lang w:eastAsia="en-AU"/>
              </w:rPr>
              <w:t>government sector</w:t>
            </w:r>
          </w:p>
        </w:tc>
      </w:tr>
      <w:tr w:rsidR="00BB6F1F" w:rsidRPr="00746768" w:rsidTr="00E97F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78"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rPr>
                <w:rFonts w:eastAsiaTheme="minorEastAsia" w:cs="Calibri"/>
                <w:color w:val="FFFFFF"/>
                <w:lang w:eastAsia="en-AU"/>
              </w:rPr>
            </w:pPr>
            <w:r w:rsidRPr="00746768">
              <w:rPr>
                <w:rFonts w:eastAsiaTheme="minorEastAsia" w:cs="Calibri"/>
                <w:color w:val="FFFFFF"/>
                <w:lang w:eastAsia="en-AU"/>
              </w:rPr>
              <w:t xml:space="preserve"> </w:t>
            </w:r>
          </w:p>
        </w:tc>
        <w:tc>
          <w:tcPr>
            <w:tcW w:w="816" w:type="dxa"/>
            <w:gridSpan w:val="2"/>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2017</w:t>
            </w:r>
          </w:p>
        </w:tc>
        <w:tc>
          <w:tcPr>
            <w:tcW w:w="81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2016</w:t>
            </w:r>
          </w:p>
        </w:tc>
        <w:tc>
          <w:tcPr>
            <w:tcW w:w="81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2017</w:t>
            </w:r>
          </w:p>
        </w:tc>
        <w:tc>
          <w:tcPr>
            <w:tcW w:w="81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2016</w:t>
            </w:r>
          </w:p>
        </w:tc>
      </w:tr>
      <w:tr w:rsidR="00BB6F1F" w:rsidRPr="00746768" w:rsidTr="00E97FD9">
        <w:tc>
          <w:tcPr>
            <w:cnfStyle w:val="001000000000" w:firstRow="0" w:lastRow="0" w:firstColumn="1" w:lastColumn="0" w:oddVBand="0" w:evenVBand="0" w:oddHBand="0" w:evenHBand="0" w:firstRowFirstColumn="0" w:firstRowLastColumn="0" w:lastRowFirstColumn="0" w:lastRowLastColumn="0"/>
            <w:tcW w:w="6509" w:type="dxa"/>
            <w:gridSpan w:val="2"/>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vertAlign w:val="superscript"/>
                <w:lang w:eastAsia="en-AU"/>
              </w:rPr>
            </w:pPr>
            <w:r w:rsidRPr="00746768">
              <w:rPr>
                <w:rFonts w:eastAsiaTheme="minorEastAsia" w:cs="Calibri"/>
                <w:color w:val="000000"/>
                <w:lang w:eastAsia="en-AU"/>
              </w:rPr>
              <w:t xml:space="preserve">Interest expense from financial liabilities not at fair value through the operating statement </w:t>
            </w:r>
            <w:r w:rsidRPr="00746768">
              <w:rPr>
                <w:rFonts w:eastAsiaTheme="minorEastAsia" w:cs="Calibri"/>
                <w:color w:val="000000"/>
                <w:vertAlign w:val="superscript"/>
                <w:lang w:eastAsia="en-AU"/>
              </w:rPr>
              <w:t>(b)</w:t>
            </w:r>
          </w:p>
        </w:tc>
        <w:tc>
          <w:tcPr>
            <w:tcW w:w="685"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914</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900</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1 996</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2 042</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637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Interest expense from financial liabilities at fair value through the operating statement</w:t>
            </w:r>
          </w:p>
        </w:tc>
        <w:tc>
          <w:tcPr>
            <w:tcW w:w="816"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1 932</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2 060</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637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Fee expenses from financial liabilities not at fair value through the operating statement</w:t>
            </w:r>
          </w:p>
        </w:tc>
        <w:tc>
          <w:tcPr>
            <w:tcW w:w="816"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29</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39</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165</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36</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637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Fee expenses from financial liabilities at fair value through the operating statement</w:t>
            </w:r>
          </w:p>
        </w:tc>
        <w:tc>
          <w:tcPr>
            <w:tcW w:w="816"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435</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415</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81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8" w:type="dxa"/>
            <w:tcBorders>
              <w:top w:val="single" w:sz="6" w:space="0" w:color="auto"/>
              <w:bottom w:val="single" w:sz="12" w:space="0" w:color="auto"/>
            </w:tcBorders>
          </w:tcPr>
          <w:p w:rsidR="00BB6F1F" w:rsidRPr="00746768" w:rsidRDefault="00BB6F1F" w:rsidP="00AC68FF">
            <w:pPr>
              <w:keepLines w:val="0"/>
              <w:autoSpaceDE w:val="0"/>
              <w:autoSpaceDN w:val="0"/>
              <w:adjustRightInd w:val="0"/>
              <w:rPr>
                <w:rFonts w:eastAsiaTheme="minorEastAsia" w:cs="Calibri"/>
                <w:bCs/>
                <w:color w:val="000000"/>
                <w:vertAlign w:val="superscript"/>
                <w:lang w:eastAsia="en-AU"/>
              </w:rPr>
            </w:pPr>
            <w:r w:rsidRPr="00746768">
              <w:rPr>
                <w:rFonts w:eastAsiaTheme="minorEastAsia" w:cs="Calibri"/>
                <w:bCs/>
                <w:color w:val="000000"/>
                <w:lang w:eastAsia="en-AU"/>
              </w:rPr>
              <w:t xml:space="preserve">Total </w:t>
            </w:r>
            <w:r w:rsidRPr="00746768">
              <w:rPr>
                <w:rFonts w:eastAsiaTheme="minorEastAsia" w:cs="Calibri"/>
                <w:bCs/>
                <w:color w:val="000000"/>
                <w:vertAlign w:val="superscript"/>
                <w:lang w:eastAsia="en-AU"/>
              </w:rPr>
              <w:t>(b)</w:t>
            </w:r>
          </w:p>
        </w:tc>
        <w:tc>
          <w:tcPr>
            <w:tcW w:w="816" w:type="dxa"/>
            <w:gridSpan w:val="2"/>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3 310</w:t>
            </w:r>
          </w:p>
        </w:tc>
        <w:tc>
          <w:tcPr>
            <w:tcW w:w="816"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3 414</w:t>
            </w:r>
          </w:p>
        </w:tc>
        <w:tc>
          <w:tcPr>
            <w:tcW w:w="816"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2 160</w:t>
            </w:r>
          </w:p>
        </w:tc>
        <w:tc>
          <w:tcPr>
            <w:tcW w:w="816"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2 079</w:t>
            </w:r>
          </w:p>
        </w:tc>
      </w:tr>
    </w:tbl>
    <w:p w:rsidR="00BB6F1F" w:rsidRDefault="00BB6F1F" w:rsidP="00AC68FF">
      <w:pPr>
        <w:pStyle w:val="Note"/>
      </w:pPr>
      <w:r>
        <w:t>Notes:</w:t>
      </w:r>
    </w:p>
    <w:p w:rsidR="00BB6F1F" w:rsidRDefault="00BB6F1F" w:rsidP="00AC68FF">
      <w:pPr>
        <w:pStyle w:val="Note"/>
      </w:pPr>
      <w:r>
        <w:t>(a)</w:t>
      </w:r>
      <w:r>
        <w:tab/>
        <w:t>These items do not include amounts that relate to discount interest on non-financial liabilities. Therefore, figures in this table cannot be reconciled to the primary financial statements.</w:t>
      </w:r>
    </w:p>
    <w:p w:rsidR="00BB6F1F" w:rsidRPr="004E06C4" w:rsidRDefault="00BB6F1F" w:rsidP="00AC68FF">
      <w:pPr>
        <w:pStyle w:val="Note"/>
      </w:pPr>
      <w:r>
        <w:t>(b)</w:t>
      </w:r>
      <w:r>
        <w:tab/>
      </w:r>
      <w:r w:rsidRPr="008B5089">
        <w:t>June 2016 comparative figures have been restated to reflect the reclassification of borrowings</w:t>
      </w:r>
      <w:r>
        <w:t xml:space="preserve"> and investments </w:t>
      </w:r>
      <w:r w:rsidRPr="008B5089">
        <w:t xml:space="preserve">sold at a premium </w:t>
      </w:r>
      <w:r>
        <w:t xml:space="preserve">/ discount </w:t>
      </w:r>
      <w:r w:rsidRPr="008B5089">
        <w:t>from interes</w:t>
      </w:r>
      <w:r w:rsidR="001A0141">
        <w:t>t expense to interest revenue.</w:t>
      </w:r>
    </w:p>
    <w:p w:rsidR="00BB6F1F" w:rsidRPr="003E5253" w:rsidRDefault="00BB6F1F" w:rsidP="00AC68FF"/>
    <w:p w:rsidR="00BB6F1F" w:rsidRPr="003E5253" w:rsidRDefault="00BB6F1F" w:rsidP="00AC68FF">
      <w:pPr>
        <w:sectPr w:rsidR="00BB6F1F" w:rsidRPr="003E5253" w:rsidSect="00AC68FF">
          <w:type w:val="continuous"/>
          <w:pgSz w:w="11907" w:h="16839" w:code="9"/>
          <w:pgMar w:top="1134" w:right="1134" w:bottom="1134" w:left="1134" w:header="624" w:footer="567" w:gutter="0"/>
          <w:cols w:sep="1" w:space="567"/>
          <w:docGrid w:linePitch="360"/>
        </w:sectPr>
      </w:pPr>
    </w:p>
    <w:p w:rsidR="00BB6F1F" w:rsidRDefault="00BB6F1F" w:rsidP="00BB6F1F">
      <w:pPr>
        <w:pStyle w:val="Heading2"/>
        <w:numPr>
          <w:ilvl w:val="1"/>
          <w:numId w:val="24"/>
        </w:numPr>
        <w:spacing w:before="0"/>
      </w:pPr>
      <w:bookmarkStart w:id="54" w:name="_Toc492984892"/>
      <w:r>
        <w:lastRenderedPageBreak/>
        <w:t>Contingent assets and contingent liabilities (State of Victoria)</w:t>
      </w:r>
      <w:bookmarkEnd w:id="54"/>
    </w:p>
    <w:p w:rsidR="00BB6F1F" w:rsidRDefault="00BB6F1F" w:rsidP="00AC68FF">
      <w:r>
        <w:t>Contingent assets and contingent liabilities are not recognised in the balance sheet but are disclosed and, if quantifiable, are measured at nominal value.</w:t>
      </w:r>
    </w:p>
    <w:p w:rsidR="00BB6F1F" w:rsidRDefault="00BB6F1F" w:rsidP="00AC68FF">
      <w:r>
        <w:t>Contingent assets and liabilities are presented inclusive of GST receivable or payable respectively.</w:t>
      </w:r>
    </w:p>
    <w:p w:rsidR="00BB6F1F" w:rsidRPr="00FD72D0" w:rsidRDefault="00BB6F1F" w:rsidP="00AC68FF">
      <w:pPr>
        <w:pStyle w:val="Heading30"/>
      </w:pPr>
      <w:r w:rsidRPr="00FD72D0">
        <w:t>Contingent assets</w:t>
      </w:r>
    </w:p>
    <w:p w:rsidR="00BB6F1F" w:rsidRDefault="00BB6F1F" w:rsidP="00AC68FF">
      <w:r>
        <w:t>Contingent assets are possible assets that arise from past events, whose existence will be confirmed only by the occurrence or non-occurrence of one or more uncertain future events not wholly within the control of the entity.</w:t>
      </w:r>
    </w:p>
    <w:p w:rsidR="00BB6F1F" w:rsidRDefault="00BB6F1F" w:rsidP="009F6632">
      <w:r>
        <w:t xml:space="preserve">These are classified as either quantifiable, where </w:t>
      </w:r>
      <w:r w:rsidR="009F6632">
        <w:br/>
      </w:r>
      <w:r>
        <w:t xml:space="preserve">the potential economic benefit is known, or </w:t>
      </w:r>
      <w:r w:rsidR="009F6632">
        <w:br/>
      </w:r>
      <w:r>
        <w:t xml:space="preserve">non-quantifiable. </w:t>
      </w:r>
    </w:p>
    <w:p w:rsidR="00BB6F1F" w:rsidRDefault="00BB6F1F" w:rsidP="009F6632">
      <w:pPr>
        <w:spacing w:before="60"/>
      </w:pPr>
      <w:r>
        <w:br w:type="column"/>
      </w:r>
      <w:r>
        <w:lastRenderedPageBreak/>
        <w:t>The table below contains quantifiable contingent assets as at 30 June 2017 (arising from outside of government).</w:t>
      </w:r>
    </w:p>
    <w:p w:rsidR="00BB6F1F" w:rsidRPr="00C91ACB" w:rsidRDefault="00BB6F1F" w:rsidP="00AC68FF">
      <w:pPr>
        <w:pStyle w:val="TableHeading"/>
        <w:rPr>
          <w:bCs/>
          <w:lang w:val="en-US"/>
        </w:rPr>
      </w:pPr>
      <w:r w:rsidRPr="00D712FD">
        <w:t xml:space="preserve">Quantifiable contingent assets </w:t>
      </w:r>
      <w:r w:rsidRPr="00D712FD">
        <w:rPr>
          <w:vertAlign w:val="superscript"/>
        </w:rPr>
        <w:t>(a)</w:t>
      </w:r>
      <w:r w:rsidRPr="00D712FD">
        <w:t xml:space="preserve"> </w:t>
      </w:r>
      <w:r>
        <w:tab/>
      </w:r>
      <w:r w:rsidRPr="00D712FD">
        <w:t>($million)</w:t>
      </w:r>
    </w:p>
    <w:tbl>
      <w:tblPr>
        <w:tblStyle w:val="DTFTable"/>
        <w:tblW w:w="4542" w:type="dxa"/>
        <w:tblInd w:w="45" w:type="dxa"/>
        <w:tblLayout w:type="fixed"/>
        <w:tblCellMar>
          <w:left w:w="45" w:type="dxa"/>
          <w:right w:w="45" w:type="dxa"/>
        </w:tblCellMar>
        <w:tblLook w:val="06E0" w:firstRow="1" w:lastRow="1" w:firstColumn="1" w:lastColumn="0" w:noHBand="1" w:noVBand="1"/>
      </w:tblPr>
      <w:tblGrid>
        <w:gridCol w:w="2971"/>
        <w:gridCol w:w="148"/>
        <w:gridCol w:w="629"/>
        <w:gridCol w:w="782"/>
        <w:gridCol w:w="12"/>
      </w:tblGrid>
      <w:tr w:rsidR="00BB6F1F" w:rsidRPr="00C91ACB" w:rsidTr="00AC68FF">
        <w:trPr>
          <w:gridAfter w:val="1"/>
          <w:cnfStyle w:val="100000000000" w:firstRow="1" w:lastRow="0" w:firstColumn="0" w:lastColumn="0" w:oddVBand="0" w:evenVBand="0" w:oddHBand="0" w:evenHBand="0" w:firstRowFirstColumn="0" w:firstRowLastColumn="0" w:lastRowFirstColumn="0" w:lastRowLastColumn="0"/>
          <w:wAfter w:w="12" w:type="dxa"/>
          <w:tblHeader/>
        </w:trPr>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shd w:val="solid" w:color="000000" w:fill="auto"/>
          </w:tcPr>
          <w:p w:rsidR="00BB6F1F" w:rsidRPr="00C91ACB" w:rsidRDefault="00BB6F1F" w:rsidP="00AC68FF">
            <w:pPr>
              <w:autoSpaceDE w:val="0"/>
              <w:autoSpaceDN w:val="0"/>
              <w:adjustRightInd w:val="0"/>
              <w:rPr>
                <w:rFonts w:eastAsiaTheme="minorEastAsia" w:cs="Calibri"/>
                <w:iCs/>
                <w:color w:val="FFFFFF"/>
                <w:szCs w:val="20"/>
                <w:lang w:eastAsia="en-AU"/>
              </w:rPr>
            </w:pPr>
            <w:r w:rsidRPr="00C91ACB">
              <w:rPr>
                <w:rFonts w:eastAsiaTheme="minorEastAsia" w:cs="Calibri"/>
                <w:iCs/>
                <w:color w:val="FFFFFF"/>
                <w:szCs w:val="20"/>
                <w:lang w:eastAsia="en-AU"/>
              </w:rPr>
              <w:t xml:space="preserve"> </w:t>
            </w:r>
          </w:p>
        </w:tc>
        <w:tc>
          <w:tcPr>
            <w:tcW w:w="1559" w:type="dxa"/>
            <w:gridSpan w:val="3"/>
            <w:tcBorders>
              <w:top w:val="nil"/>
              <w:left w:val="nil"/>
              <w:bottom w:val="nil"/>
              <w:right w:val="nil"/>
            </w:tcBorders>
            <w:shd w:val="solid" w:color="000000" w:fill="auto"/>
          </w:tcPr>
          <w:p w:rsidR="00BB6F1F" w:rsidRPr="00C91ACB"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91ACB">
              <w:rPr>
                <w:rFonts w:eastAsiaTheme="minorEastAsia" w:cs="Calibri"/>
                <w:iCs/>
                <w:color w:val="FFFFFF"/>
                <w:szCs w:val="20"/>
                <w:lang w:eastAsia="en-AU"/>
              </w:rPr>
              <w:t>State of Victoria</w:t>
            </w:r>
          </w:p>
        </w:tc>
      </w:tr>
      <w:tr w:rsidR="00BB6F1F" w:rsidRPr="00C91ACB"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shd w:val="solid" w:color="000000" w:fill="auto"/>
          </w:tcPr>
          <w:p w:rsidR="00BB6F1F" w:rsidRPr="00C91ACB" w:rsidRDefault="00BB6F1F" w:rsidP="00AC68FF">
            <w:pPr>
              <w:keepLines w:val="0"/>
              <w:autoSpaceDE w:val="0"/>
              <w:autoSpaceDN w:val="0"/>
              <w:adjustRightInd w:val="0"/>
              <w:rPr>
                <w:rFonts w:eastAsiaTheme="minorEastAsia" w:cs="Calibri"/>
                <w:iCs/>
                <w:color w:val="FFFFFF"/>
                <w:szCs w:val="20"/>
                <w:lang w:eastAsia="en-AU"/>
              </w:rPr>
            </w:pPr>
            <w:r w:rsidRPr="00C91ACB">
              <w:rPr>
                <w:rFonts w:eastAsiaTheme="minorEastAsia" w:cs="Calibri"/>
                <w:iCs/>
                <w:color w:val="FFFFFF"/>
                <w:szCs w:val="20"/>
                <w:lang w:eastAsia="en-AU"/>
              </w:rPr>
              <w:t xml:space="preserve"> </w:t>
            </w:r>
          </w:p>
        </w:tc>
        <w:tc>
          <w:tcPr>
            <w:tcW w:w="777" w:type="dxa"/>
            <w:gridSpan w:val="2"/>
            <w:tcBorders>
              <w:top w:val="nil"/>
              <w:left w:val="nil"/>
              <w:bottom w:val="nil"/>
              <w:right w:val="nil"/>
            </w:tcBorders>
            <w:shd w:val="solid" w:color="000000" w:fill="auto"/>
          </w:tcPr>
          <w:p w:rsidR="00BB6F1F" w:rsidRPr="00C91ACB"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91ACB">
              <w:rPr>
                <w:rFonts w:eastAsiaTheme="minorEastAsia" w:cs="Calibri"/>
                <w:iCs/>
                <w:color w:val="FFFFFF"/>
                <w:szCs w:val="20"/>
                <w:lang w:eastAsia="en-AU"/>
              </w:rPr>
              <w:t>2017</w:t>
            </w:r>
          </w:p>
        </w:tc>
        <w:tc>
          <w:tcPr>
            <w:tcW w:w="794" w:type="dxa"/>
            <w:gridSpan w:val="2"/>
            <w:tcBorders>
              <w:top w:val="nil"/>
              <w:left w:val="nil"/>
              <w:bottom w:val="nil"/>
              <w:right w:val="nil"/>
            </w:tcBorders>
            <w:shd w:val="solid" w:color="000000" w:fill="auto"/>
          </w:tcPr>
          <w:p w:rsidR="00BB6F1F" w:rsidRPr="00C91ACB"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91ACB">
              <w:rPr>
                <w:rFonts w:eastAsiaTheme="minorEastAsia" w:cs="Calibri"/>
                <w:iCs/>
                <w:color w:val="FFFFFF"/>
                <w:szCs w:val="20"/>
                <w:lang w:eastAsia="en-AU"/>
              </w:rPr>
              <w:t>2016</w:t>
            </w:r>
          </w:p>
        </w:tc>
      </w:tr>
      <w:tr w:rsidR="00BB6F1F" w:rsidRPr="00C91ACB" w:rsidTr="00AC68FF">
        <w:trPr>
          <w:gridAfter w:val="1"/>
          <w:wAfter w:w="12" w:type="dxa"/>
        </w:trPr>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rsidR="00BB6F1F" w:rsidRPr="00C91ACB" w:rsidRDefault="00BB6F1F" w:rsidP="00AC68FF">
            <w:pPr>
              <w:keepLines w:val="0"/>
              <w:autoSpaceDE w:val="0"/>
              <w:autoSpaceDN w:val="0"/>
              <w:adjustRightInd w:val="0"/>
              <w:rPr>
                <w:rFonts w:eastAsiaTheme="minorEastAsia" w:cs="Calibri"/>
                <w:color w:val="000000"/>
                <w:szCs w:val="20"/>
                <w:vertAlign w:val="superscript"/>
                <w:lang w:eastAsia="en-AU"/>
              </w:rPr>
            </w:pPr>
            <w:r w:rsidRPr="00C91ACB">
              <w:rPr>
                <w:rFonts w:eastAsiaTheme="minorEastAsia" w:cs="Calibri"/>
                <w:color w:val="000000"/>
                <w:szCs w:val="20"/>
                <w:lang w:eastAsia="en-AU"/>
              </w:rPr>
              <w:t xml:space="preserve">General government </w:t>
            </w:r>
            <w:r w:rsidRPr="00C91ACB">
              <w:rPr>
                <w:rFonts w:eastAsiaTheme="minorEastAsia" w:cs="Calibri"/>
                <w:color w:val="000000"/>
                <w:szCs w:val="20"/>
                <w:vertAlign w:val="superscript"/>
                <w:lang w:eastAsia="en-AU"/>
              </w:rPr>
              <w:t>(b)</w:t>
            </w:r>
          </w:p>
        </w:tc>
        <w:tc>
          <w:tcPr>
            <w:tcW w:w="777" w:type="dxa"/>
            <w:gridSpan w:val="2"/>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129</w:t>
            </w:r>
          </w:p>
        </w:tc>
        <w:tc>
          <w:tcPr>
            <w:tcW w:w="782"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115</w:t>
            </w:r>
          </w:p>
        </w:tc>
      </w:tr>
      <w:tr w:rsidR="00BB6F1F" w:rsidRPr="00C91ACB" w:rsidTr="00AC68FF">
        <w:trPr>
          <w:gridAfter w:val="1"/>
          <w:wAfter w:w="12" w:type="dxa"/>
        </w:trPr>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rsidR="00BB6F1F" w:rsidRPr="00C91ACB" w:rsidRDefault="00BB6F1F" w:rsidP="00AC68FF">
            <w:pPr>
              <w:keepLines w:val="0"/>
              <w:autoSpaceDE w:val="0"/>
              <w:autoSpaceDN w:val="0"/>
              <w:adjustRightInd w:val="0"/>
              <w:rPr>
                <w:rFonts w:eastAsiaTheme="minorEastAsia" w:cs="Calibri"/>
                <w:color w:val="000000"/>
                <w:szCs w:val="20"/>
                <w:lang w:eastAsia="en-AU"/>
              </w:rPr>
            </w:pPr>
            <w:r w:rsidRPr="00C91ACB">
              <w:rPr>
                <w:rFonts w:eastAsiaTheme="minorEastAsia" w:cs="Calibri"/>
                <w:color w:val="000000"/>
                <w:szCs w:val="20"/>
                <w:lang w:eastAsia="en-AU"/>
              </w:rPr>
              <w:t>Public non-financial corporations</w:t>
            </w:r>
          </w:p>
        </w:tc>
        <w:tc>
          <w:tcPr>
            <w:tcW w:w="777" w:type="dxa"/>
            <w:gridSpan w:val="2"/>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258</w:t>
            </w:r>
          </w:p>
        </w:tc>
        <w:tc>
          <w:tcPr>
            <w:tcW w:w="782"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238</w:t>
            </w:r>
          </w:p>
        </w:tc>
      </w:tr>
      <w:tr w:rsidR="00BB6F1F" w:rsidRPr="00C91ACB" w:rsidTr="00AC68FF">
        <w:trPr>
          <w:gridAfter w:val="1"/>
          <w:wAfter w:w="12" w:type="dxa"/>
        </w:trPr>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rsidR="00BB6F1F" w:rsidRPr="00C91ACB" w:rsidRDefault="00BB6F1F" w:rsidP="00AC68FF">
            <w:pPr>
              <w:keepLines w:val="0"/>
              <w:autoSpaceDE w:val="0"/>
              <w:autoSpaceDN w:val="0"/>
              <w:adjustRightInd w:val="0"/>
              <w:rPr>
                <w:rFonts w:eastAsiaTheme="minorEastAsia" w:cs="Calibri"/>
                <w:color w:val="000000"/>
                <w:szCs w:val="20"/>
                <w:lang w:eastAsia="en-AU"/>
              </w:rPr>
            </w:pPr>
            <w:r w:rsidRPr="00C91ACB">
              <w:rPr>
                <w:rFonts w:eastAsiaTheme="minorEastAsia" w:cs="Calibri"/>
                <w:color w:val="000000"/>
                <w:szCs w:val="20"/>
                <w:lang w:eastAsia="en-AU"/>
              </w:rPr>
              <w:t>Public financial corporations</w:t>
            </w:r>
          </w:p>
        </w:tc>
        <w:tc>
          <w:tcPr>
            <w:tcW w:w="777" w:type="dxa"/>
            <w:gridSpan w:val="2"/>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1ACB">
              <w:rPr>
                <w:rFonts w:eastAsiaTheme="minorEastAsia" w:cs="Calibri"/>
                <w:color w:val="000000"/>
                <w:szCs w:val="20"/>
                <w:lang w:eastAsia="en-AU"/>
              </w:rPr>
              <w:t>..</w:t>
            </w:r>
          </w:p>
        </w:tc>
        <w:tc>
          <w:tcPr>
            <w:tcW w:w="782"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1ACB">
              <w:rPr>
                <w:rFonts w:eastAsiaTheme="minorEastAsia" w:cs="Calibri"/>
                <w:color w:val="000000"/>
                <w:szCs w:val="20"/>
                <w:lang w:eastAsia="en-AU"/>
              </w:rPr>
              <w:t>..</w:t>
            </w:r>
          </w:p>
        </w:tc>
      </w:tr>
      <w:tr w:rsidR="00BB6F1F" w:rsidRPr="00C91ACB" w:rsidTr="009F6632">
        <w:trPr>
          <w:gridAfter w:val="1"/>
          <w:wAfter w:w="12" w:type="dxa"/>
        </w:trPr>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6" w:space="0" w:color="auto"/>
              <w:left w:val="nil"/>
              <w:bottom w:val="single" w:sz="12" w:space="0" w:color="auto"/>
              <w:right w:val="nil"/>
            </w:tcBorders>
          </w:tcPr>
          <w:p w:rsidR="00BB6F1F" w:rsidRPr="00C91ACB" w:rsidRDefault="00BB6F1F" w:rsidP="006309F6">
            <w:pPr>
              <w:keepLines w:val="0"/>
              <w:autoSpaceDE w:val="0"/>
              <w:autoSpaceDN w:val="0"/>
              <w:adjustRightInd w:val="0"/>
              <w:rPr>
                <w:rFonts w:eastAsiaTheme="minorEastAsia" w:cs="Calibri"/>
                <w:b/>
                <w:bCs/>
                <w:color w:val="000000"/>
                <w:szCs w:val="20"/>
                <w:lang w:eastAsia="en-AU"/>
              </w:rPr>
            </w:pPr>
            <w:r w:rsidRPr="00C91ACB">
              <w:rPr>
                <w:rFonts w:eastAsiaTheme="minorEastAsia" w:cs="Calibri"/>
                <w:b/>
                <w:bCs/>
                <w:color w:val="000000"/>
                <w:szCs w:val="20"/>
                <w:lang w:eastAsia="en-AU"/>
              </w:rPr>
              <w:t>Total contingent assets – State of Victoria</w:t>
            </w:r>
          </w:p>
        </w:tc>
        <w:tc>
          <w:tcPr>
            <w:tcW w:w="629" w:type="dxa"/>
            <w:tcBorders>
              <w:top w:val="single" w:sz="6" w:space="0" w:color="auto"/>
              <w:left w:val="nil"/>
              <w:bottom w:val="single" w:sz="12" w:space="0" w:color="auto"/>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387</w:t>
            </w:r>
          </w:p>
        </w:tc>
        <w:tc>
          <w:tcPr>
            <w:tcW w:w="782" w:type="dxa"/>
            <w:tcBorders>
              <w:top w:val="single" w:sz="6" w:space="0" w:color="auto"/>
              <w:left w:val="nil"/>
              <w:bottom w:val="single" w:sz="12" w:space="0" w:color="auto"/>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353</w:t>
            </w:r>
          </w:p>
        </w:tc>
      </w:tr>
      <w:tr w:rsidR="00BB6F1F" w:rsidRPr="00C91ACB" w:rsidTr="00AC68FF">
        <w:trPr>
          <w:gridAfter w:val="1"/>
          <w:wAfter w:w="12" w:type="dxa"/>
          <w:trHeight w:hRule="exact" w:val="120"/>
        </w:trPr>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rsidR="00BB6F1F" w:rsidRPr="00C91ACB" w:rsidRDefault="00BB6F1F" w:rsidP="00AC68FF">
            <w:pPr>
              <w:keepLines w:val="0"/>
              <w:autoSpaceDE w:val="0"/>
              <w:autoSpaceDN w:val="0"/>
              <w:adjustRightInd w:val="0"/>
              <w:rPr>
                <w:rFonts w:eastAsiaTheme="minorEastAsia" w:cs="Calibri"/>
                <w:color w:val="000000"/>
                <w:szCs w:val="20"/>
                <w:lang w:eastAsia="en-AU"/>
              </w:rPr>
            </w:pPr>
            <w:r w:rsidRPr="00C91ACB">
              <w:rPr>
                <w:rFonts w:eastAsiaTheme="minorEastAsia" w:cs="Calibri"/>
                <w:color w:val="000000"/>
                <w:szCs w:val="20"/>
                <w:lang w:eastAsia="en-AU"/>
              </w:rPr>
              <w:t xml:space="preserve"> </w:t>
            </w:r>
          </w:p>
        </w:tc>
        <w:tc>
          <w:tcPr>
            <w:tcW w:w="777" w:type="dxa"/>
            <w:gridSpan w:val="2"/>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1ACB">
              <w:rPr>
                <w:rFonts w:eastAsiaTheme="minorEastAsia" w:cs="Calibri"/>
                <w:color w:val="000000"/>
                <w:szCs w:val="20"/>
                <w:lang w:eastAsia="en-AU"/>
              </w:rPr>
              <w:t xml:space="preserve"> </w:t>
            </w:r>
          </w:p>
        </w:tc>
        <w:tc>
          <w:tcPr>
            <w:tcW w:w="782"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1ACB">
              <w:rPr>
                <w:rFonts w:eastAsiaTheme="minorEastAsia" w:cs="Calibri"/>
                <w:color w:val="000000"/>
                <w:szCs w:val="20"/>
                <w:lang w:eastAsia="en-AU"/>
              </w:rPr>
              <w:t xml:space="preserve"> </w:t>
            </w:r>
          </w:p>
        </w:tc>
      </w:tr>
      <w:tr w:rsidR="00BB6F1F" w:rsidRPr="00C91ACB" w:rsidTr="00AC68FF">
        <w:trPr>
          <w:gridAfter w:val="1"/>
          <w:wAfter w:w="12" w:type="dxa"/>
        </w:trPr>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rsidR="00BB6F1F" w:rsidRPr="00C91ACB" w:rsidRDefault="00BB6F1F" w:rsidP="00AC68FF">
            <w:pPr>
              <w:keepLines w:val="0"/>
              <w:autoSpaceDE w:val="0"/>
              <w:autoSpaceDN w:val="0"/>
              <w:adjustRightInd w:val="0"/>
              <w:rPr>
                <w:rFonts w:eastAsiaTheme="minorEastAsia" w:cs="Calibri"/>
                <w:color w:val="000000"/>
                <w:szCs w:val="20"/>
                <w:lang w:eastAsia="en-AU"/>
              </w:rPr>
            </w:pPr>
            <w:r w:rsidRPr="00C91ACB">
              <w:rPr>
                <w:rFonts w:eastAsiaTheme="minorEastAsia" w:cs="Calibri"/>
                <w:color w:val="000000"/>
                <w:szCs w:val="20"/>
                <w:lang w:eastAsia="en-AU"/>
              </w:rPr>
              <w:t>Guarantees, indemnities and warranties</w:t>
            </w:r>
          </w:p>
        </w:tc>
        <w:tc>
          <w:tcPr>
            <w:tcW w:w="777" w:type="dxa"/>
            <w:gridSpan w:val="2"/>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52</w:t>
            </w:r>
          </w:p>
        </w:tc>
        <w:tc>
          <w:tcPr>
            <w:tcW w:w="782"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100</w:t>
            </w:r>
          </w:p>
        </w:tc>
      </w:tr>
      <w:tr w:rsidR="00BB6F1F" w:rsidRPr="00C91ACB" w:rsidTr="00AC68FF">
        <w:trPr>
          <w:gridAfter w:val="1"/>
          <w:wAfter w:w="12" w:type="dxa"/>
        </w:trPr>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rsidR="00BB6F1F" w:rsidRPr="00C91ACB" w:rsidRDefault="00BB6F1F" w:rsidP="00AC68FF">
            <w:pPr>
              <w:keepLines w:val="0"/>
              <w:autoSpaceDE w:val="0"/>
              <w:autoSpaceDN w:val="0"/>
              <w:adjustRightInd w:val="0"/>
              <w:rPr>
                <w:rFonts w:eastAsiaTheme="minorEastAsia" w:cs="Calibri"/>
                <w:color w:val="000000"/>
                <w:szCs w:val="20"/>
                <w:lang w:eastAsia="en-AU"/>
              </w:rPr>
            </w:pPr>
            <w:r w:rsidRPr="00C91ACB">
              <w:rPr>
                <w:rFonts w:eastAsiaTheme="minorEastAsia" w:cs="Calibri"/>
                <w:color w:val="000000"/>
                <w:szCs w:val="20"/>
                <w:lang w:eastAsia="en-AU"/>
              </w:rPr>
              <w:t>Legal proceedings and disputes</w:t>
            </w:r>
          </w:p>
        </w:tc>
        <w:tc>
          <w:tcPr>
            <w:tcW w:w="777" w:type="dxa"/>
            <w:gridSpan w:val="2"/>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w:t>
            </w:r>
          </w:p>
        </w:tc>
        <w:tc>
          <w:tcPr>
            <w:tcW w:w="782"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w:t>
            </w:r>
          </w:p>
        </w:tc>
      </w:tr>
      <w:tr w:rsidR="00BB6F1F" w:rsidRPr="00C91ACB" w:rsidTr="00AC68FF">
        <w:trPr>
          <w:gridAfter w:val="1"/>
          <w:wAfter w:w="12" w:type="dxa"/>
        </w:trPr>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rsidR="00BB6F1F" w:rsidRPr="00C91ACB" w:rsidRDefault="00BB6F1F" w:rsidP="00AC68FF">
            <w:pPr>
              <w:keepLines w:val="0"/>
              <w:autoSpaceDE w:val="0"/>
              <w:autoSpaceDN w:val="0"/>
              <w:adjustRightInd w:val="0"/>
              <w:rPr>
                <w:rFonts w:eastAsiaTheme="minorEastAsia" w:cs="Calibri"/>
                <w:color w:val="000000"/>
                <w:szCs w:val="20"/>
                <w:vertAlign w:val="superscript"/>
                <w:lang w:eastAsia="en-AU"/>
              </w:rPr>
            </w:pPr>
            <w:r w:rsidRPr="00C91ACB">
              <w:rPr>
                <w:rFonts w:eastAsiaTheme="minorEastAsia" w:cs="Calibri"/>
                <w:color w:val="000000"/>
                <w:szCs w:val="20"/>
                <w:lang w:eastAsia="en-AU"/>
              </w:rPr>
              <w:t xml:space="preserve">Other </w:t>
            </w:r>
            <w:r w:rsidRPr="00C91ACB">
              <w:rPr>
                <w:rFonts w:eastAsiaTheme="minorEastAsia" w:cs="Calibri"/>
                <w:color w:val="000000"/>
                <w:szCs w:val="20"/>
                <w:vertAlign w:val="superscript"/>
                <w:lang w:eastAsia="en-AU"/>
              </w:rPr>
              <w:t>(b)</w:t>
            </w:r>
          </w:p>
        </w:tc>
        <w:tc>
          <w:tcPr>
            <w:tcW w:w="777" w:type="dxa"/>
            <w:gridSpan w:val="2"/>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315</w:t>
            </w:r>
          </w:p>
        </w:tc>
        <w:tc>
          <w:tcPr>
            <w:tcW w:w="782"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235</w:t>
            </w:r>
          </w:p>
        </w:tc>
      </w:tr>
      <w:tr w:rsidR="00BB6F1F" w:rsidRPr="00C91ACB" w:rsidTr="009F6632">
        <w:trPr>
          <w:gridAfter w:val="1"/>
          <w:cnfStyle w:val="010000000000" w:firstRow="0" w:lastRow="1" w:firstColumn="0" w:lastColumn="0" w:oddVBand="0" w:evenVBand="0" w:oddHBand="0"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6" w:space="0" w:color="auto"/>
              <w:bottom w:val="single" w:sz="12" w:space="0" w:color="auto"/>
            </w:tcBorders>
          </w:tcPr>
          <w:p w:rsidR="00BB6F1F" w:rsidRPr="00C91ACB" w:rsidRDefault="00BB6F1F" w:rsidP="009F6632">
            <w:pPr>
              <w:keepLines w:val="0"/>
              <w:autoSpaceDE w:val="0"/>
              <w:autoSpaceDN w:val="0"/>
              <w:adjustRightInd w:val="0"/>
              <w:rPr>
                <w:rFonts w:eastAsiaTheme="minorEastAsia" w:cs="Calibri"/>
                <w:bCs/>
                <w:color w:val="000000"/>
                <w:szCs w:val="20"/>
                <w:lang w:eastAsia="en-AU"/>
              </w:rPr>
            </w:pPr>
            <w:r w:rsidRPr="00C91ACB">
              <w:rPr>
                <w:rFonts w:eastAsiaTheme="minorEastAsia" w:cs="Calibri"/>
                <w:bCs/>
                <w:color w:val="000000"/>
                <w:szCs w:val="20"/>
                <w:lang w:eastAsia="en-AU"/>
              </w:rPr>
              <w:t>Total contingent assets – State of Victoria</w:t>
            </w:r>
          </w:p>
        </w:tc>
        <w:tc>
          <w:tcPr>
            <w:tcW w:w="629" w:type="dxa"/>
            <w:tcBorders>
              <w:top w:val="single" w:sz="6" w:space="0" w:color="auto"/>
              <w:bottom w:val="single" w:sz="12" w:space="0" w:color="auto"/>
            </w:tcBorders>
          </w:tcPr>
          <w:p w:rsidR="00BB6F1F" w:rsidRPr="00C91AC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387</w:t>
            </w:r>
          </w:p>
        </w:tc>
        <w:tc>
          <w:tcPr>
            <w:tcW w:w="782" w:type="dxa"/>
            <w:tcBorders>
              <w:top w:val="single" w:sz="6" w:space="0" w:color="auto"/>
              <w:bottom w:val="single" w:sz="12" w:space="0" w:color="auto"/>
            </w:tcBorders>
          </w:tcPr>
          <w:p w:rsidR="00BB6F1F" w:rsidRPr="00C91AC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353</w:t>
            </w:r>
          </w:p>
        </w:tc>
      </w:tr>
    </w:tbl>
    <w:p w:rsidR="00BB6F1F" w:rsidRDefault="00BB6F1F" w:rsidP="00AC68FF">
      <w:pPr>
        <w:pStyle w:val="Note"/>
      </w:pPr>
      <w:r>
        <w:t>Notes:</w:t>
      </w:r>
    </w:p>
    <w:p w:rsidR="00BB6F1F" w:rsidRDefault="00BB6F1F" w:rsidP="00AC68FF">
      <w:pPr>
        <w:pStyle w:val="Note"/>
      </w:pPr>
      <w:r>
        <w:t>(a)</w:t>
      </w:r>
      <w:r>
        <w:tab/>
        <w:t>Figures reflect contingent assets that arise from outside of government.</w:t>
      </w:r>
    </w:p>
    <w:p w:rsidR="00BB6F1F" w:rsidRDefault="00BB6F1F" w:rsidP="00AC68FF">
      <w:pPr>
        <w:pStyle w:val="Note"/>
      </w:pPr>
      <w:r>
        <w:t>(b)</w:t>
      </w:r>
      <w:r>
        <w:tab/>
        <w:t>Other contingent assets in the general government sector mainly consists of $100 million relating to a contingent payment for Crown Melbourne licence amendments that may be payable in calendar year 2022.</w:t>
      </w:r>
    </w:p>
    <w:p w:rsidR="00BB6F1F" w:rsidRDefault="00BB6F1F">
      <w:pPr>
        <w:keepLines w:val="0"/>
        <w:rPr>
          <w:rFonts w:asciiTheme="majorHAnsi" w:eastAsiaTheme="majorEastAsia" w:hAnsiTheme="majorHAnsi" w:cstheme="majorBidi"/>
          <w:b/>
          <w:bCs/>
          <w:spacing w:val="-2"/>
          <w:sz w:val="23"/>
          <w:szCs w:val="26"/>
        </w:rPr>
      </w:pPr>
      <w:r>
        <w:br w:type="page"/>
      </w:r>
    </w:p>
    <w:p w:rsidR="00BB6F1F" w:rsidRDefault="00BB6F1F" w:rsidP="00AC68FF">
      <w:pPr>
        <w:pStyle w:val="Heading30"/>
      </w:pPr>
      <w:r>
        <w:lastRenderedPageBreak/>
        <w:t>Non quantifiable contingent assets</w:t>
      </w:r>
    </w:p>
    <w:p w:rsidR="00BB6F1F" w:rsidRPr="00385625" w:rsidRDefault="00BB6F1F" w:rsidP="00AC68FF">
      <w:pPr>
        <w:pStyle w:val="Heading4"/>
      </w:pPr>
      <w:proofErr w:type="spellStart"/>
      <w:r w:rsidRPr="00385625">
        <w:t>CityLink</w:t>
      </w:r>
      <w:proofErr w:type="spellEnd"/>
      <w:r w:rsidRPr="00385625">
        <w:t xml:space="preserve"> compensable enhancement claims</w:t>
      </w:r>
    </w:p>
    <w:p w:rsidR="00BB6F1F" w:rsidRDefault="00BB6F1F" w:rsidP="00AC68FF">
      <w:r>
        <w:t xml:space="preserve">The Melbourne </w:t>
      </w:r>
      <w:proofErr w:type="spellStart"/>
      <w:r>
        <w:t>CityLink</w:t>
      </w:r>
      <w:proofErr w:type="spellEnd"/>
      <w:r>
        <w:t xml:space="preserve"> Concession Deed contains compensable enhancement provisions that enable the State to claim 50 per cent of additional revenue derived by </w:t>
      </w:r>
      <w:proofErr w:type="spellStart"/>
      <w:r>
        <w:t>CityLink</w:t>
      </w:r>
      <w:proofErr w:type="spellEnd"/>
      <w:r>
        <w:t xml:space="preserve"> Melbourne Limited as a result of certain events that particularly benefit </w:t>
      </w:r>
      <w:proofErr w:type="spellStart"/>
      <w:r>
        <w:t>CityLink</w:t>
      </w:r>
      <w:proofErr w:type="spellEnd"/>
      <w:r>
        <w:t xml:space="preserve">, including changes to the adjoining road network. </w:t>
      </w:r>
    </w:p>
    <w:p w:rsidR="00BB6F1F" w:rsidRDefault="00BB6F1F" w:rsidP="00AC68FF">
      <w:r>
        <w:t>Compensable enhancement claims have previously been lodged in respect to works for improving traffic flows on the West Gate Freeway (between Lorimer and Montague streets), and in the vicinity of the intersection of the Bulla Road and the Tullamarine Freeway. The claims were lodged on 20 May 2005 and 29 September 2006 respectively, and are still outstanding.</w:t>
      </w:r>
    </w:p>
    <w:p w:rsidR="00BB6F1F" w:rsidRPr="00385625" w:rsidRDefault="00BB6F1F" w:rsidP="00AC68FF">
      <w:pPr>
        <w:pStyle w:val="Heading4"/>
      </w:pPr>
      <w:r w:rsidRPr="00385625">
        <w:t>Peninsula Link compensable enhancement claim</w:t>
      </w:r>
    </w:p>
    <w:p w:rsidR="00BB6F1F" w:rsidRDefault="00BB6F1F" w:rsidP="00AC68FF">
      <w:r>
        <w:t xml:space="preserve">The </w:t>
      </w:r>
      <w:proofErr w:type="spellStart"/>
      <w:r>
        <w:t>EastLink</w:t>
      </w:r>
      <w:proofErr w:type="spellEnd"/>
      <w:r>
        <w:t xml:space="preserve"> Concession Deed contains compensable enhancement provisions that enable the State to claim 50 per cent of any additional revenue derived by </w:t>
      </w:r>
      <w:proofErr w:type="spellStart"/>
      <w:r>
        <w:t>ConnectEast</w:t>
      </w:r>
      <w:proofErr w:type="spellEnd"/>
      <w:r>
        <w:t xml:space="preserve"> Pty Ltd (</w:t>
      </w:r>
      <w:proofErr w:type="spellStart"/>
      <w:r>
        <w:t>ConnectEast</w:t>
      </w:r>
      <w:proofErr w:type="spellEnd"/>
      <w:r>
        <w:t xml:space="preserve">) as a result of certain events that particularly benefit </w:t>
      </w:r>
      <w:proofErr w:type="spellStart"/>
      <w:r>
        <w:t>EastLink</w:t>
      </w:r>
      <w:proofErr w:type="spellEnd"/>
      <w:r>
        <w:t>, including changes to the adjoining road network.</w:t>
      </w:r>
    </w:p>
    <w:p w:rsidR="00BB6F1F" w:rsidRDefault="00BB6F1F" w:rsidP="00AC68FF">
      <w:r>
        <w:t>On 2 January 2014, the State lodged a compensable enhancement claim as a result of opening Peninsula Link. The claim remains outstanding.</w:t>
      </w:r>
    </w:p>
    <w:p w:rsidR="00BB6F1F" w:rsidRDefault="00BB6F1F" w:rsidP="00AC68FF">
      <w:pPr>
        <w:pStyle w:val="Heading30"/>
      </w:pPr>
      <w:r>
        <w:t>Contingent liabilities</w:t>
      </w:r>
    </w:p>
    <w:p w:rsidR="00BB6F1F" w:rsidRDefault="00BB6F1F" w:rsidP="00AC68FF">
      <w:r>
        <w:t>Contingent liabilities are:</w:t>
      </w:r>
    </w:p>
    <w:p w:rsidR="00BB6F1F" w:rsidRDefault="00BB6F1F" w:rsidP="00AC68FF">
      <w:pPr>
        <w:pStyle w:val="ListBullet"/>
      </w:pPr>
      <w:r>
        <w:t>possible obligations that arise from past events, whose existence will be confirmed only by the occurrence or non-occurrence of one or more uncertain future events not wholly within the control of the entity; or</w:t>
      </w:r>
    </w:p>
    <w:p w:rsidR="00BB6F1F" w:rsidRDefault="00BB6F1F" w:rsidP="00AC68FF">
      <w:pPr>
        <w:pStyle w:val="ListBullet"/>
      </w:pPr>
      <w:r>
        <w:t>present obligations that arise from past events but are not recognised because:</w:t>
      </w:r>
    </w:p>
    <w:p w:rsidR="00BB6F1F" w:rsidRDefault="00BB6F1F" w:rsidP="00AC68FF">
      <w:pPr>
        <w:pStyle w:val="ListBullet2"/>
      </w:pPr>
      <w:r>
        <w:t xml:space="preserve">it is not probable that an outflow of resources embodying economic benefits will be required to settle the obligations; or </w:t>
      </w:r>
    </w:p>
    <w:p w:rsidR="00BB6F1F" w:rsidRDefault="00BB6F1F" w:rsidP="00AC68FF">
      <w:pPr>
        <w:pStyle w:val="ListBullet2"/>
      </w:pPr>
      <w:r>
        <w:t>the amount of the obligations cannot be measured with sufficient reliability.</w:t>
      </w:r>
    </w:p>
    <w:p w:rsidR="00BB6F1F" w:rsidRDefault="00BB6F1F" w:rsidP="00AC68FF">
      <w:r>
        <w:t>Contingent liabilities are also classified as either quantifiable or non-quantifiable.</w:t>
      </w:r>
    </w:p>
    <w:p w:rsidR="00BB6F1F" w:rsidRDefault="00BB6F1F" w:rsidP="00AC68FF">
      <w:pPr>
        <w:spacing w:before="0"/>
      </w:pPr>
      <w:r>
        <w:br w:type="column"/>
      </w:r>
      <w:r>
        <w:lastRenderedPageBreak/>
        <w:t>The table below contains quantifiable contingent liabilities as at 30 June 2017.</w:t>
      </w:r>
    </w:p>
    <w:p w:rsidR="00BB6F1F" w:rsidRPr="00C91ACB" w:rsidRDefault="00BB6F1F" w:rsidP="00AC68FF">
      <w:pPr>
        <w:pStyle w:val="TableHeading"/>
        <w:rPr>
          <w:bCs/>
          <w:lang w:val="en-US"/>
        </w:rPr>
      </w:pPr>
      <w:r>
        <w:t>Quantifiable contingent liabilities</w:t>
      </w:r>
      <w:r>
        <w:tab/>
        <w:t>($ million)</w:t>
      </w:r>
    </w:p>
    <w:tbl>
      <w:tblPr>
        <w:tblStyle w:val="DTFTable"/>
        <w:tblW w:w="4542" w:type="dxa"/>
        <w:tblInd w:w="45" w:type="dxa"/>
        <w:tblLayout w:type="fixed"/>
        <w:tblCellMar>
          <w:left w:w="45" w:type="dxa"/>
          <w:right w:w="45" w:type="dxa"/>
        </w:tblCellMar>
        <w:tblLook w:val="06E0" w:firstRow="1" w:lastRow="1" w:firstColumn="1" w:lastColumn="0" w:noHBand="1" w:noVBand="1"/>
      </w:tblPr>
      <w:tblGrid>
        <w:gridCol w:w="2971"/>
        <w:gridCol w:w="777"/>
        <w:gridCol w:w="782"/>
        <w:gridCol w:w="12"/>
      </w:tblGrid>
      <w:tr w:rsidR="00BB6F1F" w:rsidRPr="00C91ACB" w:rsidTr="00AC68FF">
        <w:trPr>
          <w:gridAfter w:val="1"/>
          <w:cnfStyle w:val="100000000000" w:firstRow="1" w:lastRow="0" w:firstColumn="0" w:lastColumn="0" w:oddVBand="0" w:evenVBand="0" w:oddHBand="0" w:evenHBand="0" w:firstRowFirstColumn="0" w:firstRowLastColumn="0" w:lastRowFirstColumn="0" w:lastRowLastColumn="0"/>
          <w:wAfter w:w="12" w:type="dxa"/>
          <w:tblHeader/>
        </w:trPr>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shd w:val="solid" w:color="000000" w:fill="auto"/>
          </w:tcPr>
          <w:p w:rsidR="00BB6F1F" w:rsidRPr="00C91ACB" w:rsidRDefault="00BB6F1F" w:rsidP="00AC68FF">
            <w:pPr>
              <w:autoSpaceDE w:val="0"/>
              <w:autoSpaceDN w:val="0"/>
              <w:adjustRightInd w:val="0"/>
              <w:rPr>
                <w:rFonts w:eastAsiaTheme="minorEastAsia" w:cs="Calibri"/>
                <w:iCs/>
                <w:color w:val="FFFFFF"/>
                <w:szCs w:val="20"/>
                <w:lang w:eastAsia="en-AU"/>
              </w:rPr>
            </w:pPr>
            <w:r w:rsidRPr="00C91ACB">
              <w:rPr>
                <w:rFonts w:eastAsiaTheme="minorEastAsia" w:cs="Calibri"/>
                <w:iCs/>
                <w:color w:val="FFFFFF"/>
                <w:szCs w:val="20"/>
                <w:lang w:eastAsia="en-AU"/>
              </w:rPr>
              <w:t xml:space="preserve"> </w:t>
            </w:r>
          </w:p>
        </w:tc>
        <w:tc>
          <w:tcPr>
            <w:tcW w:w="1559" w:type="dxa"/>
            <w:gridSpan w:val="2"/>
            <w:tcBorders>
              <w:top w:val="nil"/>
              <w:left w:val="nil"/>
              <w:bottom w:val="nil"/>
              <w:right w:val="nil"/>
            </w:tcBorders>
            <w:shd w:val="solid" w:color="000000" w:fill="auto"/>
          </w:tcPr>
          <w:p w:rsidR="00BB6F1F" w:rsidRPr="00C91ACB"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91ACB">
              <w:rPr>
                <w:rFonts w:eastAsiaTheme="minorEastAsia" w:cs="Calibri"/>
                <w:iCs/>
                <w:color w:val="FFFFFF"/>
                <w:szCs w:val="20"/>
                <w:lang w:eastAsia="en-AU"/>
              </w:rPr>
              <w:t>State of Victoria</w:t>
            </w:r>
          </w:p>
        </w:tc>
      </w:tr>
      <w:tr w:rsidR="00BB6F1F" w:rsidRPr="00C91ACB"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shd w:val="solid" w:color="000000" w:fill="auto"/>
          </w:tcPr>
          <w:p w:rsidR="00BB6F1F" w:rsidRPr="00C91ACB" w:rsidRDefault="00BB6F1F" w:rsidP="00AC68FF">
            <w:pPr>
              <w:keepLines w:val="0"/>
              <w:autoSpaceDE w:val="0"/>
              <w:autoSpaceDN w:val="0"/>
              <w:adjustRightInd w:val="0"/>
              <w:rPr>
                <w:rFonts w:eastAsiaTheme="minorEastAsia" w:cs="Calibri"/>
                <w:iCs/>
                <w:color w:val="FFFFFF"/>
                <w:szCs w:val="20"/>
                <w:lang w:eastAsia="en-AU"/>
              </w:rPr>
            </w:pPr>
            <w:r w:rsidRPr="00C91ACB">
              <w:rPr>
                <w:rFonts w:eastAsiaTheme="minorEastAsia" w:cs="Calibri"/>
                <w:iCs/>
                <w:color w:val="FFFFFF"/>
                <w:szCs w:val="20"/>
                <w:lang w:eastAsia="en-AU"/>
              </w:rPr>
              <w:t xml:space="preserve"> </w:t>
            </w:r>
          </w:p>
        </w:tc>
        <w:tc>
          <w:tcPr>
            <w:tcW w:w="777" w:type="dxa"/>
            <w:tcBorders>
              <w:top w:val="nil"/>
              <w:left w:val="nil"/>
              <w:bottom w:val="nil"/>
              <w:right w:val="nil"/>
            </w:tcBorders>
            <w:shd w:val="solid" w:color="000000" w:fill="auto"/>
          </w:tcPr>
          <w:p w:rsidR="00BB6F1F" w:rsidRPr="00C91ACB"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91ACB">
              <w:rPr>
                <w:rFonts w:eastAsiaTheme="minorEastAsia" w:cs="Calibri"/>
                <w:iCs/>
                <w:color w:val="FFFFFF"/>
                <w:szCs w:val="20"/>
                <w:lang w:eastAsia="en-AU"/>
              </w:rPr>
              <w:t>2017</w:t>
            </w:r>
          </w:p>
        </w:tc>
        <w:tc>
          <w:tcPr>
            <w:tcW w:w="794" w:type="dxa"/>
            <w:gridSpan w:val="2"/>
            <w:tcBorders>
              <w:top w:val="nil"/>
              <w:left w:val="nil"/>
              <w:bottom w:val="nil"/>
              <w:right w:val="nil"/>
            </w:tcBorders>
            <w:shd w:val="solid" w:color="000000" w:fill="auto"/>
          </w:tcPr>
          <w:p w:rsidR="00BB6F1F" w:rsidRPr="00C91ACB"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91ACB">
              <w:rPr>
                <w:rFonts w:eastAsiaTheme="minorEastAsia" w:cs="Calibri"/>
                <w:iCs/>
                <w:color w:val="FFFFFF"/>
                <w:szCs w:val="20"/>
                <w:lang w:eastAsia="en-AU"/>
              </w:rPr>
              <w:t>2016</w:t>
            </w:r>
          </w:p>
        </w:tc>
      </w:tr>
      <w:tr w:rsidR="00BB6F1F" w:rsidRPr="00C91ACB" w:rsidTr="00AC68FF">
        <w:trPr>
          <w:gridAfter w:val="1"/>
          <w:wAfter w:w="12" w:type="dxa"/>
        </w:trPr>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rsidR="00BB6F1F" w:rsidRPr="00C91ACB" w:rsidRDefault="00BB6F1F" w:rsidP="00AC68FF">
            <w:pPr>
              <w:keepLines w:val="0"/>
              <w:autoSpaceDE w:val="0"/>
              <w:autoSpaceDN w:val="0"/>
              <w:adjustRightInd w:val="0"/>
              <w:rPr>
                <w:rFonts w:eastAsiaTheme="minorEastAsia" w:cs="Calibri"/>
                <w:color w:val="000000"/>
                <w:szCs w:val="20"/>
                <w:lang w:eastAsia="en-AU"/>
              </w:rPr>
            </w:pPr>
            <w:r w:rsidRPr="00C91ACB">
              <w:rPr>
                <w:rFonts w:eastAsiaTheme="minorEastAsia" w:cs="Calibri"/>
                <w:color w:val="000000"/>
                <w:szCs w:val="20"/>
                <w:lang w:eastAsia="en-AU"/>
              </w:rPr>
              <w:t>General government</w:t>
            </w:r>
          </w:p>
        </w:tc>
        <w:tc>
          <w:tcPr>
            <w:tcW w:w="777"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1ACB">
              <w:rPr>
                <w:rFonts w:eastAsiaTheme="minorEastAsia" w:cs="Calibri"/>
                <w:color w:val="000000"/>
                <w:szCs w:val="20"/>
                <w:lang w:eastAsia="en-AU"/>
              </w:rPr>
              <w:t>11 610</w:t>
            </w:r>
          </w:p>
        </w:tc>
        <w:tc>
          <w:tcPr>
            <w:tcW w:w="782"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1ACB">
              <w:rPr>
                <w:rFonts w:eastAsiaTheme="minorEastAsia" w:cs="Calibri"/>
                <w:color w:val="000000"/>
                <w:szCs w:val="20"/>
                <w:lang w:eastAsia="en-AU"/>
              </w:rPr>
              <w:t>11 426</w:t>
            </w:r>
          </w:p>
        </w:tc>
      </w:tr>
      <w:tr w:rsidR="00BB6F1F" w:rsidRPr="00C91ACB" w:rsidTr="00AC68FF">
        <w:trPr>
          <w:gridAfter w:val="1"/>
          <w:wAfter w:w="12" w:type="dxa"/>
        </w:trPr>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rsidR="00BB6F1F" w:rsidRPr="00C91ACB" w:rsidRDefault="00BB6F1F" w:rsidP="00AC68FF">
            <w:pPr>
              <w:keepLines w:val="0"/>
              <w:autoSpaceDE w:val="0"/>
              <w:autoSpaceDN w:val="0"/>
              <w:adjustRightInd w:val="0"/>
              <w:rPr>
                <w:rFonts w:eastAsiaTheme="minorEastAsia" w:cs="Calibri"/>
                <w:color w:val="000000"/>
                <w:szCs w:val="20"/>
                <w:lang w:eastAsia="en-AU"/>
              </w:rPr>
            </w:pPr>
            <w:r w:rsidRPr="00C91ACB">
              <w:rPr>
                <w:rFonts w:eastAsiaTheme="minorEastAsia" w:cs="Calibri"/>
                <w:color w:val="000000"/>
                <w:szCs w:val="20"/>
                <w:lang w:eastAsia="en-AU"/>
              </w:rPr>
              <w:t>Public non-financial corporations</w:t>
            </w:r>
          </w:p>
        </w:tc>
        <w:tc>
          <w:tcPr>
            <w:tcW w:w="777"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131</w:t>
            </w:r>
          </w:p>
        </w:tc>
        <w:tc>
          <w:tcPr>
            <w:tcW w:w="782"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186</w:t>
            </w:r>
          </w:p>
        </w:tc>
      </w:tr>
      <w:tr w:rsidR="00BB6F1F" w:rsidRPr="00C91ACB" w:rsidTr="00AC68FF">
        <w:trPr>
          <w:gridAfter w:val="1"/>
          <w:wAfter w:w="12" w:type="dxa"/>
        </w:trPr>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rsidR="00BB6F1F" w:rsidRPr="00C91ACB" w:rsidRDefault="00BB6F1F" w:rsidP="00AC68FF">
            <w:pPr>
              <w:keepLines w:val="0"/>
              <w:autoSpaceDE w:val="0"/>
              <w:autoSpaceDN w:val="0"/>
              <w:adjustRightInd w:val="0"/>
              <w:rPr>
                <w:rFonts w:eastAsiaTheme="minorEastAsia" w:cs="Calibri"/>
                <w:color w:val="000000"/>
                <w:szCs w:val="20"/>
                <w:lang w:eastAsia="en-AU"/>
              </w:rPr>
            </w:pPr>
            <w:r w:rsidRPr="00C91ACB">
              <w:rPr>
                <w:rFonts w:eastAsiaTheme="minorEastAsia" w:cs="Calibri"/>
                <w:color w:val="000000"/>
                <w:szCs w:val="20"/>
                <w:lang w:eastAsia="en-AU"/>
              </w:rPr>
              <w:t>Public financial corporations</w:t>
            </w:r>
          </w:p>
        </w:tc>
        <w:tc>
          <w:tcPr>
            <w:tcW w:w="777"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1ACB">
              <w:rPr>
                <w:rFonts w:eastAsiaTheme="minorEastAsia" w:cs="Calibri"/>
                <w:color w:val="000000"/>
                <w:szCs w:val="20"/>
                <w:lang w:eastAsia="en-AU"/>
              </w:rPr>
              <w:t>..</w:t>
            </w:r>
          </w:p>
        </w:tc>
        <w:tc>
          <w:tcPr>
            <w:tcW w:w="782"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w:t>
            </w:r>
          </w:p>
        </w:tc>
      </w:tr>
      <w:tr w:rsidR="00BB6F1F" w:rsidRPr="00C91ACB" w:rsidTr="00AC68FF">
        <w:trPr>
          <w:gridAfter w:val="1"/>
          <w:wAfter w:w="12" w:type="dxa"/>
        </w:trPr>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rsidR="00BB6F1F" w:rsidRPr="00C91ACB" w:rsidRDefault="00BB6F1F" w:rsidP="00AC68FF">
            <w:pPr>
              <w:keepLines w:val="0"/>
              <w:autoSpaceDE w:val="0"/>
              <w:autoSpaceDN w:val="0"/>
              <w:adjustRightInd w:val="0"/>
              <w:rPr>
                <w:rFonts w:eastAsiaTheme="minorEastAsia" w:cs="Calibri"/>
                <w:i/>
                <w:iCs/>
                <w:color w:val="000000"/>
                <w:szCs w:val="20"/>
                <w:vertAlign w:val="superscript"/>
                <w:lang w:eastAsia="en-AU"/>
              </w:rPr>
            </w:pPr>
            <w:r w:rsidRPr="00C91ACB">
              <w:rPr>
                <w:rFonts w:eastAsiaTheme="minorEastAsia" w:cs="Calibri"/>
                <w:i/>
                <w:iCs/>
                <w:color w:val="000000"/>
                <w:szCs w:val="20"/>
                <w:lang w:eastAsia="en-AU"/>
              </w:rPr>
              <w:t xml:space="preserve">Eliminations </w:t>
            </w:r>
            <w:r w:rsidRPr="00C91ACB">
              <w:rPr>
                <w:rFonts w:eastAsiaTheme="minorEastAsia" w:cs="Calibri"/>
                <w:i/>
                <w:iCs/>
                <w:color w:val="000000"/>
                <w:szCs w:val="20"/>
                <w:vertAlign w:val="superscript"/>
                <w:lang w:eastAsia="en-AU"/>
              </w:rPr>
              <w:t>(a)</w:t>
            </w:r>
          </w:p>
        </w:tc>
        <w:tc>
          <w:tcPr>
            <w:tcW w:w="777"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1ACB">
              <w:rPr>
                <w:rFonts w:eastAsiaTheme="minorEastAsia" w:cs="Calibri"/>
                <w:color w:val="000000"/>
                <w:szCs w:val="20"/>
                <w:lang w:eastAsia="en-AU"/>
              </w:rPr>
              <w:t>(11 137)</w:t>
            </w:r>
          </w:p>
        </w:tc>
        <w:tc>
          <w:tcPr>
            <w:tcW w:w="782"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1ACB">
              <w:rPr>
                <w:rFonts w:eastAsiaTheme="minorEastAsia" w:cs="Calibri"/>
                <w:color w:val="000000"/>
                <w:szCs w:val="20"/>
                <w:lang w:eastAsia="en-AU"/>
              </w:rPr>
              <w:t>(10 905)</w:t>
            </w:r>
          </w:p>
        </w:tc>
      </w:tr>
      <w:tr w:rsidR="00BB6F1F" w:rsidRPr="00C91ACB" w:rsidTr="00AC68FF">
        <w:trPr>
          <w:gridAfter w:val="1"/>
          <w:wAfter w:w="12" w:type="dxa"/>
        </w:trPr>
        <w:tc>
          <w:tcPr>
            <w:cnfStyle w:val="001000000000" w:firstRow="0" w:lastRow="0" w:firstColumn="1" w:lastColumn="0" w:oddVBand="0" w:evenVBand="0" w:oddHBand="0" w:evenHBand="0" w:firstRowFirstColumn="0" w:firstRowLastColumn="0" w:lastRowFirstColumn="0" w:lastRowLastColumn="0"/>
            <w:tcW w:w="2971" w:type="dxa"/>
            <w:tcBorders>
              <w:top w:val="single" w:sz="6" w:space="0" w:color="auto"/>
              <w:left w:val="nil"/>
              <w:bottom w:val="single" w:sz="12" w:space="0" w:color="auto"/>
              <w:right w:val="nil"/>
            </w:tcBorders>
          </w:tcPr>
          <w:p w:rsidR="00BB6F1F" w:rsidRPr="00C91ACB" w:rsidRDefault="00BB6F1F" w:rsidP="006309F6">
            <w:pPr>
              <w:keepLines w:val="0"/>
              <w:autoSpaceDE w:val="0"/>
              <w:autoSpaceDN w:val="0"/>
              <w:adjustRightInd w:val="0"/>
              <w:rPr>
                <w:rFonts w:eastAsiaTheme="minorEastAsia" w:cs="Calibri"/>
                <w:b/>
                <w:bCs/>
                <w:color w:val="000000"/>
                <w:szCs w:val="20"/>
                <w:lang w:eastAsia="en-AU"/>
              </w:rPr>
            </w:pPr>
            <w:r w:rsidRPr="00C91ACB">
              <w:rPr>
                <w:rFonts w:eastAsiaTheme="minorEastAsia" w:cs="Calibri"/>
                <w:b/>
                <w:bCs/>
                <w:color w:val="000000"/>
                <w:szCs w:val="20"/>
                <w:lang w:eastAsia="en-AU"/>
              </w:rPr>
              <w:t xml:space="preserve">Total contingent liabilities – </w:t>
            </w:r>
            <w:r w:rsidR="003A7481">
              <w:rPr>
                <w:rFonts w:eastAsiaTheme="minorEastAsia" w:cs="Calibri"/>
                <w:b/>
                <w:bCs/>
                <w:color w:val="000000"/>
                <w:szCs w:val="20"/>
                <w:lang w:eastAsia="en-AU"/>
              </w:rPr>
              <w:br/>
            </w:r>
            <w:r w:rsidRPr="00C91ACB">
              <w:rPr>
                <w:rFonts w:eastAsiaTheme="minorEastAsia" w:cs="Calibri"/>
                <w:b/>
                <w:bCs/>
                <w:color w:val="000000"/>
                <w:szCs w:val="20"/>
                <w:lang w:eastAsia="en-AU"/>
              </w:rPr>
              <w:t>State of Victoria</w:t>
            </w:r>
          </w:p>
        </w:tc>
        <w:tc>
          <w:tcPr>
            <w:tcW w:w="777" w:type="dxa"/>
            <w:tcBorders>
              <w:top w:val="single" w:sz="6" w:space="0" w:color="auto"/>
              <w:left w:val="nil"/>
              <w:bottom w:val="single" w:sz="12" w:space="0" w:color="auto"/>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604</w:t>
            </w:r>
          </w:p>
        </w:tc>
        <w:tc>
          <w:tcPr>
            <w:tcW w:w="782" w:type="dxa"/>
            <w:tcBorders>
              <w:top w:val="single" w:sz="6" w:space="0" w:color="auto"/>
              <w:left w:val="nil"/>
              <w:bottom w:val="single" w:sz="12" w:space="0" w:color="auto"/>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718</w:t>
            </w:r>
          </w:p>
        </w:tc>
      </w:tr>
      <w:tr w:rsidR="00BB6F1F" w:rsidRPr="00C91ACB" w:rsidTr="00AC68FF">
        <w:trPr>
          <w:gridAfter w:val="1"/>
          <w:wAfter w:w="12" w:type="dxa"/>
          <w:trHeight w:hRule="exact" w:val="120"/>
        </w:trPr>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rsidR="00BB6F1F" w:rsidRPr="00C91ACB" w:rsidRDefault="00BB6F1F" w:rsidP="00AC68FF">
            <w:pPr>
              <w:keepLines w:val="0"/>
              <w:autoSpaceDE w:val="0"/>
              <w:autoSpaceDN w:val="0"/>
              <w:adjustRightInd w:val="0"/>
              <w:rPr>
                <w:rFonts w:eastAsiaTheme="minorEastAsia" w:cs="Calibri"/>
                <w:color w:val="000000"/>
                <w:szCs w:val="20"/>
                <w:lang w:eastAsia="en-AU"/>
              </w:rPr>
            </w:pPr>
            <w:r w:rsidRPr="00C91ACB">
              <w:rPr>
                <w:rFonts w:eastAsiaTheme="minorEastAsia" w:cs="Calibri"/>
                <w:color w:val="000000"/>
                <w:szCs w:val="20"/>
                <w:lang w:eastAsia="en-AU"/>
              </w:rPr>
              <w:t xml:space="preserve"> </w:t>
            </w:r>
          </w:p>
        </w:tc>
        <w:tc>
          <w:tcPr>
            <w:tcW w:w="777"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1ACB">
              <w:rPr>
                <w:rFonts w:eastAsiaTheme="minorEastAsia" w:cs="Calibri"/>
                <w:color w:val="000000"/>
                <w:szCs w:val="20"/>
                <w:lang w:eastAsia="en-AU"/>
              </w:rPr>
              <w:t xml:space="preserve"> </w:t>
            </w:r>
          </w:p>
        </w:tc>
        <w:tc>
          <w:tcPr>
            <w:tcW w:w="782"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91ACB">
              <w:rPr>
                <w:rFonts w:eastAsiaTheme="minorEastAsia" w:cs="Calibri"/>
                <w:color w:val="000000"/>
                <w:szCs w:val="20"/>
                <w:lang w:eastAsia="en-AU"/>
              </w:rPr>
              <w:t xml:space="preserve"> </w:t>
            </w:r>
          </w:p>
        </w:tc>
      </w:tr>
      <w:tr w:rsidR="00BB6F1F" w:rsidRPr="00C91ACB" w:rsidTr="00AC68FF">
        <w:trPr>
          <w:gridAfter w:val="1"/>
          <w:wAfter w:w="12" w:type="dxa"/>
        </w:trPr>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rsidR="00BB6F1F" w:rsidRPr="00C91ACB" w:rsidRDefault="00BB6F1F" w:rsidP="00AC68FF">
            <w:pPr>
              <w:keepLines w:val="0"/>
              <w:autoSpaceDE w:val="0"/>
              <w:autoSpaceDN w:val="0"/>
              <w:adjustRightInd w:val="0"/>
              <w:rPr>
                <w:rFonts w:eastAsiaTheme="minorEastAsia" w:cs="Calibri"/>
                <w:color w:val="000000"/>
                <w:szCs w:val="20"/>
                <w:lang w:eastAsia="en-AU"/>
              </w:rPr>
            </w:pPr>
            <w:r w:rsidRPr="00C91ACB">
              <w:rPr>
                <w:rFonts w:eastAsiaTheme="minorEastAsia" w:cs="Calibri"/>
                <w:color w:val="000000"/>
                <w:szCs w:val="20"/>
                <w:lang w:eastAsia="en-AU"/>
              </w:rPr>
              <w:t>Guarantees, indemnities and warranties</w:t>
            </w:r>
          </w:p>
        </w:tc>
        <w:tc>
          <w:tcPr>
            <w:tcW w:w="777"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259</w:t>
            </w:r>
          </w:p>
        </w:tc>
        <w:tc>
          <w:tcPr>
            <w:tcW w:w="782"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301</w:t>
            </w:r>
          </w:p>
        </w:tc>
      </w:tr>
      <w:tr w:rsidR="00BB6F1F" w:rsidRPr="00C91ACB" w:rsidTr="00AC68FF">
        <w:trPr>
          <w:gridAfter w:val="1"/>
          <w:wAfter w:w="12" w:type="dxa"/>
        </w:trPr>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rsidR="00BB6F1F" w:rsidRPr="00C91ACB" w:rsidRDefault="00BB6F1F" w:rsidP="00AC68FF">
            <w:pPr>
              <w:keepLines w:val="0"/>
              <w:autoSpaceDE w:val="0"/>
              <w:autoSpaceDN w:val="0"/>
              <w:adjustRightInd w:val="0"/>
              <w:rPr>
                <w:rFonts w:eastAsiaTheme="minorEastAsia" w:cs="Calibri"/>
                <w:color w:val="000000"/>
                <w:szCs w:val="20"/>
                <w:lang w:eastAsia="en-AU"/>
              </w:rPr>
            </w:pPr>
            <w:r w:rsidRPr="00C91ACB">
              <w:rPr>
                <w:rFonts w:eastAsiaTheme="minorEastAsia" w:cs="Calibri"/>
                <w:color w:val="000000"/>
                <w:szCs w:val="20"/>
                <w:lang w:eastAsia="en-AU"/>
              </w:rPr>
              <w:t>Legal proceedings and disputes</w:t>
            </w:r>
          </w:p>
        </w:tc>
        <w:tc>
          <w:tcPr>
            <w:tcW w:w="777"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124</w:t>
            </w:r>
          </w:p>
        </w:tc>
        <w:tc>
          <w:tcPr>
            <w:tcW w:w="782"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179</w:t>
            </w:r>
          </w:p>
        </w:tc>
      </w:tr>
      <w:tr w:rsidR="00BB6F1F" w:rsidRPr="00C91ACB" w:rsidTr="00AC68FF">
        <w:trPr>
          <w:gridAfter w:val="1"/>
          <w:wAfter w:w="12" w:type="dxa"/>
        </w:trPr>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rsidR="00BB6F1F" w:rsidRPr="00C91ACB" w:rsidRDefault="00BB6F1F" w:rsidP="00AC68FF">
            <w:pPr>
              <w:keepLines w:val="0"/>
              <w:autoSpaceDE w:val="0"/>
              <w:autoSpaceDN w:val="0"/>
              <w:adjustRightInd w:val="0"/>
              <w:rPr>
                <w:rFonts w:eastAsiaTheme="minorEastAsia" w:cs="Calibri"/>
                <w:color w:val="000000"/>
                <w:szCs w:val="20"/>
                <w:lang w:eastAsia="en-AU"/>
              </w:rPr>
            </w:pPr>
            <w:r w:rsidRPr="00C91ACB">
              <w:rPr>
                <w:rFonts w:eastAsiaTheme="minorEastAsia" w:cs="Calibri"/>
                <w:color w:val="000000"/>
                <w:szCs w:val="20"/>
                <w:lang w:eastAsia="en-AU"/>
              </w:rPr>
              <w:t>Other</w:t>
            </w:r>
          </w:p>
        </w:tc>
        <w:tc>
          <w:tcPr>
            <w:tcW w:w="777"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221</w:t>
            </w:r>
          </w:p>
        </w:tc>
        <w:tc>
          <w:tcPr>
            <w:tcW w:w="782" w:type="dxa"/>
            <w:tcBorders>
              <w:top w:val="nil"/>
              <w:left w:val="nil"/>
              <w:bottom w:val="nil"/>
              <w:right w:val="nil"/>
            </w:tcBorders>
          </w:tcPr>
          <w:p w:rsidR="00BB6F1F" w:rsidRPr="00C91ACB"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238</w:t>
            </w:r>
          </w:p>
        </w:tc>
      </w:tr>
      <w:tr w:rsidR="00BB6F1F" w:rsidRPr="00C91ACB" w:rsidTr="00AC68FF">
        <w:trPr>
          <w:gridAfter w:val="1"/>
          <w:cnfStyle w:val="010000000000" w:firstRow="0" w:lastRow="1" w:firstColumn="0" w:lastColumn="0" w:oddVBand="0" w:evenVBand="0" w:oddHBand="0"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971" w:type="dxa"/>
            <w:tcBorders>
              <w:top w:val="single" w:sz="6" w:space="0" w:color="auto"/>
              <w:bottom w:val="single" w:sz="12" w:space="0" w:color="auto"/>
            </w:tcBorders>
          </w:tcPr>
          <w:p w:rsidR="00BB6F1F" w:rsidRPr="00C91ACB" w:rsidRDefault="00BB6F1F" w:rsidP="006309F6">
            <w:pPr>
              <w:keepLines w:val="0"/>
              <w:autoSpaceDE w:val="0"/>
              <w:autoSpaceDN w:val="0"/>
              <w:adjustRightInd w:val="0"/>
              <w:rPr>
                <w:rFonts w:eastAsiaTheme="minorEastAsia" w:cs="Calibri"/>
                <w:bCs/>
                <w:color w:val="000000"/>
                <w:szCs w:val="20"/>
                <w:lang w:eastAsia="en-AU"/>
              </w:rPr>
            </w:pPr>
            <w:r w:rsidRPr="00C91ACB">
              <w:rPr>
                <w:rFonts w:eastAsiaTheme="minorEastAsia" w:cs="Calibri"/>
                <w:bCs/>
                <w:color w:val="000000"/>
                <w:szCs w:val="20"/>
                <w:lang w:eastAsia="en-AU"/>
              </w:rPr>
              <w:t xml:space="preserve">Total contingent liabilities – </w:t>
            </w:r>
            <w:r w:rsidR="003A7481">
              <w:rPr>
                <w:rFonts w:eastAsiaTheme="minorEastAsia" w:cs="Calibri"/>
                <w:bCs/>
                <w:color w:val="000000"/>
                <w:szCs w:val="20"/>
                <w:lang w:eastAsia="en-AU"/>
              </w:rPr>
              <w:br/>
            </w:r>
            <w:r w:rsidRPr="00C91ACB">
              <w:rPr>
                <w:rFonts w:eastAsiaTheme="minorEastAsia" w:cs="Calibri"/>
                <w:bCs/>
                <w:color w:val="000000"/>
                <w:szCs w:val="20"/>
                <w:lang w:eastAsia="en-AU"/>
              </w:rPr>
              <w:t>State of Victoria</w:t>
            </w:r>
          </w:p>
        </w:tc>
        <w:tc>
          <w:tcPr>
            <w:tcW w:w="777" w:type="dxa"/>
            <w:tcBorders>
              <w:top w:val="single" w:sz="6" w:space="0" w:color="auto"/>
              <w:bottom w:val="single" w:sz="12" w:space="0" w:color="auto"/>
            </w:tcBorders>
          </w:tcPr>
          <w:p w:rsidR="00BB6F1F" w:rsidRPr="00C91AC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604</w:t>
            </w:r>
          </w:p>
        </w:tc>
        <w:tc>
          <w:tcPr>
            <w:tcW w:w="782" w:type="dxa"/>
            <w:tcBorders>
              <w:top w:val="single" w:sz="6" w:space="0" w:color="auto"/>
              <w:bottom w:val="single" w:sz="12" w:space="0" w:color="auto"/>
            </w:tcBorders>
          </w:tcPr>
          <w:p w:rsidR="00BB6F1F" w:rsidRPr="00C91ACB"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718</w:t>
            </w:r>
          </w:p>
        </w:tc>
      </w:tr>
    </w:tbl>
    <w:p w:rsidR="00BB6F1F" w:rsidRDefault="00BB6F1F" w:rsidP="00AC68FF">
      <w:pPr>
        <w:pStyle w:val="Note"/>
      </w:pPr>
      <w:r>
        <w:t>Note:</w:t>
      </w:r>
    </w:p>
    <w:p w:rsidR="00BB6F1F" w:rsidRDefault="00BB6F1F" w:rsidP="00AC68FF">
      <w:pPr>
        <w:pStyle w:val="Note"/>
      </w:pPr>
      <w:r>
        <w:t>(a)</w:t>
      </w:r>
      <w:r>
        <w:tab/>
        <w:t>Mainly represents the guarantee of borrowings provided by the Treasurer for the public sector borrowings portfolio.</w:t>
      </w:r>
    </w:p>
    <w:p w:rsidR="00BB6F1F" w:rsidRDefault="00BB6F1F" w:rsidP="00AC68FF">
      <w:pPr>
        <w:pStyle w:val="Heading30"/>
      </w:pPr>
      <w:r>
        <w:t>Non-quantifiable contingent liabilities</w:t>
      </w:r>
    </w:p>
    <w:p w:rsidR="00BB6F1F" w:rsidRDefault="00BB6F1F" w:rsidP="00AC68FF">
      <w:r>
        <w:t>A number of potential obligations are non</w:t>
      </w:r>
      <w:r>
        <w:noBreakHyphen/>
        <w:t>quantifiable at this time arising from:</w:t>
      </w:r>
    </w:p>
    <w:p w:rsidR="00BB6F1F" w:rsidRDefault="00BB6F1F" w:rsidP="00AC68FF">
      <w:pPr>
        <w:pStyle w:val="ListBullet"/>
      </w:pPr>
      <w:r>
        <w:t>indemnities provided in relation to transactions, including financial arrangements and consultancy services, as well as for directors and administrators;</w:t>
      </w:r>
    </w:p>
    <w:p w:rsidR="00BB6F1F" w:rsidRDefault="00BB6F1F" w:rsidP="00AC68FF">
      <w:pPr>
        <w:pStyle w:val="ListBullet"/>
      </w:pPr>
      <w:r>
        <w:t>performance guarantees, warranties, letters of comfort and the like;</w:t>
      </w:r>
    </w:p>
    <w:p w:rsidR="00BB6F1F" w:rsidRDefault="00BB6F1F" w:rsidP="00AC68FF">
      <w:pPr>
        <w:pStyle w:val="ListBullet"/>
      </w:pPr>
      <w:r>
        <w:t>deeds in respect of certain obligations; and</w:t>
      </w:r>
    </w:p>
    <w:p w:rsidR="00BB6F1F" w:rsidRDefault="00BB6F1F" w:rsidP="00AC68FF">
      <w:pPr>
        <w:pStyle w:val="ListBullet"/>
      </w:pPr>
      <w:r>
        <w:t>unclaimed monies, which may be subject to future claims by the general public against the State.</w:t>
      </w:r>
    </w:p>
    <w:p w:rsidR="00BB6F1F" w:rsidRDefault="00BB6F1F" w:rsidP="00AC68FF">
      <w:r>
        <w:t>An overview of the more significant non-quantifiable liabilities follows:</w:t>
      </w:r>
    </w:p>
    <w:p w:rsidR="00BB6F1F" w:rsidRPr="00385625" w:rsidRDefault="00BB6F1F" w:rsidP="00AC68FF">
      <w:pPr>
        <w:pStyle w:val="Heading4"/>
      </w:pPr>
      <w:proofErr w:type="spellStart"/>
      <w:r w:rsidRPr="00385625">
        <w:t>AgriBio</w:t>
      </w:r>
      <w:proofErr w:type="spellEnd"/>
      <w:r w:rsidRPr="00385625">
        <w:t xml:space="preserve"> Centre for </w:t>
      </w:r>
      <w:proofErr w:type="spellStart"/>
      <w:r w:rsidRPr="00385625">
        <w:t>AgriBioscience</w:t>
      </w:r>
      <w:proofErr w:type="spellEnd"/>
      <w:r w:rsidRPr="00385625">
        <w:t xml:space="preserve"> (formerly known as The Biosciences Research Centre)</w:t>
      </w:r>
    </w:p>
    <w:p w:rsidR="00BB6F1F" w:rsidRDefault="00BB6F1F" w:rsidP="00AC68FF">
      <w:r>
        <w:t xml:space="preserve">The quarterly service fee payment obligations of the </w:t>
      </w:r>
      <w:proofErr w:type="spellStart"/>
      <w:r>
        <w:t>AgriBio</w:t>
      </w:r>
      <w:proofErr w:type="spellEnd"/>
      <w:r>
        <w:t xml:space="preserve"> Centre for </w:t>
      </w:r>
      <w:proofErr w:type="spellStart"/>
      <w:r>
        <w:t>AgriBioscience</w:t>
      </w:r>
      <w:proofErr w:type="spellEnd"/>
      <w:r>
        <w:t xml:space="preserve"> on behalf of the joint venture participants (Department of Economic Development, Jobs, Transport and Resources, and La Trobe University) are supported by the State of Victoria via a State Support Deed. Under this Deed, the State ensures that the joint venture participants have severally the financial capacity to meet their payment obligations to Biosciences Research Centre Pty Ltd (BRC), thereby enabling BRC to meet its obligations to pay the service fee to the concessionaire pursuant to the project agreement. The State underwrites the risk of any default by BRC.</w:t>
      </w:r>
    </w:p>
    <w:p w:rsidR="00BB6F1F" w:rsidRDefault="00BB6F1F">
      <w:pPr>
        <w:keepLines w:val="0"/>
        <w:rPr>
          <w:rFonts w:asciiTheme="majorHAnsi" w:eastAsiaTheme="majorEastAsia" w:hAnsiTheme="majorHAnsi" w:cstheme="majorBidi"/>
          <w:b/>
          <w:bCs/>
          <w:i/>
          <w:spacing w:val="-2"/>
          <w:sz w:val="23"/>
          <w:szCs w:val="26"/>
        </w:rPr>
      </w:pPr>
      <w:r>
        <w:rPr>
          <w:i/>
        </w:rPr>
        <w:br w:type="page"/>
      </w:r>
    </w:p>
    <w:p w:rsidR="00BB6F1F" w:rsidRPr="00385625" w:rsidRDefault="00BB6F1F" w:rsidP="00AC68FF">
      <w:pPr>
        <w:pStyle w:val="Heading4"/>
      </w:pPr>
      <w:r w:rsidRPr="00385625">
        <w:lastRenderedPageBreak/>
        <w:t>Department of Education and Training</w:t>
      </w:r>
    </w:p>
    <w:p w:rsidR="00BB6F1F" w:rsidRDefault="00BB6F1F" w:rsidP="00AC68FF">
      <w:r>
        <w:t>The Department has a number of unquantifiable contingent liabilities, arising from indemnities provided by it, as follows:</w:t>
      </w:r>
    </w:p>
    <w:p w:rsidR="00BB6F1F" w:rsidRDefault="00BB6F1F" w:rsidP="00AC68FF">
      <w:pPr>
        <w:pStyle w:val="ListBullet"/>
      </w:pPr>
      <w:r>
        <w:t xml:space="preserve">Volunteer school workers and volunteer student workers: the </w:t>
      </w:r>
      <w:r w:rsidRPr="005D03EE">
        <w:rPr>
          <w:i/>
        </w:rPr>
        <w:t>Education and Training Reform Act 2006</w:t>
      </w:r>
      <w:r>
        <w:t xml:space="preserve"> provides a specific indemnity for personal injuries suffered by volunteer school workers and volunteer student workers arising out of or in the course of engaging in school work or community work respectively.</w:t>
      </w:r>
    </w:p>
    <w:p w:rsidR="00BB6F1F" w:rsidRDefault="00BB6F1F" w:rsidP="00AC68FF">
      <w:pPr>
        <w:pStyle w:val="ListBullet"/>
      </w:pPr>
      <w:r>
        <w:t xml:space="preserve">Members of school councils: the </w:t>
      </w:r>
      <w:r w:rsidRPr="00707DA5">
        <w:rPr>
          <w:i/>
        </w:rPr>
        <w:t>Education and Training Reform Act 2006</w:t>
      </w:r>
      <w:r>
        <w:t xml:space="preserve"> provides an indemnity to members of school councils for any legal liability, whether in contract, negligence or defamation.</w:t>
      </w:r>
    </w:p>
    <w:p w:rsidR="00BB6F1F" w:rsidRDefault="00BB6F1F" w:rsidP="00AC68FF">
      <w:pPr>
        <w:pStyle w:val="ListBullet"/>
      </w:pPr>
      <w:r>
        <w:t>Teachers: if a teacher is named as a defendant in a student personal injury claim, any costs and damages will generally be paid by the Department provided the teacher was not under the influence of illicit drugs or alcohol or engaging in a criminal offence and the behaviour was not outrageous and was related to their employment.</w:t>
      </w:r>
    </w:p>
    <w:p w:rsidR="00BB6F1F" w:rsidRDefault="00BB6F1F" w:rsidP="00AC68FF">
      <w:pPr>
        <w:pStyle w:val="ListBullet"/>
      </w:pPr>
      <w:r>
        <w:t>School councils: the Department will usually indemnify school councils in claims of common law negligence, and will often indemnify in relation to employment disputes, for the cost of settlement and legal representation. The Department will take into account the impact of payment upon the school’s educational program and any insurance cover for the school council, and will likely indemnify if the Department is satisfied that:</w:t>
      </w:r>
    </w:p>
    <w:p w:rsidR="00BB6F1F" w:rsidRDefault="00BB6F1F" w:rsidP="00AC68FF">
      <w:pPr>
        <w:pStyle w:val="ListBullet2"/>
      </w:pPr>
      <w:r>
        <w:t>the school council acted in good faith and according to issued guidelines and directions; and</w:t>
      </w:r>
    </w:p>
    <w:p w:rsidR="00BB6F1F" w:rsidRDefault="00BB6F1F" w:rsidP="00AC68FF">
      <w:pPr>
        <w:pStyle w:val="ListBullet2"/>
      </w:pPr>
      <w:r>
        <w:t>the school council has insufficient funds to pay the claim.</w:t>
      </w:r>
    </w:p>
    <w:p w:rsidR="00BB6F1F" w:rsidRPr="00385625" w:rsidRDefault="00BB6F1F" w:rsidP="00AC68FF">
      <w:pPr>
        <w:pStyle w:val="Heading4"/>
      </w:pPr>
      <w:r w:rsidRPr="00385625">
        <w:t xml:space="preserve">Public acquisition overlays for the future development </w:t>
      </w:r>
      <w:r>
        <w:t>of rail and road infrastructure</w:t>
      </w:r>
    </w:p>
    <w:p w:rsidR="00BB6F1F" w:rsidRDefault="00BB6F1F" w:rsidP="00AC68FF">
      <w:r>
        <w:t xml:space="preserve">Public acquisition overlays are in place to reserve certain areas of land for future development of rail and road infrastructure. Under Section 98 of the </w:t>
      </w:r>
      <w:r w:rsidRPr="00707DA5">
        <w:rPr>
          <w:i/>
        </w:rPr>
        <w:t>Planning and Environment Act 1987</w:t>
      </w:r>
      <w:r>
        <w:t>, the State has a legislative responsibility to compensate eligible land and property owners who face either:</w:t>
      </w:r>
    </w:p>
    <w:p w:rsidR="00BB6F1F" w:rsidRDefault="00BB6F1F" w:rsidP="00AC68FF">
      <w:pPr>
        <w:pStyle w:val="ListBullet"/>
      </w:pPr>
      <w:r>
        <w:t>loss on sale – an eligible landowner is entitled to compensation for the incremental loss on sale when a property affected by a public acquisition overlay is sold for less than its market value; or</w:t>
      </w:r>
    </w:p>
    <w:p w:rsidR="00BB6F1F" w:rsidRDefault="00BB6F1F" w:rsidP="00AC68FF">
      <w:pPr>
        <w:pStyle w:val="ListBullet"/>
      </w:pPr>
      <w:r>
        <w:lastRenderedPageBreak/>
        <w:t>financial loss – the entitlement to financial loss compensation is triggered when a development permit is refused because the property is required for a public purpose.</w:t>
      </w:r>
    </w:p>
    <w:p w:rsidR="00BB6F1F" w:rsidRDefault="00BB6F1F" w:rsidP="00AC68FF">
      <w:r>
        <w:t xml:space="preserve">Compensation and purchase claims occur as a result of claims by land owners. The future liability depends on factors including the number of claims received and the prevailing value of land at the time the claim is made, which cannot be reliably quantified. </w:t>
      </w:r>
    </w:p>
    <w:p w:rsidR="00BB6F1F" w:rsidRPr="00385625" w:rsidRDefault="00BB6F1F" w:rsidP="00AC68FF">
      <w:pPr>
        <w:pStyle w:val="Heading4"/>
      </w:pPr>
      <w:r w:rsidRPr="00385625">
        <w:t>Public transport rail partnership agreements</w:t>
      </w:r>
    </w:p>
    <w:p w:rsidR="00BB6F1F" w:rsidRDefault="00BB6F1F" w:rsidP="00AC68FF">
      <w:r>
        <w:t>Public Transport Victoria (PTV) is party to partnership contractual arrangements with franchisees to operate metropolitan rail transport services in the State, from 30 November 2009 until 30 November 2017. The major contingent liabilities arising in the event of early termination or expiry of the contract are:</w:t>
      </w:r>
    </w:p>
    <w:p w:rsidR="00BB6F1F" w:rsidRDefault="00BB6F1F" w:rsidP="00AC68FF">
      <w:pPr>
        <w:pStyle w:val="ListBullet"/>
      </w:pPr>
      <w:r>
        <w:t>partnership assets – to maintain continuity of services, at early termination or expiry of the franchise contract, assets will revert to PTV or a successor. In the case of some assets, a reversion back to PTV would entail those assets being purchased; and</w:t>
      </w:r>
    </w:p>
    <w:p w:rsidR="00BB6F1F" w:rsidRDefault="00BB6F1F" w:rsidP="00AC68FF">
      <w:pPr>
        <w:pStyle w:val="ListBullet"/>
      </w:pPr>
      <w:r>
        <w:t xml:space="preserve">unfunded superannuation – at the early termination or expiry of the contract, PTV will assume any unfunded superannuation amounts (apart from contributions the operator is required to pay over the contract term) to the extent that the State becomes the successor operator. </w:t>
      </w:r>
    </w:p>
    <w:p w:rsidR="00BB6F1F" w:rsidRPr="00385625" w:rsidRDefault="00BB6F1F" w:rsidP="00AC68FF">
      <w:pPr>
        <w:pStyle w:val="Heading4"/>
      </w:pPr>
      <w:r w:rsidRPr="00385625">
        <w:t>Level Crossing Removal Program</w:t>
      </w:r>
    </w:p>
    <w:p w:rsidR="00BB6F1F" w:rsidRDefault="00BB6F1F" w:rsidP="00AC68FF">
      <w:r>
        <w:t>The State has introduced a voluntary purchase scheme for residential properties directly affected by the Caulfield-Dandenong level crossing removal project. The scheme commenced on 29 March 2016. The Level Crossing Removal Authority is anticipating future claims by property owners for either outright purchase and associated costs or costs related to landscaping if property owners choose to stay. Due to the uncertainty of the take</w:t>
      </w:r>
      <w:r>
        <w:noBreakHyphen/>
        <w:t>up of the offer, it is not feasible to quantify the value of the liability at this stage.</w:t>
      </w:r>
    </w:p>
    <w:p w:rsidR="00BB6F1F" w:rsidRDefault="00BB6F1F">
      <w:pPr>
        <w:keepLines w:val="0"/>
        <w:rPr>
          <w:rFonts w:asciiTheme="majorHAnsi" w:eastAsiaTheme="majorEastAsia" w:hAnsiTheme="majorHAnsi" w:cstheme="majorBidi"/>
          <w:i/>
          <w:iCs/>
          <w:sz w:val="23"/>
          <w:szCs w:val="26"/>
        </w:rPr>
      </w:pPr>
      <w:r>
        <w:br w:type="page"/>
      </w:r>
    </w:p>
    <w:p w:rsidR="00BB6F1F" w:rsidRPr="00385625" w:rsidRDefault="00BB6F1F" w:rsidP="00AC68FF">
      <w:pPr>
        <w:pStyle w:val="Heading4"/>
      </w:pPr>
      <w:proofErr w:type="spellStart"/>
      <w:r w:rsidRPr="00385625">
        <w:lastRenderedPageBreak/>
        <w:t>Fiskville</w:t>
      </w:r>
      <w:proofErr w:type="spellEnd"/>
      <w:r w:rsidRPr="00385625">
        <w:t xml:space="preserve"> independent investigation and closure of training college</w:t>
      </w:r>
    </w:p>
    <w:p w:rsidR="00BB6F1F" w:rsidRDefault="00BB6F1F" w:rsidP="00AC68FF">
      <w:r>
        <w:t xml:space="preserve">An independent investigation was undertaken into the historical use of chemicals for live firefighting training at </w:t>
      </w:r>
      <w:proofErr w:type="spellStart"/>
      <w:r>
        <w:t>Fiskville</w:t>
      </w:r>
      <w:proofErr w:type="spellEnd"/>
      <w:r>
        <w:t xml:space="preserve"> between 1971 and 1999. The report of the independent investigation has been released and the Country Fire Authority (CFA) has accepted all of the facts, recommendations and conclusions and is committed to implementing all recommendations. </w:t>
      </w:r>
    </w:p>
    <w:p w:rsidR="00BB6F1F" w:rsidRDefault="00BB6F1F" w:rsidP="00AC68FF">
      <w:r>
        <w:t xml:space="preserve">In August 2012, the CFA established a program office to manage the implementation of the report’s recommendations and an additional 11 management initiatives to which the CFA Board committed in its response to the report. </w:t>
      </w:r>
    </w:p>
    <w:p w:rsidR="00BB6F1F" w:rsidRDefault="00BB6F1F" w:rsidP="00AC68FF">
      <w:r>
        <w:t xml:space="preserve">On 26 March 2015, the Government announced the permanent closure of </w:t>
      </w:r>
      <w:proofErr w:type="spellStart"/>
      <w:r>
        <w:t>Fiskville</w:t>
      </w:r>
      <w:proofErr w:type="spellEnd"/>
      <w:r>
        <w:t xml:space="preserve"> Training College (“</w:t>
      </w:r>
      <w:proofErr w:type="spellStart"/>
      <w:r>
        <w:t>Fiskville</w:t>
      </w:r>
      <w:proofErr w:type="spellEnd"/>
      <w:r>
        <w:t xml:space="preserve">”). </w:t>
      </w:r>
      <w:proofErr w:type="spellStart"/>
      <w:r>
        <w:t>Fiskville</w:t>
      </w:r>
      <w:proofErr w:type="spellEnd"/>
      <w:r>
        <w:t xml:space="preserve"> and Victorian Emergency Management Training Centre training grounds owned by CFA at the Penshurst, Bangholme, West Sale, Wangaratta, Huntly, and </w:t>
      </w:r>
      <w:proofErr w:type="spellStart"/>
      <w:r>
        <w:t>Longerenong</w:t>
      </w:r>
      <w:proofErr w:type="spellEnd"/>
      <w:r>
        <w:t xml:space="preserve"> have been the subject of notices issued by the Environment Protection Agency (EPA).</w:t>
      </w:r>
    </w:p>
    <w:p w:rsidR="00BB6F1F" w:rsidRDefault="00BB6F1F" w:rsidP="00AC68FF">
      <w:r>
        <w:t xml:space="preserve">CFA has a number of contingent liabilities arising from the closure of </w:t>
      </w:r>
      <w:proofErr w:type="spellStart"/>
      <w:r>
        <w:t>Fiskville</w:t>
      </w:r>
      <w:proofErr w:type="spellEnd"/>
      <w:r>
        <w:t xml:space="preserve"> and the notices issued by EPA. These relate to any further notices that may be issued by EPA, any regulatory infringements that may be imposed by EPA, compensation that may be sought, any legal claims that may be made, recommendations made by the Victorian Parliamentary Inquiry into the CFA Training College at </w:t>
      </w:r>
      <w:proofErr w:type="spellStart"/>
      <w:r>
        <w:t>Fiskville</w:t>
      </w:r>
      <w:proofErr w:type="spellEnd"/>
      <w:r>
        <w:t xml:space="preserve"> and the costs of relocating the Firefighters’ Memorial previously located at </w:t>
      </w:r>
      <w:proofErr w:type="spellStart"/>
      <w:r>
        <w:t>Fiskville</w:t>
      </w:r>
      <w:proofErr w:type="spellEnd"/>
      <w:r>
        <w:t>.</w:t>
      </w:r>
    </w:p>
    <w:p w:rsidR="00BB6F1F" w:rsidRDefault="00BB6F1F" w:rsidP="006309F6">
      <w:pPr>
        <w:ind w:right="-71"/>
      </w:pPr>
      <w:r>
        <w:t xml:space="preserve">The Government response to the </w:t>
      </w:r>
      <w:proofErr w:type="spellStart"/>
      <w:r>
        <w:t>Fiskville</w:t>
      </w:r>
      <w:proofErr w:type="spellEnd"/>
      <w:r>
        <w:t xml:space="preserve"> Inquiry was tabled in Parliament on 24 November 2016. The response supports all of the 31 recommendations of the Inquiry, either in full, in principle or in part.</w:t>
      </w:r>
    </w:p>
    <w:p w:rsidR="00BB6F1F" w:rsidRDefault="00BB6F1F" w:rsidP="00AC68FF">
      <w:r>
        <w:t>The exact financial implications of the Government’s response are yet to be quantified.</w:t>
      </w:r>
    </w:p>
    <w:p w:rsidR="00BB6F1F" w:rsidRPr="00385625" w:rsidRDefault="00BB6F1F" w:rsidP="00AC68FF">
      <w:pPr>
        <w:pStyle w:val="Heading4"/>
      </w:pPr>
      <w:r w:rsidRPr="00385625">
        <w:t>Compulsory property acquisitions</w:t>
      </w:r>
    </w:p>
    <w:p w:rsidR="00BB6F1F" w:rsidRDefault="00BB6F1F" w:rsidP="006309F6">
      <w:pPr>
        <w:ind w:right="-213"/>
      </w:pPr>
      <w:r>
        <w:t xml:space="preserve">The State has compulsorily acquired a number of properties (residential and commercial) through the </w:t>
      </w:r>
      <w:r w:rsidRPr="000E5637">
        <w:rPr>
          <w:i/>
        </w:rPr>
        <w:t>Land Acquisition and Compensation Act 1986</w:t>
      </w:r>
      <w:r>
        <w:t xml:space="preserve"> to facilitate delivery of various projects. Possible future claims for compensation arising from the compulsory acquisition of these properties cannot be quantified at this stage.</w:t>
      </w:r>
    </w:p>
    <w:p w:rsidR="00BB6F1F" w:rsidRPr="00385625" w:rsidRDefault="00BB6F1F" w:rsidP="00AC68FF">
      <w:pPr>
        <w:pStyle w:val="Heading4"/>
      </w:pPr>
      <w:r w:rsidRPr="00385625">
        <w:lastRenderedPageBreak/>
        <w:t>Land remediation – environmental concerns</w:t>
      </w:r>
    </w:p>
    <w:p w:rsidR="00BB6F1F" w:rsidRDefault="00BB6F1F" w:rsidP="00AC68FF">
      <w:r>
        <w:t xml:space="preserve">In addition to properties for which remediation costs have been provided in the State’s financial statements, certain other properties have been identified as potentially contaminated sites. The State does not admit any liability in respect of these sites. However, remedial expenditure may be incurred to restore the sites to an acceptable environmental standard in the event that a contamination risk is identified. </w:t>
      </w:r>
    </w:p>
    <w:p w:rsidR="00BB6F1F" w:rsidRPr="00385625" w:rsidRDefault="00BB6F1F" w:rsidP="00AC68FF">
      <w:pPr>
        <w:pStyle w:val="Heading4"/>
      </w:pPr>
      <w:r w:rsidRPr="00385625">
        <w:t>Native Title</w:t>
      </w:r>
    </w:p>
    <w:p w:rsidR="00BB6F1F" w:rsidRDefault="00BB6F1F" w:rsidP="00AC68FF">
      <w:r>
        <w:t xml:space="preserve">A number of claims have been filed with the Federal Court under the Commonwealth </w:t>
      </w:r>
      <w:r w:rsidRPr="00707DA5">
        <w:rPr>
          <w:i/>
        </w:rPr>
        <w:t>Native Title Act 1993</w:t>
      </w:r>
      <w:r>
        <w:t xml:space="preserve"> that affect Victoria. It is not feasible at this time to quantify any future liability. </w:t>
      </w:r>
    </w:p>
    <w:p w:rsidR="00BB6F1F" w:rsidRPr="00385625" w:rsidRDefault="00BB6F1F" w:rsidP="00AC68FF">
      <w:pPr>
        <w:pStyle w:val="Heading4"/>
      </w:pPr>
      <w:r w:rsidRPr="00385625">
        <w:t>Royal Melbourne Showgrounds redevelopment</w:t>
      </w:r>
    </w:p>
    <w:p w:rsidR="00BB6F1F" w:rsidRDefault="00BB6F1F" w:rsidP="00AC68FF">
      <w:r>
        <w:t>Under the State’s commitment to the Royal Agriculture Society of Victoria (RASV), the State backs certain obligations of RASV that may arise out of the joint venture agreement. Under the State’s commitment to RASV, the State will pay (in the form of a loan) the amount requested by RASV. If any outstanding loan amount remains unpaid at the date, which is 25 years after the commencement of the operation term, RASV will be obliged to satisfy the outstanding loan amount. This may take the form of a transfer to the State, of the whole of the RASV participating interest in the joint venture.</w:t>
      </w:r>
    </w:p>
    <w:p w:rsidR="00BB6F1F" w:rsidRDefault="00BB6F1F" w:rsidP="00AC68FF">
      <w:r>
        <w:t xml:space="preserve">Under the State Support Deed – Core Land, the State has undertaken to ensure the performance of the payment obligations in favour of the Concessionaire and the performance of the joint venture financial obligations in favour of the security trustee. </w:t>
      </w:r>
    </w:p>
    <w:p w:rsidR="00BB6F1F" w:rsidRDefault="00BB6F1F" w:rsidP="00AC68FF">
      <w:r>
        <w:t xml:space="preserve">The State has also entered into an agreement through the State Support Deed – Non Core Land with Showgrounds Retail Developments Pty Ltd and the RASV, whereby the State agrees to support certain payment obligations of the RASV that may arise under the non-core development agreement. </w:t>
      </w:r>
    </w:p>
    <w:p w:rsidR="00BB6F1F" w:rsidRPr="00D712FD" w:rsidRDefault="00BB6F1F" w:rsidP="00AC68FF">
      <w:pPr>
        <w:pStyle w:val="Heading4"/>
      </w:pPr>
      <w:r w:rsidRPr="00D712FD">
        <w:lastRenderedPageBreak/>
        <w:t>Victorian Managed Insurance Authority – insurance cover</w:t>
      </w:r>
    </w:p>
    <w:p w:rsidR="00BB6F1F" w:rsidRDefault="00BB6F1F" w:rsidP="00AC68FF">
      <w:r>
        <w:t xml:space="preserve">The Victorian Managed Insurance Authority (VMIA) was established in 1996 as an insurer for state government departments, participating bodies and other entities as defined under the </w:t>
      </w:r>
      <w:r w:rsidRPr="00707DA5">
        <w:rPr>
          <w:i/>
        </w:rPr>
        <w:t>Victorian Managed Insurance Authority Act 1996</w:t>
      </w:r>
      <w:r>
        <w:t>. The VMIA provides its clients with a range of insurance cover, including for property, public and products liability, professional indemnity and contract works. The VMIA reinsures in the private market for losses above $50 million arising out of any one occurrence, up to a maximum of $1 billion for public and products liability, and for losses above $50 million arising out of any one event, up to a maximum of $3.6 billion for property. The risk of losses above these reinsured levels is borne by the State.</w:t>
      </w:r>
    </w:p>
    <w:p w:rsidR="00BB6F1F" w:rsidRDefault="00BB6F1F" w:rsidP="00AC68FF">
      <w:r>
        <w:t>The VMIA also insures the Department of Health and Human Services for all public sector medical indemnity claims incurred in each policy year from 1 July 2003, regardless of when claims are finally settled. Under the indemnity deed to provide stop loss protection for the VMIA, DTF has agreed to reimburse the VMIA if the ultimate claims payouts exceed by more than 20 per cent of the initial estimate on which the risk premium was based.</w:t>
      </w:r>
    </w:p>
    <w:p w:rsidR="00BB6F1F" w:rsidRDefault="00BB6F1F" w:rsidP="00AC68FF">
      <w:pPr>
        <w:pStyle w:val="Heading4"/>
      </w:pPr>
      <w:r>
        <w:t>2016 flood and storm events</w:t>
      </w:r>
    </w:p>
    <w:p w:rsidR="00BB6F1F" w:rsidRPr="005648BD" w:rsidRDefault="00BB6F1F" w:rsidP="00AC68FF">
      <w:r w:rsidRPr="005648BD">
        <w:t>In September 2016 a sever</w:t>
      </w:r>
      <w:r>
        <w:t>e</w:t>
      </w:r>
      <w:r w:rsidRPr="005648BD">
        <w:t xml:space="preserve"> flood and storm event impacted 51 local government areas across Victoria. The State of Victoria formally activated the Commonwealth Government-State Natural Disaster Relief and Recovery Arrangements (NDRRA) </w:t>
      </w:r>
      <w:r w:rsidRPr="000D70CA">
        <w:rPr>
          <w:spacing w:val="-2"/>
        </w:rPr>
        <w:t>following this event. Local councils have commenced</w:t>
      </w:r>
      <w:r w:rsidRPr="005648BD">
        <w:t xml:space="preserve"> the restoration of damaged essential assets. To date the e</w:t>
      </w:r>
      <w:r>
        <w:t xml:space="preserve">stimated cost of damage is $163 million </w:t>
      </w:r>
      <w:r w:rsidRPr="005648BD">
        <w:t>Financial assistance is provided jointly by the Victorian and Commonwealth governments under the NDRRA. It is not possible to quantify the cost to the State until all claims have been received.</w:t>
      </w:r>
    </w:p>
    <w:p w:rsidR="00BB6F1F" w:rsidRPr="005648BD" w:rsidRDefault="00BB6F1F" w:rsidP="00AC68FF">
      <w:r w:rsidRPr="005648BD">
        <w:t>The State also activated NDRRA for a number of storm and flood events from July 2016 up to April 2017</w:t>
      </w:r>
      <w:r>
        <w:t>.</w:t>
      </w:r>
      <w:r w:rsidRPr="005648BD">
        <w:t xml:space="preserve"> </w:t>
      </w:r>
      <w:r>
        <w:t>H</w:t>
      </w:r>
      <w:r w:rsidRPr="005648BD">
        <w:t>owever, the financial impact of these events is still being assessed and are not expected to be as significant as the September 2016 events.</w:t>
      </w:r>
    </w:p>
    <w:p w:rsidR="00BB6F1F" w:rsidRDefault="00BB6F1F" w:rsidP="00AC68FF">
      <w:pPr>
        <w:pStyle w:val="Heading30"/>
      </w:pPr>
      <w:r>
        <w:t>Other commitments</w:t>
      </w:r>
    </w:p>
    <w:p w:rsidR="00BB6F1F" w:rsidRDefault="00BB6F1F" w:rsidP="00AC68FF">
      <w:pPr>
        <w:pStyle w:val="Heading4"/>
      </w:pPr>
      <w:r>
        <w:t>Alcoa contribution and advance facility</w:t>
      </w:r>
    </w:p>
    <w:p w:rsidR="00BB6F1F" w:rsidRDefault="00BB6F1F" w:rsidP="00AC68FF">
      <w:r w:rsidRPr="00211555">
        <w:t xml:space="preserve">The </w:t>
      </w:r>
      <w:r>
        <w:t>State</w:t>
      </w:r>
      <w:r w:rsidRPr="00211555">
        <w:t xml:space="preserve"> has entered into a fund</w:t>
      </w:r>
      <w:r>
        <w:t>ing agreement effective 2017-18</w:t>
      </w:r>
      <w:r w:rsidRPr="00211555">
        <w:t xml:space="preserve"> that may require provision of financial support to a Victorian Smelter. </w:t>
      </w:r>
    </w:p>
    <w:p w:rsidR="00BB6F1F" w:rsidRDefault="00BB6F1F" w:rsidP="00BB6F1F">
      <w:pPr>
        <w:pStyle w:val="Heading2"/>
        <w:numPr>
          <w:ilvl w:val="1"/>
          <w:numId w:val="24"/>
        </w:numPr>
      </w:pPr>
      <w:bookmarkStart w:id="55" w:name="_Toc492984893"/>
      <w:r>
        <w:lastRenderedPageBreak/>
        <w:t>Fair value determination</w:t>
      </w:r>
      <w:bookmarkEnd w:id="55"/>
    </w:p>
    <w:p w:rsidR="00BB6F1F" w:rsidRDefault="00BB6F1F" w:rsidP="00AC68FF">
      <w:r>
        <w:t xml:space="preserve">This section sets out information on how the State determines fair value for financial reporting purposes. Fair value is the price that would be received to sell an asset or paid to transfer a liability in an orderly transaction between market participants at the measurement date. </w:t>
      </w:r>
    </w:p>
    <w:p w:rsidR="00BB6F1F" w:rsidRDefault="00BB6F1F" w:rsidP="00AC68FF">
      <w:r>
        <w:t>Fair values are determined for the following assets and liabilities:</w:t>
      </w:r>
    </w:p>
    <w:p w:rsidR="00BB6F1F" w:rsidRDefault="00BB6F1F" w:rsidP="00AC68FF">
      <w:pPr>
        <w:pStyle w:val="ListBullet"/>
      </w:pPr>
      <w:r>
        <w:t>financial assets and liabilities at fair value through operating result;</w:t>
      </w:r>
    </w:p>
    <w:p w:rsidR="00BB6F1F" w:rsidRDefault="00BB6F1F" w:rsidP="00AC68FF">
      <w:pPr>
        <w:pStyle w:val="ListBullet"/>
      </w:pPr>
      <w:r>
        <w:t>available-for-sale financial assets;</w:t>
      </w:r>
    </w:p>
    <w:p w:rsidR="00BB6F1F" w:rsidRDefault="00BB6F1F" w:rsidP="00AC68FF">
      <w:pPr>
        <w:pStyle w:val="ListBullet"/>
      </w:pPr>
      <w:r>
        <w:t>land, buildings, infrastructure, plant and equipment;</w:t>
      </w:r>
    </w:p>
    <w:p w:rsidR="00BB6F1F" w:rsidRDefault="00BB6F1F" w:rsidP="00AC68FF">
      <w:pPr>
        <w:pStyle w:val="ListBullet"/>
      </w:pPr>
      <w:r>
        <w:t>investment properties; and</w:t>
      </w:r>
    </w:p>
    <w:p w:rsidR="00BB6F1F" w:rsidRDefault="00BB6F1F" w:rsidP="00AC68FF">
      <w:pPr>
        <w:pStyle w:val="ListBullet"/>
      </w:pPr>
      <w:r>
        <w:t>biological assets.</w:t>
      </w:r>
    </w:p>
    <w:p w:rsidR="00BB6F1F" w:rsidRDefault="00BB6F1F" w:rsidP="00AC68FF">
      <w:r>
        <w:t xml:space="preserve">In addition, the fair values of other assets and liabilities are determined for disclosure purposes (financial assets and liabilities carried at amortised cost). </w:t>
      </w:r>
    </w:p>
    <w:p w:rsidR="00BB6F1F" w:rsidRDefault="00BB6F1F" w:rsidP="00AC68FF">
      <w:r>
        <w:t xml:space="preserve">The State determines the policies and procedures for determining fair values for both financial and non-financial assets and liabilities as required. </w:t>
      </w:r>
    </w:p>
    <w:p w:rsidR="00BB6F1F" w:rsidRDefault="00BB6F1F" w:rsidP="00AC68FF">
      <w:r>
        <w:t>For the purpose of fair value disclosures, the State has determined classes of assets and liabilities on the basis of the nature, characteristics and risks of the asset or liability.</w:t>
      </w:r>
    </w:p>
    <w:p w:rsidR="00BB6F1F" w:rsidRDefault="00BB6F1F" w:rsidP="00AC68FF">
      <w:pPr>
        <w:pStyle w:val="Heading30"/>
      </w:pPr>
      <w:r>
        <w:t>Fair value hierarchy</w:t>
      </w:r>
    </w:p>
    <w:p w:rsidR="00BB6F1F" w:rsidRDefault="00BB6F1F" w:rsidP="00AC68FF">
      <w:r>
        <w:t>In determining fair values a number of inputs are used. To increase consistency and comparability in the financial statements, these inputs are categorised into three levels, also known as the fair value hierarchy. The levels are as follows:</w:t>
      </w:r>
    </w:p>
    <w:p w:rsidR="00BB6F1F" w:rsidRDefault="00BB6F1F" w:rsidP="00AC68FF">
      <w:pPr>
        <w:pStyle w:val="ListBullet"/>
      </w:pPr>
      <w:r>
        <w:t>Level 1 – Quoted (unadjusted) market prices in active markets for identical assets or liabilities;</w:t>
      </w:r>
    </w:p>
    <w:p w:rsidR="00BB6F1F" w:rsidRDefault="00BB6F1F" w:rsidP="00AC68FF">
      <w:pPr>
        <w:pStyle w:val="ListBullet"/>
      </w:pPr>
      <w:r>
        <w:t>Level 2 – Valuation techniques for which the lowest level input that is significant to the fair value measurement is directly or indirectly observable; and</w:t>
      </w:r>
    </w:p>
    <w:p w:rsidR="00BB6F1F" w:rsidRDefault="00BB6F1F" w:rsidP="00AC68FF">
      <w:pPr>
        <w:pStyle w:val="ListBullet"/>
      </w:pPr>
      <w:r>
        <w:t>Level 3 – Valuation techniques for which the lowest level input that is significant to the fair value measurement is unobservable.</w:t>
      </w:r>
    </w:p>
    <w:p w:rsidR="00BB6F1F" w:rsidRDefault="00BB6F1F" w:rsidP="00AC68FF">
      <w:r>
        <w:t>The State determines whether transfers have occurred between levels in the hierarchy by reassessing categorisation (based on the lowest level input that is significant to the fair value measurement as a whole) at the end of each reporting period.</w:t>
      </w:r>
    </w:p>
    <w:p w:rsidR="00BB6F1F" w:rsidRDefault="00BB6F1F" w:rsidP="00AC68FF">
      <w:pPr>
        <w:pStyle w:val="Heading30"/>
      </w:pPr>
      <w:r>
        <w:lastRenderedPageBreak/>
        <w:t>Fair value disclosure</w:t>
      </w:r>
    </w:p>
    <w:p w:rsidR="00BB6F1F" w:rsidRDefault="00BB6F1F" w:rsidP="00AC68FF">
      <w:r>
        <w:t>For those assets and liabilities for which fair value determination is applied, the following disclosures are provided:</w:t>
      </w:r>
    </w:p>
    <w:p w:rsidR="00BB6F1F" w:rsidRDefault="00BB6F1F" w:rsidP="00AC68FF">
      <w:pPr>
        <w:pStyle w:val="ListBullet"/>
      </w:pPr>
      <w:r>
        <w:t>carrying amount and the fair value (which would be the same for those assets measured at fair value);</w:t>
      </w:r>
    </w:p>
    <w:p w:rsidR="00BB6F1F" w:rsidRDefault="00BB6F1F" w:rsidP="00AC68FF">
      <w:pPr>
        <w:pStyle w:val="ListBullet"/>
      </w:pPr>
      <w:r>
        <w:t>which level of the fair value hierarchy was used to determine the fair value;</w:t>
      </w:r>
    </w:p>
    <w:p w:rsidR="00BB6F1F" w:rsidRDefault="00BB6F1F" w:rsidP="00AC68FF">
      <w:pPr>
        <w:pStyle w:val="ListBullet"/>
      </w:pPr>
      <w:r>
        <w:t>in respect of those assets and liabilities subject to fair value determination using Level 3 inputs:</w:t>
      </w:r>
    </w:p>
    <w:p w:rsidR="00BB6F1F" w:rsidRDefault="00BB6F1F" w:rsidP="00AC68FF">
      <w:pPr>
        <w:pStyle w:val="ListBullet2"/>
      </w:pPr>
      <w:r>
        <w:t>a reconciliation of the movements in fair values from the beginning of the year to the end; and</w:t>
      </w:r>
    </w:p>
    <w:p w:rsidR="00BB6F1F" w:rsidRDefault="00BB6F1F" w:rsidP="00AC68FF">
      <w:pPr>
        <w:pStyle w:val="ListBullet2"/>
      </w:pPr>
      <w:r>
        <w:t>details of significant unobservable inputs used in the fair value determination.</w:t>
      </w:r>
    </w:p>
    <w:p w:rsidR="00BB6F1F" w:rsidRDefault="00BB6F1F" w:rsidP="00AC68FF">
      <w:r>
        <w:t>This section is divided between financial instruments and non-financial physical assets.</w:t>
      </w:r>
    </w:p>
    <w:p w:rsidR="00BB6F1F" w:rsidRDefault="00BB6F1F" w:rsidP="00BB6F1F">
      <w:pPr>
        <w:pStyle w:val="Heading2"/>
        <w:numPr>
          <w:ilvl w:val="1"/>
          <w:numId w:val="24"/>
        </w:numPr>
        <w:spacing w:before="0"/>
      </w:pPr>
      <w:r>
        <w:br w:type="column"/>
      </w:r>
      <w:bookmarkStart w:id="56" w:name="_Toc492984894"/>
      <w:r>
        <w:lastRenderedPageBreak/>
        <w:t>Fair value determination of financial assets and liabilities</w:t>
      </w:r>
      <w:bookmarkEnd w:id="56"/>
    </w:p>
    <w:p w:rsidR="00BB6F1F" w:rsidRDefault="00BB6F1F" w:rsidP="00AC68FF">
      <w:pPr>
        <w:pStyle w:val="Heading30"/>
      </w:pPr>
      <w:r>
        <w:t>How fair values are determined</w:t>
      </w:r>
    </w:p>
    <w:p w:rsidR="00BB6F1F" w:rsidRDefault="00BB6F1F" w:rsidP="00AC68FF">
      <w:r>
        <w:t>The fair values of the State’s financial assets and liabilities are determined as follows:</w:t>
      </w:r>
    </w:p>
    <w:p w:rsidR="00BB6F1F" w:rsidRDefault="00BB6F1F" w:rsidP="00AC68FF">
      <w:pPr>
        <w:pStyle w:val="ListBullet"/>
      </w:pPr>
      <w:r>
        <w:t>Level 1 – the financial instruments with standard terms and conditions and traded in an active liquid market are determined with reference to quoted market prices;</w:t>
      </w:r>
    </w:p>
    <w:p w:rsidR="00BB6F1F" w:rsidRDefault="00BB6F1F" w:rsidP="00AC68FF">
      <w:pPr>
        <w:pStyle w:val="ListBullet"/>
      </w:pPr>
      <w:r>
        <w:t>Level 2 – the fair value of other financial assets and financial liabilities (excluding derivative instruments) are determined in accordance with generally accepted pricing models based on discounted cash flow analysis, using prices from observable current market transactions; and</w:t>
      </w:r>
    </w:p>
    <w:p w:rsidR="00BB6F1F" w:rsidRDefault="00BB6F1F" w:rsidP="00AC68FF">
      <w:pPr>
        <w:pStyle w:val="ListBullet"/>
        <w:keepLines w:val="0"/>
      </w:pPr>
      <w:r>
        <w:t>Level 3 – the fair value of derivative instruments, such as interest rate futures contracts, are calculated using quoted prices. Where such prices are not available, use is made of discounted cash flow analysis using the applicable yield curve for the duration of the instrument for non-optional derivatives, and option pricing models for optional derivatives.</w:t>
      </w:r>
    </w:p>
    <w:p w:rsidR="00BB6F1F" w:rsidRDefault="00BB6F1F" w:rsidP="00AC68FF"/>
    <w:p w:rsidR="00BB6F1F" w:rsidRDefault="00BB6F1F" w:rsidP="00AC68FF">
      <w:pPr>
        <w:sectPr w:rsidR="00BB6F1F" w:rsidSect="00AC68FF">
          <w:type w:val="continuous"/>
          <w:pgSz w:w="11907" w:h="16839" w:code="9"/>
          <w:pgMar w:top="1134" w:right="1134" w:bottom="1134" w:left="1134" w:header="624" w:footer="567" w:gutter="0"/>
          <w:cols w:num="2" w:space="709"/>
          <w:docGrid w:linePitch="360"/>
        </w:sectPr>
      </w:pPr>
    </w:p>
    <w:p w:rsidR="00BB6F1F" w:rsidRPr="00746768" w:rsidRDefault="00BB6F1F" w:rsidP="00AC68FF">
      <w:pPr>
        <w:pStyle w:val="TableHeading"/>
        <w:rPr>
          <w:bCs/>
          <w:lang w:val="en-US"/>
        </w:rPr>
      </w:pPr>
      <w:r>
        <w:lastRenderedPageBreak/>
        <w:t>Fair value of financial instruments measured at amortised cost</w:t>
      </w:r>
      <w:r w:rsidRPr="00CE2AE2">
        <w:tab/>
        <w:t>($ million)</w:t>
      </w:r>
    </w:p>
    <w:tbl>
      <w:tblPr>
        <w:tblStyle w:val="DTFTable"/>
        <w:tblW w:w="9638" w:type="dxa"/>
        <w:tblInd w:w="45" w:type="dxa"/>
        <w:tblLayout w:type="fixed"/>
        <w:tblCellMar>
          <w:left w:w="45" w:type="dxa"/>
          <w:right w:w="45" w:type="dxa"/>
        </w:tblCellMar>
        <w:tblLook w:val="06A0" w:firstRow="1" w:lastRow="0" w:firstColumn="1" w:lastColumn="0" w:noHBand="1" w:noVBand="1"/>
      </w:tblPr>
      <w:tblGrid>
        <w:gridCol w:w="5528"/>
        <w:gridCol w:w="1026"/>
        <w:gridCol w:w="1026"/>
        <w:gridCol w:w="1026"/>
        <w:gridCol w:w="1026"/>
        <w:gridCol w:w="6"/>
      </w:tblGrid>
      <w:tr w:rsidR="00BB6F1F" w:rsidRPr="00746768" w:rsidTr="00AC68FF">
        <w:trPr>
          <w:gridAfter w:val="1"/>
          <w:cnfStyle w:val="100000000000" w:firstRow="1" w:lastRow="0" w:firstColumn="0" w:lastColumn="0" w:oddVBand="0" w:evenVBand="0" w:oddHBand="0" w:evenHBand="0" w:firstRowFirstColumn="0" w:firstRowLastColumn="0" w:lastRowFirstColumn="0" w:lastRowLastColumn="0"/>
          <w:wAfter w:w="6" w:type="dxa"/>
          <w:tblHeader/>
        </w:trPr>
        <w:tc>
          <w:tcPr>
            <w:cnfStyle w:val="001000000000" w:firstRow="0" w:lastRow="0" w:firstColumn="1" w:lastColumn="0" w:oddVBand="0" w:evenVBand="0" w:oddHBand="0" w:evenHBand="0" w:firstRowFirstColumn="0" w:firstRowLastColumn="0" w:lastRowFirstColumn="0" w:lastRowLastColumn="0"/>
            <w:tcW w:w="5528" w:type="dxa"/>
            <w:tcBorders>
              <w:top w:val="single" w:sz="6" w:space="0" w:color="auto"/>
              <w:left w:val="nil"/>
              <w:bottom w:val="nil"/>
              <w:right w:val="nil"/>
            </w:tcBorders>
            <w:shd w:val="solid" w:color="000000" w:fill="auto"/>
          </w:tcPr>
          <w:p w:rsidR="00BB6F1F" w:rsidRPr="00746768" w:rsidRDefault="00BB6F1F" w:rsidP="00AC68FF">
            <w:pPr>
              <w:autoSpaceDE w:val="0"/>
              <w:autoSpaceDN w:val="0"/>
              <w:adjustRightInd w:val="0"/>
              <w:rPr>
                <w:rFonts w:eastAsiaTheme="minorEastAsia" w:cs="Calibri"/>
                <w:color w:val="FFFFFF"/>
                <w:lang w:eastAsia="en-AU"/>
              </w:rPr>
            </w:pPr>
            <w:r w:rsidRPr="00746768">
              <w:rPr>
                <w:rFonts w:eastAsiaTheme="minorEastAsia" w:cs="Calibri"/>
                <w:color w:val="FFFFFF"/>
                <w:lang w:eastAsia="en-AU"/>
              </w:rPr>
              <w:t xml:space="preserve"> </w:t>
            </w:r>
          </w:p>
        </w:tc>
        <w:tc>
          <w:tcPr>
            <w:tcW w:w="2052" w:type="dxa"/>
            <w:gridSpan w:val="2"/>
            <w:tcBorders>
              <w:top w:val="single" w:sz="6" w:space="0" w:color="auto"/>
              <w:left w:val="nil"/>
              <w:bottom w:val="nil"/>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2017</w:t>
            </w:r>
          </w:p>
        </w:tc>
        <w:tc>
          <w:tcPr>
            <w:tcW w:w="2052" w:type="dxa"/>
            <w:gridSpan w:val="2"/>
            <w:tcBorders>
              <w:top w:val="single" w:sz="6" w:space="0" w:color="auto"/>
              <w:left w:val="nil"/>
              <w:bottom w:val="nil"/>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2016</w:t>
            </w:r>
          </w:p>
        </w:tc>
      </w:tr>
      <w:tr w:rsidR="00BB6F1F" w:rsidRPr="00746768"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single" w:sz="6" w:space="0" w:color="auto"/>
              <w:right w:val="nil"/>
            </w:tcBorders>
            <w:shd w:val="solid" w:color="000000" w:fill="auto"/>
          </w:tcPr>
          <w:p w:rsidR="00BB6F1F" w:rsidRPr="00746768" w:rsidRDefault="00BB6F1F" w:rsidP="00AC68FF">
            <w:pPr>
              <w:keepLines w:val="0"/>
              <w:autoSpaceDE w:val="0"/>
              <w:autoSpaceDN w:val="0"/>
              <w:adjustRightInd w:val="0"/>
              <w:rPr>
                <w:rFonts w:eastAsiaTheme="minorEastAsia" w:cs="Calibri"/>
                <w:iCs/>
                <w:color w:val="FFFFFF"/>
                <w:lang w:eastAsia="en-AU"/>
              </w:rPr>
            </w:pPr>
            <w:r w:rsidRPr="00746768">
              <w:rPr>
                <w:rFonts w:eastAsiaTheme="minorEastAsia" w:cs="Calibri"/>
                <w:iCs/>
                <w:color w:val="FFFFFF"/>
                <w:lang w:eastAsia="en-AU"/>
              </w:rPr>
              <w:t>State of Victoria</w:t>
            </w:r>
          </w:p>
        </w:tc>
        <w:tc>
          <w:tcPr>
            <w:tcW w:w="1026" w:type="dxa"/>
            <w:tcBorders>
              <w:top w:val="nil"/>
              <w:left w:val="nil"/>
              <w:bottom w:val="single" w:sz="6" w:space="0" w:color="auto"/>
              <w:right w:val="nil"/>
            </w:tcBorders>
            <w:shd w:val="solid" w:color="000000" w:fill="auto"/>
          </w:tcPr>
          <w:p w:rsidR="00BB6F1F" w:rsidRPr="00746768" w:rsidRDefault="00BB6F1F" w:rsidP="003A7481">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Carrying</w:t>
            </w:r>
            <w:r w:rsidR="003A7481">
              <w:rPr>
                <w:rFonts w:eastAsiaTheme="minorEastAsia" w:cs="Calibri"/>
                <w:iCs/>
                <w:color w:val="FFFFFF"/>
                <w:lang w:eastAsia="en-AU"/>
              </w:rPr>
              <w:t xml:space="preserve"> </w:t>
            </w:r>
            <w:r w:rsidRPr="00746768">
              <w:rPr>
                <w:rFonts w:eastAsiaTheme="minorEastAsia" w:cs="Calibri"/>
                <w:iCs/>
                <w:color w:val="FFFFFF"/>
                <w:lang w:eastAsia="en-AU"/>
              </w:rPr>
              <w:t>amount</w:t>
            </w:r>
          </w:p>
        </w:tc>
        <w:tc>
          <w:tcPr>
            <w:tcW w:w="1026" w:type="dxa"/>
            <w:tcBorders>
              <w:top w:val="nil"/>
              <w:left w:val="nil"/>
              <w:bottom w:val="single" w:sz="6" w:space="0" w:color="auto"/>
              <w:right w:val="nil"/>
            </w:tcBorders>
            <w:shd w:val="solid" w:color="000000" w:fill="auto"/>
          </w:tcPr>
          <w:p w:rsidR="00BB6F1F" w:rsidRPr="00746768" w:rsidRDefault="00BB6F1F" w:rsidP="003A7481">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Fair</w:t>
            </w:r>
            <w:r w:rsidR="003A7481">
              <w:rPr>
                <w:rFonts w:eastAsiaTheme="minorEastAsia" w:cs="Calibri"/>
                <w:iCs/>
                <w:color w:val="FFFFFF"/>
                <w:lang w:eastAsia="en-AU"/>
              </w:rPr>
              <w:t xml:space="preserve"> </w:t>
            </w:r>
            <w:r w:rsidR="003A7481">
              <w:rPr>
                <w:rFonts w:eastAsiaTheme="minorEastAsia" w:cs="Calibri"/>
                <w:iCs/>
                <w:color w:val="FFFFFF"/>
                <w:lang w:eastAsia="en-AU"/>
              </w:rPr>
              <w:br/>
            </w:r>
            <w:r w:rsidRPr="00746768">
              <w:rPr>
                <w:rFonts w:eastAsiaTheme="minorEastAsia" w:cs="Calibri"/>
                <w:iCs/>
                <w:color w:val="FFFFFF"/>
                <w:lang w:eastAsia="en-AU"/>
              </w:rPr>
              <w:t>value</w:t>
            </w:r>
          </w:p>
        </w:tc>
        <w:tc>
          <w:tcPr>
            <w:tcW w:w="1026" w:type="dxa"/>
            <w:tcBorders>
              <w:top w:val="nil"/>
              <w:left w:val="nil"/>
              <w:bottom w:val="single" w:sz="6" w:space="0" w:color="auto"/>
              <w:right w:val="nil"/>
            </w:tcBorders>
            <w:shd w:val="solid" w:color="000000" w:fill="auto"/>
          </w:tcPr>
          <w:p w:rsidR="00BB6F1F" w:rsidRPr="00746768" w:rsidRDefault="00BB6F1F" w:rsidP="003A7481">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Carrying</w:t>
            </w:r>
            <w:r w:rsidR="003A7481">
              <w:rPr>
                <w:rFonts w:eastAsiaTheme="minorEastAsia" w:cs="Calibri"/>
                <w:iCs/>
                <w:color w:val="FFFFFF"/>
                <w:lang w:eastAsia="en-AU"/>
              </w:rPr>
              <w:t xml:space="preserve"> </w:t>
            </w:r>
            <w:r w:rsidRPr="00746768">
              <w:rPr>
                <w:rFonts w:eastAsiaTheme="minorEastAsia" w:cs="Calibri"/>
                <w:iCs/>
                <w:color w:val="FFFFFF"/>
                <w:lang w:eastAsia="en-AU"/>
              </w:rPr>
              <w:t>amount</w:t>
            </w:r>
          </w:p>
        </w:tc>
        <w:tc>
          <w:tcPr>
            <w:tcW w:w="1032" w:type="dxa"/>
            <w:gridSpan w:val="2"/>
            <w:tcBorders>
              <w:top w:val="nil"/>
              <w:left w:val="nil"/>
              <w:bottom w:val="single" w:sz="6" w:space="0" w:color="auto"/>
              <w:right w:val="nil"/>
            </w:tcBorders>
            <w:shd w:val="solid" w:color="000000" w:fill="auto"/>
          </w:tcPr>
          <w:p w:rsidR="00BB6F1F" w:rsidRPr="00746768" w:rsidRDefault="00BB6F1F" w:rsidP="003A7481">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Fair</w:t>
            </w:r>
            <w:r w:rsidR="003A7481">
              <w:rPr>
                <w:rFonts w:eastAsiaTheme="minorEastAsia" w:cs="Calibri"/>
                <w:iCs/>
                <w:color w:val="FFFFFF"/>
                <w:lang w:eastAsia="en-AU"/>
              </w:rPr>
              <w:br/>
            </w:r>
            <w:r w:rsidRPr="00746768">
              <w:rPr>
                <w:rFonts w:eastAsiaTheme="minorEastAsia" w:cs="Calibri"/>
                <w:iCs/>
                <w:color w:val="FFFFFF"/>
                <w:lang w:eastAsia="en-AU"/>
              </w:rPr>
              <w:t>value</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single" w:sz="6" w:space="0" w:color="auto"/>
              <w:left w:val="nil"/>
              <w:bottom w:val="nil"/>
              <w:right w:val="nil"/>
            </w:tcBorders>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Financial assets</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 xml:space="preserve"> </w:t>
            </w:r>
          </w:p>
        </w:tc>
        <w:tc>
          <w:tcPr>
            <w:tcW w:w="1026" w:type="dxa"/>
            <w:tcBorders>
              <w:top w:val="single" w:sz="6" w:space="0" w:color="auto"/>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026" w:type="dxa"/>
            <w:tcBorders>
              <w:top w:val="single" w:sz="6" w:space="0" w:color="auto"/>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032" w:type="dxa"/>
            <w:gridSpan w:val="2"/>
            <w:tcBorders>
              <w:top w:val="single" w:sz="6" w:space="0" w:color="auto"/>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 xml:space="preserve">Non-current receivables </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130</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124</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142</w:t>
            </w:r>
          </w:p>
        </w:tc>
        <w:tc>
          <w:tcPr>
            <w:tcW w:w="1032"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142</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Financial liabilities</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032" w:type="dxa"/>
            <w:gridSpan w:val="2"/>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single" w:sz="6" w:space="0" w:color="auto"/>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Finance lease liabilities</w:t>
            </w:r>
          </w:p>
        </w:tc>
        <w:tc>
          <w:tcPr>
            <w:tcW w:w="1026" w:type="dxa"/>
            <w:tcBorders>
              <w:top w:val="nil"/>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9 946</w:t>
            </w:r>
          </w:p>
        </w:tc>
        <w:tc>
          <w:tcPr>
            <w:tcW w:w="1026" w:type="dxa"/>
            <w:tcBorders>
              <w:top w:val="nil"/>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9 599</w:t>
            </w:r>
          </w:p>
        </w:tc>
        <w:tc>
          <w:tcPr>
            <w:tcW w:w="1026" w:type="dxa"/>
            <w:tcBorders>
              <w:top w:val="nil"/>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9 640</w:t>
            </w:r>
          </w:p>
        </w:tc>
        <w:tc>
          <w:tcPr>
            <w:tcW w:w="1032" w:type="dxa"/>
            <w:gridSpan w:val="2"/>
            <w:tcBorders>
              <w:top w:val="nil"/>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9 614</w:t>
            </w:r>
          </w:p>
        </w:tc>
      </w:tr>
    </w:tbl>
    <w:p w:rsidR="00BB6F1F" w:rsidRPr="00746768" w:rsidRDefault="00BB6F1F" w:rsidP="00D54912">
      <w:pPr>
        <w:rPr>
          <w:b/>
          <w:bCs/>
          <w:lang w:val="en-US"/>
        </w:rPr>
      </w:pPr>
    </w:p>
    <w:tbl>
      <w:tblPr>
        <w:tblStyle w:val="DTFTable"/>
        <w:tblW w:w="9632" w:type="dxa"/>
        <w:tblInd w:w="45" w:type="dxa"/>
        <w:tblLayout w:type="fixed"/>
        <w:tblCellMar>
          <w:left w:w="45" w:type="dxa"/>
          <w:right w:w="45" w:type="dxa"/>
        </w:tblCellMar>
        <w:tblLook w:val="06A0" w:firstRow="1" w:lastRow="0" w:firstColumn="1" w:lastColumn="0" w:noHBand="1" w:noVBand="1"/>
      </w:tblPr>
      <w:tblGrid>
        <w:gridCol w:w="5528"/>
        <w:gridCol w:w="1026"/>
        <w:gridCol w:w="1026"/>
        <w:gridCol w:w="1026"/>
        <w:gridCol w:w="1026"/>
      </w:tblGrid>
      <w:tr w:rsidR="00BB6F1F" w:rsidRPr="00746768"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000000" w:fill="auto"/>
          </w:tcPr>
          <w:p w:rsidR="00BB6F1F" w:rsidRPr="00746768" w:rsidRDefault="00BB6F1F" w:rsidP="00AC68FF">
            <w:pPr>
              <w:autoSpaceDE w:val="0"/>
              <w:autoSpaceDN w:val="0"/>
              <w:adjustRightInd w:val="0"/>
              <w:rPr>
                <w:rFonts w:eastAsiaTheme="minorEastAsia" w:cs="Calibri"/>
                <w:iCs/>
                <w:color w:val="FFFFFF"/>
                <w:lang w:eastAsia="en-AU"/>
              </w:rPr>
            </w:pPr>
            <w:r w:rsidRPr="00746768">
              <w:rPr>
                <w:rFonts w:eastAsiaTheme="minorEastAsia" w:cs="Calibri"/>
                <w:iCs/>
                <w:color w:val="FFFFFF"/>
                <w:lang w:eastAsia="en-AU"/>
              </w:rPr>
              <w:t>General government sector</w:t>
            </w:r>
          </w:p>
        </w:tc>
        <w:tc>
          <w:tcPr>
            <w:tcW w:w="102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 </w:t>
            </w:r>
          </w:p>
        </w:tc>
        <w:tc>
          <w:tcPr>
            <w:tcW w:w="102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 </w:t>
            </w:r>
          </w:p>
        </w:tc>
        <w:tc>
          <w:tcPr>
            <w:tcW w:w="102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 </w:t>
            </w:r>
          </w:p>
        </w:tc>
        <w:tc>
          <w:tcPr>
            <w:tcW w:w="102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Financial assets</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Non-current receivables</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589</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583</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478</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478</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Financial liabilities</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single" w:sz="6" w:space="0" w:color="auto"/>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Finance lease liabilities</w:t>
            </w:r>
          </w:p>
        </w:tc>
        <w:tc>
          <w:tcPr>
            <w:tcW w:w="1026" w:type="dxa"/>
            <w:tcBorders>
              <w:top w:val="nil"/>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9 385</w:t>
            </w:r>
          </w:p>
        </w:tc>
        <w:tc>
          <w:tcPr>
            <w:tcW w:w="1026" w:type="dxa"/>
            <w:tcBorders>
              <w:top w:val="nil"/>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9 180</w:t>
            </w:r>
          </w:p>
        </w:tc>
        <w:tc>
          <w:tcPr>
            <w:tcW w:w="1026" w:type="dxa"/>
            <w:tcBorders>
              <w:top w:val="nil"/>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9 009</w:t>
            </w:r>
          </w:p>
        </w:tc>
        <w:tc>
          <w:tcPr>
            <w:tcW w:w="1026" w:type="dxa"/>
            <w:tcBorders>
              <w:top w:val="nil"/>
              <w:left w:val="nil"/>
              <w:bottom w:val="single" w:sz="6" w:space="0" w:color="auto"/>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9 009</w:t>
            </w:r>
          </w:p>
        </w:tc>
      </w:tr>
    </w:tbl>
    <w:p w:rsidR="00BB6F1F" w:rsidRPr="00092971" w:rsidRDefault="00BB6F1F" w:rsidP="00AC68FF">
      <w:pPr>
        <w:rPr>
          <w:rFonts w:asciiTheme="majorHAnsi" w:hAnsiTheme="majorHAnsi"/>
          <w:color w:val="000000"/>
          <w:spacing w:val="4"/>
          <w:sz w:val="17"/>
          <w:lang w:val="en-US"/>
        </w:rPr>
      </w:pPr>
    </w:p>
    <w:p w:rsidR="006309F6" w:rsidRDefault="006309F6">
      <w:pPr>
        <w:keepLines w:val="0"/>
        <w:rPr>
          <w:rFonts w:asciiTheme="majorHAnsi" w:hAnsiTheme="majorHAnsi"/>
          <w:b/>
          <w:sz w:val="20"/>
          <w:szCs w:val="20"/>
        </w:rPr>
      </w:pPr>
      <w:r>
        <w:br w:type="page"/>
      </w:r>
    </w:p>
    <w:p w:rsidR="00BB6F1F" w:rsidRPr="00746768" w:rsidRDefault="00BB6F1F" w:rsidP="00AC68FF">
      <w:pPr>
        <w:pStyle w:val="TableHeading"/>
        <w:rPr>
          <w:bCs/>
          <w:lang w:val="en-US"/>
        </w:rPr>
      </w:pPr>
      <w:r w:rsidRPr="00CE2AE2">
        <w:lastRenderedPageBreak/>
        <w:t>Financial assets and lia</w:t>
      </w:r>
      <w:r>
        <w:t>bilities measured at fair value</w:t>
      </w:r>
      <w:r w:rsidRPr="00CE2AE2">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5528"/>
        <w:gridCol w:w="1037"/>
        <w:gridCol w:w="1015"/>
        <w:gridCol w:w="1026"/>
        <w:gridCol w:w="1026"/>
        <w:gridCol w:w="6"/>
      </w:tblGrid>
      <w:tr w:rsidR="003A7481" w:rsidRPr="00746768" w:rsidTr="00A351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8" w:type="dxa"/>
            <w:vMerge w:val="restart"/>
            <w:tcBorders>
              <w:top w:val="nil"/>
              <w:left w:val="nil"/>
              <w:right w:val="nil"/>
            </w:tcBorders>
            <w:shd w:val="solid" w:color="000000" w:fill="auto"/>
          </w:tcPr>
          <w:p w:rsidR="003A7481" w:rsidRDefault="003A7481" w:rsidP="003A7481">
            <w:pPr>
              <w:keepLines w:val="0"/>
              <w:autoSpaceDE w:val="0"/>
              <w:autoSpaceDN w:val="0"/>
              <w:adjustRightInd w:val="0"/>
              <w:rPr>
                <w:rFonts w:eastAsiaTheme="minorEastAsia" w:cs="Calibri"/>
                <w:iCs/>
                <w:color w:val="FFFFFF"/>
                <w:lang w:eastAsia="en-AU"/>
              </w:rPr>
            </w:pPr>
            <w:r w:rsidRPr="00746768">
              <w:rPr>
                <w:rFonts w:eastAsiaTheme="minorEastAsia" w:cs="Calibri"/>
                <w:iCs/>
                <w:color w:val="FFFFFF"/>
                <w:lang w:eastAsia="en-AU"/>
              </w:rPr>
              <w:t>State of Victoria</w:t>
            </w:r>
          </w:p>
          <w:p w:rsidR="003A7481" w:rsidRDefault="003A7481" w:rsidP="003A7481">
            <w:pPr>
              <w:keepLines w:val="0"/>
              <w:autoSpaceDE w:val="0"/>
              <w:autoSpaceDN w:val="0"/>
              <w:adjustRightInd w:val="0"/>
              <w:rPr>
                <w:rFonts w:eastAsiaTheme="minorEastAsia" w:cs="Calibri"/>
                <w:iCs/>
                <w:color w:val="FFFFFF"/>
                <w:lang w:eastAsia="en-AU"/>
              </w:rPr>
            </w:pPr>
          </w:p>
          <w:p w:rsidR="003A7481" w:rsidRPr="00746768" w:rsidRDefault="003A7481" w:rsidP="003A7481">
            <w:pPr>
              <w:keepLines w:val="0"/>
              <w:autoSpaceDE w:val="0"/>
              <w:autoSpaceDN w:val="0"/>
              <w:adjustRightInd w:val="0"/>
              <w:rPr>
                <w:rFonts w:eastAsiaTheme="minorEastAsia" w:cs="Calibri"/>
                <w:iCs/>
                <w:color w:val="FFFFFF"/>
                <w:lang w:eastAsia="en-AU"/>
              </w:rPr>
            </w:pPr>
            <w:r w:rsidRPr="00746768">
              <w:rPr>
                <w:rFonts w:eastAsiaTheme="minorEastAsia" w:cs="Calibri"/>
                <w:iCs/>
                <w:color w:val="FFFFFF"/>
                <w:lang w:eastAsia="en-AU"/>
              </w:rPr>
              <w:t>2017</w:t>
            </w:r>
          </w:p>
        </w:tc>
        <w:tc>
          <w:tcPr>
            <w:tcW w:w="1037" w:type="dxa"/>
            <w:vMerge w:val="restart"/>
            <w:tcBorders>
              <w:top w:val="nil"/>
              <w:left w:val="nil"/>
              <w:right w:val="nil"/>
            </w:tcBorders>
            <w:shd w:val="solid" w:color="000000" w:fill="auto"/>
          </w:tcPr>
          <w:p w:rsidR="003A7481" w:rsidRPr="00746768" w:rsidRDefault="003A7481" w:rsidP="003A7481">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Carrying</w:t>
            </w:r>
            <w:r>
              <w:rPr>
                <w:rFonts w:eastAsiaTheme="minorEastAsia" w:cs="Calibri"/>
                <w:iCs/>
                <w:color w:val="FFFFFF"/>
                <w:lang w:eastAsia="en-AU"/>
              </w:rPr>
              <w:t xml:space="preserve"> </w:t>
            </w:r>
            <w:r w:rsidRPr="00746768">
              <w:rPr>
                <w:rFonts w:eastAsiaTheme="minorEastAsia" w:cs="Calibri"/>
                <w:iCs/>
                <w:color w:val="FFFFFF"/>
                <w:lang w:eastAsia="en-AU"/>
              </w:rPr>
              <w:t>amount as at</w:t>
            </w:r>
            <w:r>
              <w:rPr>
                <w:rFonts w:eastAsiaTheme="minorEastAsia" w:cs="Calibri"/>
                <w:iCs/>
                <w:color w:val="FFFFFF"/>
                <w:lang w:eastAsia="en-AU"/>
              </w:rPr>
              <w:t xml:space="preserve"> </w:t>
            </w:r>
            <w:r w:rsidRPr="00746768">
              <w:rPr>
                <w:rFonts w:eastAsiaTheme="minorEastAsia" w:cs="Calibri"/>
                <w:iCs/>
                <w:color w:val="FFFFFF"/>
                <w:lang w:eastAsia="en-AU"/>
              </w:rPr>
              <w:t xml:space="preserve">30 June </w:t>
            </w:r>
          </w:p>
        </w:tc>
        <w:tc>
          <w:tcPr>
            <w:tcW w:w="3073" w:type="dxa"/>
            <w:gridSpan w:val="4"/>
            <w:tcBorders>
              <w:top w:val="nil"/>
              <w:left w:val="nil"/>
              <w:bottom w:val="nil"/>
              <w:right w:val="nil"/>
            </w:tcBorders>
            <w:shd w:val="solid" w:color="000000" w:fill="auto"/>
          </w:tcPr>
          <w:p w:rsidR="003A7481" w:rsidRPr="00746768" w:rsidRDefault="003A7481" w:rsidP="003A7481">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Fair value measurement at </w:t>
            </w:r>
            <w:r>
              <w:rPr>
                <w:rFonts w:eastAsiaTheme="minorEastAsia" w:cs="Calibri"/>
                <w:iCs/>
                <w:color w:val="FFFFFF"/>
                <w:lang w:eastAsia="en-AU"/>
              </w:rPr>
              <w:br/>
            </w:r>
            <w:r w:rsidRPr="00746768">
              <w:rPr>
                <w:rFonts w:eastAsiaTheme="minorEastAsia" w:cs="Calibri"/>
                <w:iCs/>
                <w:color w:val="FFFFFF"/>
                <w:lang w:eastAsia="en-AU"/>
              </w:rPr>
              <w:t>end of reporting period using:</w:t>
            </w:r>
          </w:p>
        </w:tc>
      </w:tr>
      <w:tr w:rsidR="003A7481" w:rsidRPr="00746768" w:rsidTr="00A351BA">
        <w:trPr>
          <w:gridAfter w:val="1"/>
          <w:cnfStyle w:val="100000000000" w:firstRow="1" w:lastRow="0" w:firstColumn="0" w:lastColumn="0" w:oddVBand="0" w:evenVBand="0" w:oddHBand="0" w:evenHBand="0" w:firstRowFirstColumn="0" w:firstRowLastColumn="0" w:lastRowFirstColumn="0" w:lastRowLastColumn="0"/>
          <w:wAfter w:w="6" w:type="dxa"/>
          <w:tblHeader/>
        </w:trPr>
        <w:tc>
          <w:tcPr>
            <w:cnfStyle w:val="001000000000" w:firstRow="0" w:lastRow="0" w:firstColumn="1" w:lastColumn="0" w:oddVBand="0" w:evenVBand="0" w:oddHBand="0" w:evenHBand="0" w:firstRowFirstColumn="0" w:firstRowLastColumn="0" w:lastRowFirstColumn="0" w:lastRowLastColumn="0"/>
            <w:tcW w:w="5528" w:type="dxa"/>
            <w:vMerge/>
            <w:tcBorders>
              <w:left w:val="nil"/>
              <w:bottom w:val="nil"/>
              <w:right w:val="nil"/>
            </w:tcBorders>
            <w:shd w:val="solid" w:color="000000" w:fill="auto"/>
          </w:tcPr>
          <w:p w:rsidR="003A7481" w:rsidRPr="00746768" w:rsidRDefault="003A7481" w:rsidP="00AC68FF">
            <w:pPr>
              <w:keepLines w:val="0"/>
              <w:autoSpaceDE w:val="0"/>
              <w:autoSpaceDN w:val="0"/>
              <w:adjustRightInd w:val="0"/>
              <w:rPr>
                <w:rFonts w:eastAsiaTheme="minorEastAsia" w:cs="Calibri"/>
                <w:iCs/>
                <w:color w:val="FFFFFF"/>
                <w:lang w:eastAsia="en-AU"/>
              </w:rPr>
            </w:pPr>
          </w:p>
        </w:tc>
        <w:tc>
          <w:tcPr>
            <w:tcW w:w="1037" w:type="dxa"/>
            <w:vMerge/>
            <w:tcBorders>
              <w:left w:val="nil"/>
              <w:bottom w:val="nil"/>
              <w:right w:val="nil"/>
            </w:tcBorders>
            <w:shd w:val="solid" w:color="000000" w:fill="auto"/>
          </w:tcPr>
          <w:p w:rsidR="003A7481" w:rsidRPr="00746768" w:rsidRDefault="003A7481"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p>
        </w:tc>
        <w:tc>
          <w:tcPr>
            <w:tcW w:w="1015" w:type="dxa"/>
            <w:tcBorders>
              <w:top w:val="nil"/>
              <w:left w:val="nil"/>
              <w:bottom w:val="nil"/>
              <w:right w:val="nil"/>
            </w:tcBorders>
            <w:shd w:val="solid" w:color="000000" w:fill="auto"/>
          </w:tcPr>
          <w:p w:rsidR="003A7481" w:rsidRPr="00746768" w:rsidRDefault="003A7481"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Level 1</w:t>
            </w:r>
          </w:p>
        </w:tc>
        <w:tc>
          <w:tcPr>
            <w:tcW w:w="1026" w:type="dxa"/>
            <w:tcBorders>
              <w:top w:val="nil"/>
              <w:left w:val="nil"/>
              <w:bottom w:val="nil"/>
              <w:right w:val="nil"/>
            </w:tcBorders>
            <w:shd w:val="solid" w:color="000000" w:fill="auto"/>
          </w:tcPr>
          <w:p w:rsidR="003A7481" w:rsidRPr="00746768" w:rsidRDefault="003A7481"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Level 2</w:t>
            </w:r>
          </w:p>
        </w:tc>
        <w:tc>
          <w:tcPr>
            <w:tcW w:w="1026" w:type="dxa"/>
            <w:tcBorders>
              <w:top w:val="nil"/>
              <w:left w:val="nil"/>
              <w:bottom w:val="nil"/>
              <w:right w:val="nil"/>
            </w:tcBorders>
            <w:shd w:val="solid" w:color="000000" w:fill="auto"/>
          </w:tcPr>
          <w:p w:rsidR="003A7481" w:rsidRPr="00746768" w:rsidRDefault="003A7481"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Level 3</w:t>
            </w:r>
          </w:p>
        </w:tc>
      </w:tr>
      <w:tr w:rsidR="00BB6F1F" w:rsidRPr="00746768" w:rsidTr="003A7481">
        <w:trPr>
          <w:gridAfter w:val="1"/>
          <w:wAfter w:w="6" w:type="dxa"/>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Financial assets</w:t>
            </w:r>
          </w:p>
        </w:tc>
        <w:tc>
          <w:tcPr>
            <w:tcW w:w="1037"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FF0000"/>
                <w:lang w:eastAsia="en-AU"/>
              </w:rPr>
            </w:pPr>
            <w:r w:rsidRPr="00746768">
              <w:rPr>
                <w:rFonts w:eastAsiaTheme="minorEastAsia" w:cs="Calibri"/>
                <w:color w:val="FF0000"/>
                <w:lang w:eastAsia="en-AU"/>
              </w:rPr>
              <w:t xml:space="preserve"> </w:t>
            </w:r>
          </w:p>
        </w:tc>
        <w:tc>
          <w:tcPr>
            <w:tcW w:w="1015"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0000"/>
                <w:lang w:eastAsia="en-AU"/>
              </w:rPr>
            </w:pPr>
            <w:r w:rsidRPr="00746768">
              <w:rPr>
                <w:rFonts w:eastAsiaTheme="minorEastAsia" w:cs="Calibri"/>
                <w:i/>
                <w:iCs/>
                <w:color w:val="FF0000"/>
                <w:lang w:eastAsia="en-AU"/>
              </w:rPr>
              <w:t xml:space="preserve"> </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0000"/>
                <w:lang w:eastAsia="en-AU"/>
              </w:rPr>
            </w:pPr>
            <w:r w:rsidRPr="00746768">
              <w:rPr>
                <w:rFonts w:eastAsiaTheme="minorEastAsia" w:cs="Calibri"/>
                <w:i/>
                <w:iCs/>
                <w:color w:val="FF0000"/>
                <w:lang w:eastAsia="en-AU"/>
              </w:rPr>
              <w:t xml:space="preserve"> </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0000"/>
                <w:lang w:eastAsia="en-AU"/>
              </w:rPr>
            </w:pPr>
            <w:r w:rsidRPr="00746768">
              <w:rPr>
                <w:rFonts w:eastAsiaTheme="minorEastAsia" w:cs="Calibri"/>
                <w:i/>
                <w:iCs/>
                <w:color w:val="FF0000"/>
                <w:lang w:eastAsia="en-AU"/>
              </w:rPr>
              <w:t xml:space="preserve"> </w:t>
            </w:r>
          </w:p>
        </w:tc>
      </w:tr>
      <w:tr w:rsidR="00BB6F1F" w:rsidRPr="00746768" w:rsidTr="003A7481">
        <w:trPr>
          <w:gridAfter w:val="1"/>
          <w:wAfter w:w="6" w:type="dxa"/>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Cash</w:t>
            </w:r>
          </w:p>
        </w:tc>
        <w:tc>
          <w:tcPr>
            <w:tcW w:w="103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5 869</w:t>
            </w:r>
          </w:p>
        </w:tc>
        <w:tc>
          <w:tcPr>
            <w:tcW w:w="1015"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5 869</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3A7481">
        <w:trPr>
          <w:gridAfter w:val="1"/>
          <w:wAfter w:w="6" w:type="dxa"/>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Derivative assets</w:t>
            </w:r>
          </w:p>
        </w:tc>
        <w:tc>
          <w:tcPr>
            <w:tcW w:w="103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1 061</w:t>
            </w:r>
          </w:p>
        </w:tc>
        <w:tc>
          <w:tcPr>
            <w:tcW w:w="1015"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34</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1 027</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3A7481">
        <w:trPr>
          <w:gridAfter w:val="1"/>
          <w:wAfter w:w="6" w:type="dxa"/>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Term Deposits</w:t>
            </w:r>
          </w:p>
        </w:tc>
        <w:tc>
          <w:tcPr>
            <w:tcW w:w="103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5 661</w:t>
            </w:r>
          </w:p>
        </w:tc>
        <w:tc>
          <w:tcPr>
            <w:tcW w:w="1015"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5 661</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3A7481">
        <w:trPr>
          <w:gridAfter w:val="1"/>
          <w:wAfter w:w="6" w:type="dxa"/>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Equities and managed investment schemes</w:t>
            </w:r>
          </w:p>
        </w:tc>
        <w:tc>
          <w:tcPr>
            <w:tcW w:w="103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28 833</w:t>
            </w:r>
          </w:p>
        </w:tc>
        <w:tc>
          <w:tcPr>
            <w:tcW w:w="1015"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2 411</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20 104</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6 318</w:t>
            </w:r>
          </w:p>
        </w:tc>
      </w:tr>
      <w:tr w:rsidR="00BB6F1F" w:rsidRPr="00746768" w:rsidTr="003A7481">
        <w:trPr>
          <w:gridAfter w:val="1"/>
          <w:wAfter w:w="6" w:type="dxa"/>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Debt securities at fair value</w:t>
            </w:r>
          </w:p>
        </w:tc>
        <w:tc>
          <w:tcPr>
            <w:tcW w:w="103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6 437</w:t>
            </w:r>
          </w:p>
        </w:tc>
        <w:tc>
          <w:tcPr>
            <w:tcW w:w="1015"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1 740</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4 694</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w:t>
            </w:r>
          </w:p>
        </w:tc>
      </w:tr>
      <w:tr w:rsidR="00BB6F1F" w:rsidRPr="00746768" w:rsidTr="003A7481">
        <w:trPr>
          <w:gridAfter w:val="1"/>
          <w:wAfter w:w="6" w:type="dxa"/>
        </w:trPr>
        <w:tc>
          <w:tcPr>
            <w:cnfStyle w:val="001000000000" w:firstRow="0" w:lastRow="0" w:firstColumn="1" w:lastColumn="0" w:oddVBand="0" w:evenVBand="0" w:oddHBand="0" w:evenHBand="0" w:firstRowFirstColumn="0" w:firstRowLastColumn="0" w:lastRowFirstColumn="0" w:lastRowLastColumn="0"/>
            <w:tcW w:w="5528" w:type="dxa"/>
            <w:tcBorders>
              <w:top w:val="single" w:sz="6" w:space="0" w:color="auto"/>
              <w:left w:val="nil"/>
              <w:bottom w:val="single" w:sz="6" w:space="0" w:color="auto"/>
              <w:right w:val="nil"/>
            </w:tcBorders>
            <w:shd w:val="solid" w:color="FFFFFF" w:fill="auto"/>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Total financial assets</w:t>
            </w:r>
          </w:p>
        </w:tc>
        <w:tc>
          <w:tcPr>
            <w:tcW w:w="1037" w:type="dxa"/>
            <w:tcBorders>
              <w:top w:val="single" w:sz="6" w:space="0" w:color="auto"/>
              <w:left w:val="nil"/>
              <w:bottom w:val="single" w:sz="6" w:space="0" w:color="auto"/>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47 862</w:t>
            </w:r>
          </w:p>
        </w:tc>
        <w:tc>
          <w:tcPr>
            <w:tcW w:w="1015" w:type="dxa"/>
            <w:tcBorders>
              <w:top w:val="single" w:sz="6" w:space="0" w:color="auto"/>
              <w:left w:val="nil"/>
              <w:bottom w:val="single" w:sz="6" w:space="0" w:color="auto"/>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10 054</w:t>
            </w:r>
          </w:p>
        </w:tc>
        <w:tc>
          <w:tcPr>
            <w:tcW w:w="1026" w:type="dxa"/>
            <w:tcBorders>
              <w:top w:val="single" w:sz="6" w:space="0" w:color="auto"/>
              <w:left w:val="nil"/>
              <w:bottom w:val="single" w:sz="6" w:space="0" w:color="auto"/>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31 487</w:t>
            </w:r>
          </w:p>
        </w:tc>
        <w:tc>
          <w:tcPr>
            <w:tcW w:w="1026" w:type="dxa"/>
            <w:tcBorders>
              <w:top w:val="single" w:sz="6" w:space="0" w:color="auto"/>
              <w:left w:val="nil"/>
              <w:bottom w:val="single" w:sz="6" w:space="0" w:color="auto"/>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6 321</w:t>
            </w:r>
          </w:p>
        </w:tc>
      </w:tr>
      <w:tr w:rsidR="00BB6F1F" w:rsidRPr="00746768" w:rsidTr="003A7481">
        <w:trPr>
          <w:gridAfter w:val="1"/>
          <w:wAfter w:w="6" w:type="dxa"/>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Financial liabilities</w:t>
            </w:r>
          </w:p>
        </w:tc>
        <w:tc>
          <w:tcPr>
            <w:tcW w:w="1037"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 xml:space="preserve"> </w:t>
            </w:r>
          </w:p>
        </w:tc>
        <w:tc>
          <w:tcPr>
            <w:tcW w:w="1015"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 xml:space="preserve"> </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 xml:space="preserve"> </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 xml:space="preserve"> </w:t>
            </w:r>
          </w:p>
        </w:tc>
      </w:tr>
      <w:tr w:rsidR="00BB6F1F" w:rsidRPr="00746768" w:rsidTr="003A7481">
        <w:trPr>
          <w:gridAfter w:val="1"/>
          <w:wAfter w:w="6" w:type="dxa"/>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Domestic borrowings</w:t>
            </w:r>
          </w:p>
        </w:tc>
        <w:tc>
          <w:tcPr>
            <w:tcW w:w="103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38 287</w:t>
            </w:r>
          </w:p>
        </w:tc>
        <w:tc>
          <w:tcPr>
            <w:tcW w:w="1015"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31 906</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6 381</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3A7481">
        <w:trPr>
          <w:gridAfter w:val="1"/>
          <w:wAfter w:w="6" w:type="dxa"/>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Foreign currency borrowings</w:t>
            </w:r>
          </w:p>
        </w:tc>
        <w:tc>
          <w:tcPr>
            <w:tcW w:w="103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126</w:t>
            </w:r>
          </w:p>
        </w:tc>
        <w:tc>
          <w:tcPr>
            <w:tcW w:w="1015"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126</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3A7481">
        <w:trPr>
          <w:gridAfter w:val="1"/>
          <w:wAfter w:w="6" w:type="dxa"/>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Derivative financial liabilities</w:t>
            </w:r>
          </w:p>
        </w:tc>
        <w:tc>
          <w:tcPr>
            <w:tcW w:w="1037"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491</w:t>
            </w:r>
          </w:p>
        </w:tc>
        <w:tc>
          <w:tcPr>
            <w:tcW w:w="1015"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489</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3A7481">
        <w:trPr>
          <w:gridAfter w:val="1"/>
          <w:cnfStyle w:val="010000000000" w:firstRow="0" w:lastRow="1" w:firstColumn="0" w:lastColumn="0" w:oddVBand="0" w:evenVBand="0" w:oddHBand="0"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528" w:type="dxa"/>
            <w:tcBorders>
              <w:top w:val="single" w:sz="6" w:space="0" w:color="auto"/>
              <w:bottom w:val="single" w:sz="6" w:space="0" w:color="auto"/>
            </w:tcBorders>
            <w:shd w:val="solid" w:color="FFFFFF" w:fill="auto"/>
          </w:tcPr>
          <w:p w:rsidR="00BB6F1F" w:rsidRPr="00746768" w:rsidRDefault="00BB6F1F" w:rsidP="00AC68FF">
            <w:pPr>
              <w:keepLines w:val="0"/>
              <w:autoSpaceDE w:val="0"/>
              <w:autoSpaceDN w:val="0"/>
              <w:adjustRightInd w:val="0"/>
              <w:rPr>
                <w:rFonts w:eastAsiaTheme="minorEastAsia" w:cs="Calibri"/>
                <w:bCs/>
                <w:color w:val="000000"/>
                <w:lang w:eastAsia="en-AU"/>
              </w:rPr>
            </w:pPr>
            <w:r w:rsidRPr="00746768">
              <w:rPr>
                <w:rFonts w:eastAsiaTheme="minorEastAsia" w:cs="Calibri"/>
                <w:bCs/>
                <w:color w:val="000000"/>
                <w:lang w:eastAsia="en-AU"/>
              </w:rPr>
              <w:t>Total financial liabilities</w:t>
            </w:r>
          </w:p>
        </w:tc>
        <w:tc>
          <w:tcPr>
            <w:tcW w:w="1037" w:type="dxa"/>
            <w:tcBorders>
              <w:top w:val="single" w:sz="6" w:space="0" w:color="auto"/>
              <w:bottom w:val="single" w:sz="6"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38 904</w:t>
            </w:r>
          </w:p>
        </w:tc>
        <w:tc>
          <w:tcPr>
            <w:tcW w:w="1015" w:type="dxa"/>
            <w:tcBorders>
              <w:top w:val="single" w:sz="6" w:space="0" w:color="auto"/>
              <w:bottom w:val="single" w:sz="6"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31 907</w:t>
            </w:r>
          </w:p>
        </w:tc>
        <w:tc>
          <w:tcPr>
            <w:tcW w:w="1026" w:type="dxa"/>
            <w:tcBorders>
              <w:top w:val="single" w:sz="6" w:space="0" w:color="auto"/>
              <w:bottom w:val="single" w:sz="6"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6 996</w:t>
            </w:r>
          </w:p>
        </w:tc>
        <w:tc>
          <w:tcPr>
            <w:tcW w:w="1026" w:type="dxa"/>
            <w:tcBorders>
              <w:top w:val="single" w:sz="6" w:space="0" w:color="auto"/>
              <w:bottom w:val="single" w:sz="6"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w:t>
            </w:r>
          </w:p>
        </w:tc>
      </w:tr>
    </w:tbl>
    <w:p w:rsidR="00BB6F1F" w:rsidRPr="00746768" w:rsidRDefault="00BB6F1F" w:rsidP="00D54912">
      <w:pPr>
        <w:rPr>
          <w:b/>
          <w:bCs/>
          <w:lang w:val="en-US"/>
        </w:rPr>
      </w:pPr>
    </w:p>
    <w:tbl>
      <w:tblPr>
        <w:tblStyle w:val="DTFTable"/>
        <w:tblW w:w="9632" w:type="dxa"/>
        <w:tblInd w:w="45" w:type="dxa"/>
        <w:tblLayout w:type="fixed"/>
        <w:tblCellMar>
          <w:left w:w="45" w:type="dxa"/>
          <w:right w:w="45" w:type="dxa"/>
        </w:tblCellMar>
        <w:tblLook w:val="06E0" w:firstRow="1" w:lastRow="1" w:firstColumn="1" w:lastColumn="0" w:noHBand="1" w:noVBand="1"/>
      </w:tblPr>
      <w:tblGrid>
        <w:gridCol w:w="5528"/>
        <w:gridCol w:w="1026"/>
        <w:gridCol w:w="1026"/>
        <w:gridCol w:w="1026"/>
        <w:gridCol w:w="1026"/>
      </w:tblGrid>
      <w:tr w:rsidR="00BB6F1F" w:rsidRPr="00746768"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000000" w:fill="auto"/>
          </w:tcPr>
          <w:p w:rsidR="00BB6F1F" w:rsidRPr="00746768" w:rsidRDefault="00BB6F1F" w:rsidP="00AC68FF">
            <w:pPr>
              <w:autoSpaceDE w:val="0"/>
              <w:autoSpaceDN w:val="0"/>
              <w:adjustRightInd w:val="0"/>
              <w:rPr>
                <w:rFonts w:eastAsiaTheme="minorEastAsia" w:cs="Calibri"/>
                <w:iCs/>
                <w:color w:val="FFFFFF"/>
                <w:lang w:eastAsia="en-AU"/>
              </w:rPr>
            </w:pPr>
            <w:r w:rsidRPr="00746768">
              <w:rPr>
                <w:rFonts w:eastAsiaTheme="minorEastAsia" w:cs="Calibri"/>
                <w:iCs/>
                <w:color w:val="FFFFFF"/>
                <w:lang w:eastAsia="en-AU"/>
              </w:rPr>
              <w:t>2016</w:t>
            </w:r>
          </w:p>
        </w:tc>
        <w:tc>
          <w:tcPr>
            <w:tcW w:w="102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 xml:space="preserve"> </w:t>
            </w:r>
          </w:p>
        </w:tc>
        <w:tc>
          <w:tcPr>
            <w:tcW w:w="102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b/>
                <w:bCs/>
                <w:iCs/>
                <w:color w:val="000000"/>
                <w:lang w:eastAsia="en-AU"/>
              </w:rPr>
            </w:pPr>
            <w:r w:rsidRPr="00746768">
              <w:rPr>
                <w:rFonts w:eastAsiaTheme="minorEastAsia" w:cs="Calibri"/>
                <w:b/>
                <w:bCs/>
                <w:iCs/>
                <w:color w:val="000000"/>
                <w:lang w:eastAsia="en-AU"/>
              </w:rPr>
              <w:t xml:space="preserve"> </w:t>
            </w:r>
          </w:p>
        </w:tc>
        <w:tc>
          <w:tcPr>
            <w:tcW w:w="102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b/>
                <w:bCs/>
                <w:iCs/>
                <w:color w:val="000000"/>
                <w:lang w:eastAsia="en-AU"/>
              </w:rPr>
            </w:pPr>
            <w:r w:rsidRPr="00746768">
              <w:rPr>
                <w:rFonts w:eastAsiaTheme="minorEastAsia" w:cs="Calibri"/>
                <w:b/>
                <w:bCs/>
                <w:iCs/>
                <w:color w:val="000000"/>
                <w:lang w:eastAsia="en-AU"/>
              </w:rPr>
              <w:t xml:space="preserve"> </w:t>
            </w:r>
          </w:p>
        </w:tc>
        <w:tc>
          <w:tcPr>
            <w:tcW w:w="102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b/>
                <w:bCs/>
                <w:iCs/>
                <w:color w:val="000000"/>
                <w:lang w:eastAsia="en-AU"/>
              </w:rPr>
            </w:pPr>
            <w:r w:rsidRPr="00746768">
              <w:rPr>
                <w:rFonts w:eastAsiaTheme="minorEastAsia" w:cs="Calibri"/>
                <w:b/>
                <w:bCs/>
                <w:iCs/>
                <w:color w:val="000000"/>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Financial assets</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746768">
              <w:rPr>
                <w:rFonts w:eastAsiaTheme="minorEastAsia" w:cs="Calibri"/>
                <w:i/>
                <w:iCs/>
                <w:color w:val="000000"/>
                <w:lang w:eastAsia="en-AU"/>
              </w:rPr>
              <w:t xml:space="preserve"> </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746768">
              <w:rPr>
                <w:rFonts w:eastAsiaTheme="minorEastAsia" w:cs="Calibri"/>
                <w:i/>
                <w:iCs/>
                <w:color w:val="000000"/>
                <w:lang w:eastAsia="en-AU"/>
              </w:rPr>
              <w:t xml:space="preserve"> </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746768">
              <w:rPr>
                <w:rFonts w:eastAsiaTheme="minorEastAsia" w:cs="Calibri"/>
                <w:i/>
                <w:iCs/>
                <w:color w:val="000000"/>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Cash</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6 676</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6 676</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Derivative assets</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1 122</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74</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1 048</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Equities and managed investment schemes</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24 416</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2 216</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16 860</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5 340</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Debt securities at fair value</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9 484</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2 138</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7 132</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214</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single" w:sz="6" w:space="0" w:color="auto"/>
              <w:left w:val="nil"/>
              <w:bottom w:val="single" w:sz="6" w:space="0" w:color="auto"/>
              <w:right w:val="nil"/>
            </w:tcBorders>
            <w:shd w:val="solid" w:color="FFFFFF" w:fill="auto"/>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Total financial assets</w:t>
            </w:r>
          </w:p>
        </w:tc>
        <w:tc>
          <w:tcPr>
            <w:tcW w:w="1026" w:type="dxa"/>
            <w:tcBorders>
              <w:top w:val="single" w:sz="6" w:space="0" w:color="auto"/>
              <w:left w:val="nil"/>
              <w:bottom w:val="single" w:sz="6" w:space="0" w:color="auto"/>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41 698</w:t>
            </w:r>
          </w:p>
        </w:tc>
        <w:tc>
          <w:tcPr>
            <w:tcW w:w="1026" w:type="dxa"/>
            <w:tcBorders>
              <w:top w:val="single" w:sz="6" w:space="0" w:color="auto"/>
              <w:left w:val="nil"/>
              <w:bottom w:val="single" w:sz="6" w:space="0" w:color="auto"/>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11 104</w:t>
            </w:r>
          </w:p>
        </w:tc>
        <w:tc>
          <w:tcPr>
            <w:tcW w:w="1026" w:type="dxa"/>
            <w:tcBorders>
              <w:top w:val="single" w:sz="6" w:space="0" w:color="auto"/>
              <w:left w:val="nil"/>
              <w:bottom w:val="single" w:sz="6" w:space="0" w:color="auto"/>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25 040</w:t>
            </w:r>
          </w:p>
        </w:tc>
        <w:tc>
          <w:tcPr>
            <w:tcW w:w="1026" w:type="dxa"/>
            <w:tcBorders>
              <w:top w:val="single" w:sz="6" w:space="0" w:color="auto"/>
              <w:left w:val="nil"/>
              <w:bottom w:val="single" w:sz="6" w:space="0" w:color="auto"/>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5 554</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Financial liabilities</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 xml:space="preserve"> </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 xml:space="preserve"> </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 xml:space="preserve"> </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Domestic borrowings</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42 715</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34 956</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7 759</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Foreign currency borrowings</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242</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242</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Derivative financial liabilities</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1 073</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13</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1 060</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single" w:sz="6" w:space="0" w:color="auto"/>
              <w:bottom w:val="single" w:sz="6" w:space="0" w:color="auto"/>
            </w:tcBorders>
            <w:shd w:val="solid" w:color="FFFFFF" w:fill="auto"/>
          </w:tcPr>
          <w:p w:rsidR="00BB6F1F" w:rsidRPr="00746768" w:rsidRDefault="00BB6F1F" w:rsidP="00AC68FF">
            <w:pPr>
              <w:keepLines w:val="0"/>
              <w:autoSpaceDE w:val="0"/>
              <w:autoSpaceDN w:val="0"/>
              <w:adjustRightInd w:val="0"/>
              <w:rPr>
                <w:rFonts w:eastAsiaTheme="minorEastAsia" w:cs="Calibri"/>
                <w:bCs/>
                <w:color w:val="000000"/>
                <w:lang w:eastAsia="en-AU"/>
              </w:rPr>
            </w:pPr>
            <w:r w:rsidRPr="00746768">
              <w:rPr>
                <w:rFonts w:eastAsiaTheme="minorEastAsia" w:cs="Calibri"/>
                <w:bCs/>
                <w:color w:val="000000"/>
                <w:lang w:eastAsia="en-AU"/>
              </w:rPr>
              <w:t>Total financial liabilities</w:t>
            </w:r>
          </w:p>
        </w:tc>
        <w:tc>
          <w:tcPr>
            <w:tcW w:w="1026" w:type="dxa"/>
            <w:tcBorders>
              <w:top w:val="single" w:sz="6" w:space="0" w:color="auto"/>
              <w:bottom w:val="single" w:sz="6"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44 030</w:t>
            </w:r>
          </w:p>
        </w:tc>
        <w:tc>
          <w:tcPr>
            <w:tcW w:w="1026" w:type="dxa"/>
            <w:tcBorders>
              <w:top w:val="single" w:sz="6" w:space="0" w:color="auto"/>
              <w:bottom w:val="single" w:sz="6"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34 969</w:t>
            </w:r>
          </w:p>
        </w:tc>
        <w:tc>
          <w:tcPr>
            <w:tcW w:w="1026" w:type="dxa"/>
            <w:tcBorders>
              <w:top w:val="single" w:sz="6" w:space="0" w:color="auto"/>
              <w:bottom w:val="single" w:sz="6"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9 061</w:t>
            </w:r>
          </w:p>
        </w:tc>
        <w:tc>
          <w:tcPr>
            <w:tcW w:w="1026" w:type="dxa"/>
            <w:tcBorders>
              <w:top w:val="single" w:sz="6" w:space="0" w:color="auto"/>
              <w:bottom w:val="single" w:sz="6"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w:t>
            </w:r>
          </w:p>
        </w:tc>
      </w:tr>
    </w:tbl>
    <w:p w:rsidR="00BB6F1F" w:rsidRPr="00746768" w:rsidRDefault="00BB6F1F" w:rsidP="006309F6">
      <w:pPr>
        <w:rPr>
          <w:bCs/>
          <w:lang w:val="en-US"/>
        </w:rPr>
      </w:pPr>
    </w:p>
    <w:tbl>
      <w:tblPr>
        <w:tblStyle w:val="DTFTable"/>
        <w:tblW w:w="9632" w:type="dxa"/>
        <w:tblInd w:w="45" w:type="dxa"/>
        <w:tblLayout w:type="fixed"/>
        <w:tblCellMar>
          <w:left w:w="45" w:type="dxa"/>
          <w:right w:w="45" w:type="dxa"/>
        </w:tblCellMar>
        <w:tblLook w:val="06E0" w:firstRow="1" w:lastRow="1" w:firstColumn="1" w:lastColumn="0" w:noHBand="1" w:noVBand="1"/>
      </w:tblPr>
      <w:tblGrid>
        <w:gridCol w:w="5528"/>
        <w:gridCol w:w="1026"/>
        <w:gridCol w:w="1026"/>
        <w:gridCol w:w="1026"/>
        <w:gridCol w:w="1026"/>
      </w:tblGrid>
      <w:tr w:rsidR="003A7481" w:rsidRPr="00746768" w:rsidTr="00A351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8" w:type="dxa"/>
            <w:vMerge w:val="restart"/>
            <w:tcBorders>
              <w:top w:val="nil"/>
              <w:left w:val="nil"/>
              <w:right w:val="nil"/>
            </w:tcBorders>
            <w:shd w:val="solid" w:color="000000" w:fill="auto"/>
          </w:tcPr>
          <w:p w:rsidR="003A7481" w:rsidRDefault="003A7481" w:rsidP="00AC68FF">
            <w:pPr>
              <w:autoSpaceDE w:val="0"/>
              <w:autoSpaceDN w:val="0"/>
              <w:adjustRightInd w:val="0"/>
              <w:rPr>
                <w:rFonts w:eastAsiaTheme="minorEastAsia" w:cs="Calibri"/>
                <w:iCs/>
                <w:color w:val="FFFFFF"/>
                <w:vertAlign w:val="superscript"/>
                <w:lang w:eastAsia="en-AU"/>
              </w:rPr>
            </w:pPr>
            <w:r>
              <w:rPr>
                <w:rFonts w:eastAsiaTheme="minorEastAsia" w:cs="Calibri"/>
                <w:iCs/>
                <w:color w:val="FFFFFF"/>
                <w:lang w:eastAsia="en-AU"/>
              </w:rPr>
              <w:t>General government s</w:t>
            </w:r>
            <w:r w:rsidRPr="00746768">
              <w:rPr>
                <w:rFonts w:eastAsiaTheme="minorEastAsia" w:cs="Calibri"/>
                <w:iCs/>
                <w:color w:val="FFFFFF"/>
                <w:lang w:eastAsia="en-AU"/>
              </w:rPr>
              <w:t xml:space="preserve">ector </w:t>
            </w:r>
            <w:r w:rsidRPr="00746768">
              <w:rPr>
                <w:rFonts w:eastAsiaTheme="minorEastAsia" w:cs="Calibri"/>
                <w:iCs/>
                <w:color w:val="FFFFFF"/>
                <w:vertAlign w:val="superscript"/>
                <w:lang w:eastAsia="en-AU"/>
              </w:rPr>
              <w:t>(a)</w:t>
            </w:r>
          </w:p>
          <w:p w:rsidR="003A7481" w:rsidRPr="003A7481" w:rsidRDefault="003A7481" w:rsidP="003A7481"/>
          <w:p w:rsidR="003A7481" w:rsidRPr="00746768" w:rsidRDefault="003A7481" w:rsidP="00AC68FF">
            <w:pPr>
              <w:autoSpaceDE w:val="0"/>
              <w:autoSpaceDN w:val="0"/>
              <w:adjustRightInd w:val="0"/>
              <w:rPr>
                <w:rFonts w:eastAsiaTheme="minorEastAsia" w:cs="Calibri"/>
                <w:iCs/>
                <w:color w:val="FFFFFF"/>
                <w:vertAlign w:val="superscript"/>
                <w:lang w:eastAsia="en-AU"/>
              </w:rPr>
            </w:pPr>
            <w:r w:rsidRPr="00746768">
              <w:rPr>
                <w:rFonts w:eastAsiaTheme="minorEastAsia" w:cs="Calibri"/>
                <w:iCs/>
                <w:color w:val="FFFFFF"/>
                <w:lang w:eastAsia="en-AU"/>
              </w:rPr>
              <w:t>2017</w:t>
            </w:r>
          </w:p>
        </w:tc>
        <w:tc>
          <w:tcPr>
            <w:tcW w:w="1026" w:type="dxa"/>
            <w:vMerge w:val="restart"/>
            <w:tcBorders>
              <w:top w:val="nil"/>
              <w:left w:val="nil"/>
              <w:right w:val="nil"/>
            </w:tcBorders>
            <w:shd w:val="solid" w:color="000000" w:fill="auto"/>
          </w:tcPr>
          <w:p w:rsidR="003A7481" w:rsidRPr="00746768" w:rsidRDefault="003A7481"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p>
        </w:tc>
        <w:tc>
          <w:tcPr>
            <w:tcW w:w="3078" w:type="dxa"/>
            <w:gridSpan w:val="3"/>
            <w:tcBorders>
              <w:top w:val="nil"/>
              <w:left w:val="nil"/>
              <w:bottom w:val="nil"/>
              <w:right w:val="nil"/>
            </w:tcBorders>
            <w:shd w:val="solid" w:color="000000" w:fill="auto"/>
          </w:tcPr>
          <w:p w:rsidR="003A7481" w:rsidRPr="00746768" w:rsidRDefault="003A7481"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p>
        </w:tc>
      </w:tr>
      <w:tr w:rsidR="003A7481" w:rsidRPr="00746768" w:rsidTr="00A351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8" w:type="dxa"/>
            <w:vMerge/>
            <w:tcBorders>
              <w:left w:val="nil"/>
              <w:bottom w:val="nil"/>
              <w:right w:val="nil"/>
            </w:tcBorders>
            <w:shd w:val="solid" w:color="000000" w:fill="auto"/>
          </w:tcPr>
          <w:p w:rsidR="003A7481" w:rsidRPr="00746768" w:rsidRDefault="003A7481" w:rsidP="00AC68FF">
            <w:pPr>
              <w:keepLines w:val="0"/>
              <w:autoSpaceDE w:val="0"/>
              <w:autoSpaceDN w:val="0"/>
              <w:adjustRightInd w:val="0"/>
              <w:rPr>
                <w:rFonts w:eastAsiaTheme="minorEastAsia" w:cs="Calibri"/>
                <w:iCs/>
                <w:color w:val="FFFFFF"/>
                <w:lang w:eastAsia="en-AU"/>
              </w:rPr>
            </w:pPr>
          </w:p>
        </w:tc>
        <w:tc>
          <w:tcPr>
            <w:tcW w:w="1026" w:type="dxa"/>
            <w:vMerge/>
            <w:tcBorders>
              <w:left w:val="nil"/>
              <w:bottom w:val="nil"/>
              <w:right w:val="nil"/>
            </w:tcBorders>
            <w:shd w:val="solid" w:color="000000" w:fill="auto"/>
          </w:tcPr>
          <w:p w:rsidR="003A7481" w:rsidRPr="00746768" w:rsidRDefault="003A7481"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p>
        </w:tc>
        <w:tc>
          <w:tcPr>
            <w:tcW w:w="1026" w:type="dxa"/>
            <w:tcBorders>
              <w:top w:val="nil"/>
              <w:left w:val="nil"/>
              <w:bottom w:val="nil"/>
              <w:right w:val="nil"/>
            </w:tcBorders>
            <w:shd w:val="solid" w:color="000000" w:fill="auto"/>
          </w:tcPr>
          <w:p w:rsidR="003A7481" w:rsidRPr="00746768" w:rsidRDefault="003A7481"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p>
        </w:tc>
        <w:tc>
          <w:tcPr>
            <w:tcW w:w="1026" w:type="dxa"/>
            <w:tcBorders>
              <w:top w:val="nil"/>
              <w:left w:val="nil"/>
              <w:bottom w:val="nil"/>
              <w:right w:val="nil"/>
            </w:tcBorders>
            <w:shd w:val="solid" w:color="000000" w:fill="auto"/>
          </w:tcPr>
          <w:p w:rsidR="003A7481" w:rsidRPr="00746768" w:rsidRDefault="003A7481"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p>
        </w:tc>
        <w:tc>
          <w:tcPr>
            <w:tcW w:w="1026" w:type="dxa"/>
            <w:tcBorders>
              <w:top w:val="nil"/>
              <w:left w:val="nil"/>
              <w:bottom w:val="nil"/>
              <w:right w:val="nil"/>
            </w:tcBorders>
            <w:shd w:val="solid" w:color="000000" w:fill="auto"/>
          </w:tcPr>
          <w:p w:rsidR="003A7481" w:rsidRPr="00746768" w:rsidRDefault="003A7481"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p>
        </w:tc>
      </w:tr>
      <w:tr w:rsidR="00BB6F1F" w:rsidRPr="00746768" w:rsidTr="007D288D">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Financial assets</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FF0000"/>
                <w:lang w:eastAsia="en-AU"/>
              </w:rPr>
            </w:pPr>
            <w:r w:rsidRPr="00746768">
              <w:rPr>
                <w:rFonts w:eastAsiaTheme="minorEastAsia" w:cs="Calibri"/>
                <w:color w:val="FF0000"/>
                <w:lang w:eastAsia="en-AU"/>
              </w:rPr>
              <w:t xml:space="preserve"> </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0000"/>
                <w:lang w:eastAsia="en-AU"/>
              </w:rPr>
            </w:pPr>
            <w:r w:rsidRPr="00746768">
              <w:rPr>
                <w:rFonts w:eastAsiaTheme="minorEastAsia" w:cs="Calibri"/>
                <w:i/>
                <w:iCs/>
                <w:color w:val="FF0000"/>
                <w:lang w:eastAsia="en-AU"/>
              </w:rPr>
              <w:t xml:space="preserve"> </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0000"/>
                <w:lang w:eastAsia="en-AU"/>
              </w:rPr>
            </w:pPr>
            <w:r w:rsidRPr="00746768">
              <w:rPr>
                <w:rFonts w:eastAsiaTheme="minorEastAsia" w:cs="Calibri"/>
                <w:i/>
                <w:iCs/>
                <w:color w:val="FF0000"/>
                <w:lang w:eastAsia="en-AU"/>
              </w:rPr>
              <w:t xml:space="preserve"> </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0000"/>
                <w:lang w:eastAsia="en-AU"/>
              </w:rPr>
            </w:pPr>
            <w:r w:rsidRPr="00746768">
              <w:rPr>
                <w:rFonts w:eastAsiaTheme="minorEastAsia" w:cs="Calibri"/>
                <w:i/>
                <w:iCs/>
                <w:color w:val="FF0000"/>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Cash</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5 530</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5 530</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Derivative assets</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17</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17</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Equities and managed investment schemes</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1 417</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794</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623</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Debt securities at fair value</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rPr>
                <w:rFonts w:eastAsiaTheme="minorEastAsia" w:cs="Calibri"/>
                <w:bCs/>
                <w:color w:val="000000"/>
                <w:lang w:eastAsia="en-AU"/>
              </w:rPr>
            </w:pPr>
            <w:r w:rsidRPr="00746768">
              <w:rPr>
                <w:rFonts w:eastAsiaTheme="minorEastAsia" w:cs="Calibri"/>
                <w:bCs/>
                <w:color w:val="000000"/>
                <w:lang w:eastAsia="en-AU"/>
              </w:rPr>
              <w:t xml:space="preserve">Total financial assets </w:t>
            </w:r>
          </w:p>
        </w:tc>
        <w:tc>
          <w:tcPr>
            <w:tcW w:w="1026"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6 989</w:t>
            </w:r>
          </w:p>
        </w:tc>
        <w:tc>
          <w:tcPr>
            <w:tcW w:w="1026"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6 366</w:t>
            </w:r>
          </w:p>
        </w:tc>
        <w:tc>
          <w:tcPr>
            <w:tcW w:w="1026"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623</w:t>
            </w:r>
          </w:p>
        </w:tc>
        <w:tc>
          <w:tcPr>
            <w:tcW w:w="1026"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w:t>
            </w:r>
          </w:p>
        </w:tc>
      </w:tr>
    </w:tbl>
    <w:p w:rsidR="00BB6F1F" w:rsidRPr="00746768" w:rsidRDefault="00BB6F1F" w:rsidP="00D54912">
      <w:pPr>
        <w:rPr>
          <w:b/>
          <w:bCs/>
          <w:lang w:val="en-US"/>
        </w:rPr>
      </w:pPr>
    </w:p>
    <w:tbl>
      <w:tblPr>
        <w:tblStyle w:val="DTFTable"/>
        <w:tblW w:w="9632" w:type="dxa"/>
        <w:tblInd w:w="45" w:type="dxa"/>
        <w:tblLayout w:type="fixed"/>
        <w:tblCellMar>
          <w:left w:w="45" w:type="dxa"/>
          <w:right w:w="45" w:type="dxa"/>
        </w:tblCellMar>
        <w:tblLook w:val="06E0" w:firstRow="1" w:lastRow="1" w:firstColumn="1" w:lastColumn="0" w:noHBand="1" w:noVBand="1"/>
      </w:tblPr>
      <w:tblGrid>
        <w:gridCol w:w="5528"/>
        <w:gridCol w:w="1026"/>
        <w:gridCol w:w="1026"/>
        <w:gridCol w:w="1026"/>
        <w:gridCol w:w="1026"/>
      </w:tblGrid>
      <w:tr w:rsidR="00BB6F1F" w:rsidRPr="00746768"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000000" w:fill="auto"/>
          </w:tcPr>
          <w:p w:rsidR="00BB6F1F" w:rsidRPr="00746768" w:rsidRDefault="00BB6F1F" w:rsidP="00AC68FF">
            <w:pPr>
              <w:autoSpaceDE w:val="0"/>
              <w:autoSpaceDN w:val="0"/>
              <w:adjustRightInd w:val="0"/>
              <w:rPr>
                <w:rFonts w:eastAsiaTheme="minorEastAsia" w:cs="Calibri"/>
                <w:iCs/>
                <w:color w:val="FFFFFF"/>
                <w:lang w:eastAsia="en-AU"/>
              </w:rPr>
            </w:pPr>
            <w:r w:rsidRPr="00746768">
              <w:rPr>
                <w:rFonts w:eastAsiaTheme="minorEastAsia" w:cs="Calibri"/>
                <w:iCs/>
                <w:color w:val="FFFFFF"/>
                <w:lang w:eastAsia="en-AU"/>
              </w:rPr>
              <w:t>2016</w:t>
            </w:r>
          </w:p>
        </w:tc>
        <w:tc>
          <w:tcPr>
            <w:tcW w:w="102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b/>
                <w:bCs/>
                <w:color w:val="FFFFFF"/>
                <w:lang w:eastAsia="en-AU"/>
              </w:rPr>
            </w:pPr>
            <w:r w:rsidRPr="00746768">
              <w:rPr>
                <w:rFonts w:eastAsiaTheme="minorEastAsia" w:cs="Calibri"/>
                <w:b/>
                <w:bCs/>
                <w:color w:val="FFFFFF"/>
                <w:lang w:eastAsia="en-AU"/>
              </w:rPr>
              <w:t xml:space="preserve"> </w:t>
            </w:r>
          </w:p>
        </w:tc>
        <w:tc>
          <w:tcPr>
            <w:tcW w:w="102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b/>
                <w:bCs/>
                <w:iCs/>
                <w:color w:val="FFFFFF"/>
                <w:lang w:eastAsia="en-AU"/>
              </w:rPr>
            </w:pPr>
            <w:r w:rsidRPr="00746768">
              <w:rPr>
                <w:rFonts w:eastAsiaTheme="minorEastAsia" w:cs="Calibri"/>
                <w:b/>
                <w:bCs/>
                <w:iCs/>
                <w:color w:val="FFFFFF"/>
                <w:lang w:eastAsia="en-AU"/>
              </w:rPr>
              <w:t xml:space="preserve"> </w:t>
            </w:r>
          </w:p>
        </w:tc>
        <w:tc>
          <w:tcPr>
            <w:tcW w:w="102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b/>
                <w:bCs/>
                <w:iCs/>
                <w:color w:val="FFFFFF"/>
                <w:lang w:eastAsia="en-AU"/>
              </w:rPr>
            </w:pPr>
            <w:r w:rsidRPr="00746768">
              <w:rPr>
                <w:rFonts w:eastAsiaTheme="minorEastAsia" w:cs="Calibri"/>
                <w:b/>
                <w:bCs/>
                <w:iCs/>
                <w:color w:val="FFFFFF"/>
                <w:lang w:eastAsia="en-AU"/>
              </w:rPr>
              <w:t xml:space="preserve"> </w:t>
            </w:r>
          </w:p>
        </w:tc>
        <w:tc>
          <w:tcPr>
            <w:tcW w:w="1026"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b/>
                <w:bCs/>
                <w:iCs/>
                <w:color w:val="FFFFFF"/>
                <w:lang w:eastAsia="en-AU"/>
              </w:rPr>
            </w:pPr>
            <w:r w:rsidRPr="00746768">
              <w:rPr>
                <w:rFonts w:eastAsiaTheme="minorEastAsia" w:cs="Calibri"/>
                <w:b/>
                <w:bCs/>
                <w:iCs/>
                <w:color w:val="FFFFFF"/>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Financial assets</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746768">
              <w:rPr>
                <w:rFonts w:eastAsiaTheme="minorEastAsia" w:cs="Calibri"/>
                <w:i/>
                <w:iCs/>
                <w:color w:val="000000"/>
                <w:lang w:eastAsia="en-AU"/>
              </w:rPr>
              <w:t xml:space="preserve"> </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746768">
              <w:rPr>
                <w:rFonts w:eastAsiaTheme="minorEastAsia" w:cs="Calibri"/>
                <w:i/>
                <w:iCs/>
                <w:color w:val="000000"/>
                <w:lang w:eastAsia="en-AU"/>
              </w:rPr>
              <w:t xml:space="preserve"> </w:t>
            </w:r>
          </w:p>
        </w:tc>
        <w:tc>
          <w:tcPr>
            <w:tcW w:w="1026"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746768">
              <w:rPr>
                <w:rFonts w:eastAsiaTheme="minorEastAsia" w:cs="Calibri"/>
                <w:i/>
                <w:iCs/>
                <w:color w:val="000000"/>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Cash</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4 772</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4 772</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Derivative assets</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18</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18</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 xml:space="preserve">Equities and managed investment schemes </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1 307</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701</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483</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123</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Debt securities at fair value</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67</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67</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rPr>
                <w:rFonts w:eastAsiaTheme="minorEastAsia" w:cs="Calibri"/>
                <w:bCs/>
                <w:color w:val="000000"/>
                <w:lang w:eastAsia="en-AU"/>
              </w:rPr>
            </w:pPr>
            <w:r w:rsidRPr="00746768">
              <w:rPr>
                <w:rFonts w:eastAsiaTheme="minorEastAsia" w:cs="Calibri"/>
                <w:bCs/>
                <w:color w:val="000000"/>
                <w:lang w:eastAsia="en-AU"/>
              </w:rPr>
              <w:t>Total financial assets</w:t>
            </w:r>
          </w:p>
        </w:tc>
        <w:tc>
          <w:tcPr>
            <w:tcW w:w="1026"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6 164</w:t>
            </w:r>
          </w:p>
        </w:tc>
        <w:tc>
          <w:tcPr>
            <w:tcW w:w="1026"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5 558</w:t>
            </w:r>
          </w:p>
        </w:tc>
        <w:tc>
          <w:tcPr>
            <w:tcW w:w="1026"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483</w:t>
            </w:r>
          </w:p>
        </w:tc>
        <w:tc>
          <w:tcPr>
            <w:tcW w:w="1026"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123</w:t>
            </w:r>
          </w:p>
        </w:tc>
      </w:tr>
    </w:tbl>
    <w:p w:rsidR="00BB6F1F" w:rsidRDefault="00BB6F1F" w:rsidP="00AC68FF">
      <w:pPr>
        <w:pStyle w:val="Note"/>
      </w:pPr>
      <w:r>
        <w:t>Note:</w:t>
      </w:r>
    </w:p>
    <w:p w:rsidR="00BB6F1F" w:rsidRDefault="00BB6F1F" w:rsidP="00AC68FF">
      <w:pPr>
        <w:pStyle w:val="Note"/>
      </w:pPr>
      <w:r>
        <w:t>(a)</w:t>
      </w:r>
      <w:r>
        <w:tab/>
        <w:t>The general government sector’s financial liabilities are measured at amortised cost and therefore not required to be disclosed in the above table for financial assets and liabilities measured at fair value in accordance with Australian Accounting Standards.</w:t>
      </w:r>
    </w:p>
    <w:p w:rsidR="007D288D" w:rsidRDefault="007D288D">
      <w:pPr>
        <w:keepLines w:val="0"/>
        <w:rPr>
          <w:rFonts w:asciiTheme="majorHAnsi" w:hAnsiTheme="majorHAnsi"/>
          <w:b/>
          <w:sz w:val="20"/>
          <w:szCs w:val="20"/>
        </w:rPr>
      </w:pPr>
      <w:r>
        <w:br w:type="page"/>
      </w:r>
    </w:p>
    <w:p w:rsidR="00BB6F1F" w:rsidRPr="00746768" w:rsidRDefault="00BB6F1F" w:rsidP="00AC68FF">
      <w:pPr>
        <w:pStyle w:val="TableHeading"/>
        <w:rPr>
          <w:bCs/>
          <w:lang w:val="en-US"/>
        </w:rPr>
      </w:pPr>
      <w:r w:rsidRPr="00CE2AE2">
        <w:lastRenderedPageBreak/>
        <w:t xml:space="preserve">Reconciliation </w:t>
      </w:r>
      <w:r>
        <w:t>of Level 3 fair value movements</w:t>
      </w:r>
      <w:r>
        <w:rPr>
          <w:vertAlign w:val="superscript"/>
        </w:rPr>
        <w:t xml:space="preserve"> (a)</w:t>
      </w:r>
      <w:r>
        <w:tab/>
        <w:t>($ million)</w:t>
      </w:r>
    </w:p>
    <w:tbl>
      <w:tblPr>
        <w:tblStyle w:val="DTFTable"/>
        <w:tblW w:w="9632" w:type="dxa"/>
        <w:tblInd w:w="45" w:type="dxa"/>
        <w:tblLayout w:type="fixed"/>
        <w:tblCellMar>
          <w:left w:w="45" w:type="dxa"/>
          <w:right w:w="45" w:type="dxa"/>
        </w:tblCellMar>
        <w:tblLook w:val="06E0" w:firstRow="1" w:lastRow="1" w:firstColumn="1" w:lastColumn="0" w:noHBand="1" w:noVBand="1"/>
      </w:tblPr>
      <w:tblGrid>
        <w:gridCol w:w="5528"/>
        <w:gridCol w:w="1026"/>
        <w:gridCol w:w="1026"/>
        <w:gridCol w:w="1026"/>
        <w:gridCol w:w="1026"/>
      </w:tblGrid>
      <w:tr w:rsidR="00BB6F1F" w:rsidRPr="00746768"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000000" w:fill="auto"/>
          </w:tcPr>
          <w:p w:rsidR="00BB6F1F" w:rsidRPr="00746768" w:rsidRDefault="00BB6F1F" w:rsidP="00AC68FF">
            <w:pPr>
              <w:autoSpaceDE w:val="0"/>
              <w:autoSpaceDN w:val="0"/>
              <w:adjustRightInd w:val="0"/>
              <w:rPr>
                <w:rFonts w:eastAsiaTheme="minorEastAsia" w:cs="Calibri"/>
                <w:b/>
                <w:bCs/>
                <w:color w:val="FFFFFF"/>
                <w:lang w:eastAsia="en-AU"/>
              </w:rPr>
            </w:pPr>
            <w:r w:rsidRPr="00746768">
              <w:rPr>
                <w:rFonts w:eastAsiaTheme="minorEastAsia" w:cs="Calibri"/>
                <w:b/>
                <w:bCs/>
                <w:color w:val="FFFFFF"/>
                <w:lang w:eastAsia="en-AU"/>
              </w:rPr>
              <w:t xml:space="preserve"> </w:t>
            </w:r>
          </w:p>
        </w:tc>
        <w:tc>
          <w:tcPr>
            <w:tcW w:w="2052" w:type="dxa"/>
            <w:gridSpan w:val="2"/>
            <w:tcBorders>
              <w:top w:val="nil"/>
              <w:left w:val="nil"/>
              <w:bottom w:val="nil"/>
              <w:right w:val="nil"/>
            </w:tcBorders>
            <w:shd w:val="solid" w:color="000000" w:fill="auto"/>
          </w:tcPr>
          <w:p w:rsidR="00BB6F1F" w:rsidRPr="00746768" w:rsidRDefault="00BB6F1F" w:rsidP="00A441A5">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Equities and managed</w:t>
            </w:r>
            <w:r w:rsidR="00A441A5">
              <w:rPr>
                <w:rFonts w:eastAsiaTheme="minorEastAsia" w:cs="Calibri"/>
                <w:iCs/>
                <w:color w:val="FFFFFF"/>
                <w:lang w:eastAsia="en-AU"/>
              </w:rPr>
              <w:t xml:space="preserve"> </w:t>
            </w:r>
            <w:r w:rsidRPr="00746768">
              <w:rPr>
                <w:rFonts w:eastAsiaTheme="minorEastAsia" w:cs="Calibri"/>
                <w:iCs/>
                <w:color w:val="FFFFFF"/>
                <w:lang w:eastAsia="en-AU"/>
              </w:rPr>
              <w:t>investment schemes</w:t>
            </w:r>
          </w:p>
        </w:tc>
        <w:tc>
          <w:tcPr>
            <w:tcW w:w="2052" w:type="dxa"/>
            <w:gridSpan w:val="2"/>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 xml:space="preserve">Debt securities </w:t>
            </w:r>
            <w:r>
              <w:rPr>
                <w:rFonts w:eastAsiaTheme="minorEastAsia" w:cs="Calibri"/>
                <w:iCs/>
                <w:color w:val="FFFFFF"/>
                <w:lang w:eastAsia="en-AU"/>
              </w:rPr>
              <w:br/>
            </w:r>
            <w:r w:rsidRPr="00746768">
              <w:rPr>
                <w:rFonts w:eastAsiaTheme="minorEastAsia" w:cs="Calibri"/>
                <w:iCs/>
                <w:color w:val="FFFFFF"/>
                <w:lang w:eastAsia="en-AU"/>
              </w:rPr>
              <w:t>at fair value</w:t>
            </w:r>
          </w:p>
        </w:tc>
      </w:tr>
      <w:tr w:rsidR="00BB6F1F" w:rsidRPr="00746768"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8" w:type="dxa"/>
            <w:tcBorders>
              <w:top w:val="single" w:sz="6" w:space="0" w:color="auto"/>
              <w:left w:val="nil"/>
              <w:bottom w:val="single" w:sz="6" w:space="0" w:color="auto"/>
              <w:right w:val="nil"/>
            </w:tcBorders>
            <w:shd w:val="solid" w:color="000000" w:fill="auto"/>
          </w:tcPr>
          <w:p w:rsidR="00BB6F1F" w:rsidRPr="00746768" w:rsidRDefault="00BB6F1F" w:rsidP="00AC68FF">
            <w:pPr>
              <w:keepLines w:val="0"/>
              <w:autoSpaceDE w:val="0"/>
              <w:autoSpaceDN w:val="0"/>
              <w:adjustRightInd w:val="0"/>
              <w:rPr>
                <w:rFonts w:eastAsiaTheme="minorEastAsia" w:cs="Calibri"/>
                <w:iCs/>
                <w:color w:val="FFFFFF"/>
                <w:lang w:eastAsia="en-AU"/>
              </w:rPr>
            </w:pPr>
            <w:r w:rsidRPr="00746768">
              <w:rPr>
                <w:rFonts w:eastAsiaTheme="minorEastAsia" w:cs="Calibri"/>
                <w:iCs/>
                <w:color w:val="FFFFFF"/>
                <w:lang w:eastAsia="en-AU"/>
              </w:rPr>
              <w:t>State of Victoria</w:t>
            </w:r>
          </w:p>
        </w:tc>
        <w:tc>
          <w:tcPr>
            <w:tcW w:w="1026" w:type="dxa"/>
            <w:tcBorders>
              <w:top w:val="nil"/>
              <w:left w:val="nil"/>
              <w:bottom w:val="single" w:sz="6" w:space="0" w:color="auto"/>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2017</w:t>
            </w:r>
          </w:p>
        </w:tc>
        <w:tc>
          <w:tcPr>
            <w:tcW w:w="1026" w:type="dxa"/>
            <w:tcBorders>
              <w:top w:val="nil"/>
              <w:left w:val="nil"/>
              <w:bottom w:val="single" w:sz="6" w:space="0" w:color="auto"/>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2016</w:t>
            </w:r>
          </w:p>
        </w:tc>
        <w:tc>
          <w:tcPr>
            <w:tcW w:w="1026" w:type="dxa"/>
            <w:tcBorders>
              <w:top w:val="nil"/>
              <w:left w:val="nil"/>
              <w:bottom w:val="single" w:sz="6" w:space="0" w:color="auto"/>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2017</w:t>
            </w:r>
          </w:p>
        </w:tc>
        <w:tc>
          <w:tcPr>
            <w:tcW w:w="1026" w:type="dxa"/>
            <w:tcBorders>
              <w:top w:val="nil"/>
              <w:left w:val="nil"/>
              <w:bottom w:val="single" w:sz="6" w:space="0" w:color="auto"/>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746768">
              <w:rPr>
                <w:rFonts w:eastAsiaTheme="minorEastAsia" w:cs="Calibri"/>
                <w:iCs/>
                <w:color w:val="FFFFFF"/>
                <w:lang w:eastAsia="en-AU"/>
              </w:rPr>
              <w:t>2016</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b/>
                <w:bCs/>
                <w:color w:val="000000"/>
                <w:lang w:eastAsia="en-AU"/>
              </w:rPr>
            </w:pPr>
            <w:r w:rsidRPr="00746768">
              <w:rPr>
                <w:rFonts w:eastAsiaTheme="minorEastAsia" w:cs="Calibri"/>
                <w:b/>
                <w:bCs/>
                <w:color w:val="000000"/>
                <w:lang w:eastAsia="en-AU"/>
              </w:rPr>
              <w:t>Opening balance</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5 340</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746768">
              <w:rPr>
                <w:rFonts w:eastAsiaTheme="minorEastAsia" w:cs="Calibri"/>
                <w:b/>
                <w:bCs/>
                <w:color w:val="000000"/>
                <w:lang w:eastAsia="en-AU"/>
              </w:rPr>
              <w:t>5 071</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214</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227</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Total gains and losses recognised in:</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 xml:space="preserve"> </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 xml:space="preserve">   Net result</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233</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 xml:space="preserve">   Other comprehensive income</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 xml:space="preserve">   Purchase</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1 334</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828</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 xml:space="preserve">   Sales</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(509)</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(685)</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 xml:space="preserve">   Settlements</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(15)</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(10)</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(13)</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 xml:space="preserve">   Transfers from other levels</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36</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123</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rsidR="00BB6F1F" w:rsidRPr="00746768" w:rsidRDefault="00BB6F1F" w:rsidP="00AC68FF">
            <w:pPr>
              <w:keepLines w:val="0"/>
              <w:autoSpaceDE w:val="0"/>
              <w:autoSpaceDN w:val="0"/>
              <w:adjustRightInd w:val="0"/>
              <w:rPr>
                <w:rFonts w:eastAsiaTheme="minorEastAsia" w:cs="Calibri"/>
                <w:color w:val="000000"/>
                <w:lang w:eastAsia="en-AU"/>
              </w:rPr>
            </w:pPr>
            <w:r w:rsidRPr="00746768">
              <w:rPr>
                <w:rFonts w:eastAsiaTheme="minorEastAsia" w:cs="Calibri"/>
                <w:color w:val="000000"/>
                <w:lang w:eastAsia="en-AU"/>
              </w:rPr>
              <w:t xml:space="preserve">   Transfers out of Level 3</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(123)</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(200)</w:t>
            </w:r>
          </w:p>
        </w:tc>
        <w:tc>
          <w:tcPr>
            <w:tcW w:w="1026" w:type="dxa"/>
            <w:tcBorders>
              <w:top w:val="nil"/>
              <w:left w:val="nil"/>
              <w:bottom w:val="nil"/>
              <w:right w:val="nil"/>
            </w:tcBorders>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746768">
              <w:rPr>
                <w:rFonts w:eastAsiaTheme="minorEastAsia" w:cs="Calibri"/>
                <w:color w:val="000000"/>
                <w:lang w:eastAsia="en-AU"/>
              </w:rPr>
              <w:t>..</w:t>
            </w:r>
          </w:p>
        </w:tc>
      </w:tr>
      <w:tr w:rsidR="00BB6F1F" w:rsidRPr="00746768"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rPr>
                <w:rFonts w:eastAsiaTheme="minorEastAsia" w:cs="Calibri"/>
                <w:bCs/>
                <w:color w:val="000000"/>
                <w:lang w:eastAsia="en-AU"/>
              </w:rPr>
            </w:pPr>
            <w:r w:rsidRPr="00746768">
              <w:rPr>
                <w:rFonts w:eastAsiaTheme="minorEastAsia" w:cs="Calibri"/>
                <w:bCs/>
                <w:color w:val="000000"/>
                <w:lang w:eastAsia="en-AU"/>
              </w:rPr>
              <w:t>Closing balance</w:t>
            </w:r>
          </w:p>
        </w:tc>
        <w:tc>
          <w:tcPr>
            <w:tcW w:w="1026"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6 318</w:t>
            </w:r>
          </w:p>
        </w:tc>
        <w:tc>
          <w:tcPr>
            <w:tcW w:w="1026"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746768">
              <w:rPr>
                <w:rFonts w:eastAsiaTheme="minorEastAsia" w:cs="Calibri"/>
                <w:bCs/>
                <w:color w:val="000000"/>
                <w:lang w:eastAsia="en-AU"/>
              </w:rPr>
              <w:t>5 340</w:t>
            </w:r>
          </w:p>
        </w:tc>
        <w:tc>
          <w:tcPr>
            <w:tcW w:w="1026"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3</w:t>
            </w:r>
          </w:p>
        </w:tc>
        <w:tc>
          <w:tcPr>
            <w:tcW w:w="1026" w:type="dxa"/>
            <w:tcBorders>
              <w:top w:val="single" w:sz="6" w:space="0" w:color="auto"/>
              <w:bottom w:val="single" w:sz="12" w:space="0" w:color="auto"/>
            </w:tcBorders>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214</w:t>
            </w:r>
          </w:p>
        </w:tc>
      </w:tr>
    </w:tbl>
    <w:p w:rsidR="00BB6F1F" w:rsidRDefault="00BB6F1F" w:rsidP="00AC68FF">
      <w:pPr>
        <w:pStyle w:val="Note"/>
      </w:pPr>
      <w:r>
        <w:t>Note:</w:t>
      </w:r>
    </w:p>
    <w:p w:rsidR="00BB6F1F" w:rsidRDefault="00BB6F1F" w:rsidP="007D288D">
      <w:pPr>
        <w:pStyle w:val="Note"/>
      </w:pPr>
      <w:r>
        <w:t>(a)</w:t>
      </w:r>
      <w:r>
        <w:tab/>
        <w:t>Reconciliation of Level 3 fair value movements is only disclosed for the whole of State as they are only material for the State’s insurance entities in the public financial corporations sector.</w:t>
      </w:r>
    </w:p>
    <w:p w:rsidR="00BB6F1F" w:rsidRPr="005172E7" w:rsidRDefault="00BB6F1F" w:rsidP="00AC68FF">
      <w:pPr>
        <w:sectPr w:rsidR="00BB6F1F" w:rsidRPr="005172E7" w:rsidSect="00AC68FF">
          <w:type w:val="continuous"/>
          <w:pgSz w:w="11907" w:h="16839" w:code="9"/>
          <w:pgMar w:top="1134" w:right="1134" w:bottom="1134" w:left="1134" w:header="624" w:footer="567" w:gutter="0"/>
          <w:cols w:sep="1" w:space="567"/>
          <w:docGrid w:linePitch="360"/>
        </w:sectPr>
      </w:pPr>
    </w:p>
    <w:p w:rsidR="00BB6F1F" w:rsidRDefault="00BB6F1F" w:rsidP="00AC68FF">
      <w:pPr>
        <w:pStyle w:val="Heading30"/>
      </w:pPr>
      <w:r>
        <w:lastRenderedPageBreak/>
        <w:t>Description of Level 3 valuation techniques used and key inputs to valuation</w:t>
      </w:r>
    </w:p>
    <w:p w:rsidR="00BB6F1F" w:rsidRDefault="00BB6F1F" w:rsidP="00AC68FF">
      <w:r>
        <w:t>The majority of the State’s Level 3 financial assets relate to investment funds/trusts managed by VFMC on behalf of the State’s insurance entities. Approximately a third of the funds are directly managed internally by VFMC while two thirds are investment funds selected by VFMC but managed externally by other fund managers.</w:t>
      </w:r>
    </w:p>
    <w:p w:rsidR="00BB6F1F" w:rsidRDefault="00BB6F1F" w:rsidP="00AC68FF">
      <w:r>
        <w:t>The disclosure below provides details of the inputs and assumptions used in the various asset valuation models. Further detailed information has been provided where available. The State is not privy to the detailed inputs and assumptions used by external fund managers to value the underlying investment assets and not in a position to provide a sensitivity analysis.</w:t>
      </w:r>
    </w:p>
    <w:p w:rsidR="00BB6F1F" w:rsidRDefault="00BB6F1F" w:rsidP="00AC68FF">
      <w:r>
        <w:t>The unlisted investment fund/trust assets include the following asset classes; infrastructure, private equity, non-traditional strategies and property.</w:t>
      </w:r>
    </w:p>
    <w:p w:rsidR="00BB6F1F" w:rsidRPr="00CE3D5F" w:rsidRDefault="00BB6F1F" w:rsidP="00CE3D5F">
      <w:pPr>
        <w:pStyle w:val="Heading4"/>
      </w:pPr>
      <w:r w:rsidRPr="00CE3D5F">
        <w:t>Private equities</w:t>
      </w:r>
    </w:p>
    <w:p w:rsidR="00BB6F1F" w:rsidRDefault="00BB6F1F" w:rsidP="007D288D">
      <w:r w:rsidRPr="00D03F09">
        <w:t>VFMC’s holdings of private equity investments are small and being phased out. Private equity investments are valued primarily on multiples of earnings, discounted cash flow, market equivalents and other market accepted methodologies. Key inputs and assumptions which are subject to estimation uncertainty include the estimated future profits and cash flows, risk free discount rate, risk premium, and future economic and regulatory conditions.</w:t>
      </w:r>
    </w:p>
    <w:p w:rsidR="00BB6F1F" w:rsidRPr="008A0D75" w:rsidRDefault="004B492A" w:rsidP="007D288D">
      <w:pPr>
        <w:pStyle w:val="Heading4"/>
        <w:spacing w:before="240"/>
      </w:pPr>
      <w:r>
        <w:br w:type="column"/>
      </w:r>
      <w:r w:rsidR="00BB6F1F" w:rsidRPr="008A0D75">
        <w:lastRenderedPageBreak/>
        <w:t>Managed investment schemes</w:t>
      </w:r>
    </w:p>
    <w:p w:rsidR="00BB6F1F" w:rsidRDefault="00BB6F1F" w:rsidP="007D288D">
      <w:r>
        <w:t xml:space="preserve">The State’s managed investment schemes include level 3 assets such as fixed interest investments, infrastructure, non-traditional strategies and property investments. </w:t>
      </w:r>
    </w:p>
    <w:p w:rsidR="00BB6F1F" w:rsidRPr="00CE3D5F" w:rsidRDefault="00BB6F1F" w:rsidP="00CE3D5F">
      <w:pPr>
        <w:pStyle w:val="Heading4"/>
      </w:pPr>
      <w:r w:rsidRPr="00CE3D5F">
        <w:t>Infrastructure</w:t>
      </w:r>
    </w:p>
    <w:p w:rsidR="00BB6F1F" w:rsidRDefault="00BB6F1F" w:rsidP="007D288D">
      <w:r w:rsidRPr="00D03F09">
        <w:t>Infrastructure investments comprise both domestic and international exposures to transport, social, energy and other infrastructure ass</w:t>
      </w:r>
      <w:r w:rsidR="007D288D">
        <w:t xml:space="preserve">ets through unlisted funds and </w:t>
      </w:r>
      <w:r w:rsidRPr="00D03F09">
        <w:t>trusts. The valuations of unlisted infrastructure investments are based primarily on the discounted cash flow methodology. Key inputs and assumptions which are subject to estimation uncertainty include the choice of risk free discount rates, risk premium, asset utilisation rates, capital expenditure and operating cost forecasts and other estimated future cash flows dependent on the longer term general economic forecasts and the forecast performance of applicable underlying assets.</w:t>
      </w:r>
    </w:p>
    <w:p w:rsidR="00BB6F1F" w:rsidRPr="00CE3D5F" w:rsidRDefault="00BB6F1F" w:rsidP="00CE3D5F">
      <w:pPr>
        <w:pStyle w:val="Heading4"/>
      </w:pPr>
      <w:r w:rsidRPr="00CE3D5F">
        <w:t>Non-traditional strategies</w:t>
      </w:r>
    </w:p>
    <w:p w:rsidR="00BB6F1F" w:rsidRPr="00D03F09" w:rsidRDefault="00BB6F1F" w:rsidP="007D288D">
      <w:r w:rsidRPr="00D03F09">
        <w:t>Non-traditional strategies comprise investments in hedge funds and other non-traditional investments such as insurance investments. These are assets that do not fit within the definition of other asset classes but which provide diversification benefits to the total portfolio. Investments are made through externally managed unlisted pooled vehicles.</w:t>
      </w:r>
    </w:p>
    <w:p w:rsidR="00BB6F1F" w:rsidRPr="00D03F09" w:rsidRDefault="007D288D" w:rsidP="007D288D">
      <w:r>
        <w:lastRenderedPageBreak/>
        <w:t xml:space="preserve">The valuation of hedge fund </w:t>
      </w:r>
      <w:r w:rsidR="00BB6F1F" w:rsidRPr="00D03F09">
        <w:t xml:space="preserve">investments are based primarily on the underlying assets, which may be quoted on an exchange or traded in a dealer market. For less liquid securities, valuation methodologies are set out by each fund manager. Depending on the investment, the methodologies applied include discounted cash flow, amortised cost, direct comparison and other market accepted methodologies. The fund manager may choose to appoint independent valuation agents to seek independent price verification. Key inputs and assumptions, which are subject to estimation uncertainty, include the appropriate credit spread and other risk premium, risk free discount rate, future cash flows, and future economic and regulatory conditions. </w:t>
      </w:r>
    </w:p>
    <w:p w:rsidR="004638BC" w:rsidRDefault="00BB6F1F" w:rsidP="004638BC">
      <w:r w:rsidRPr="00D03F09">
        <w:t xml:space="preserve">The insurance investments include an unlisted trust with exposure to a portfolio of US life insurance policies. The valuation of insurance investments is based on the discounted cash flow methodology, with key assumptions of insureds’ mortality and </w:t>
      </w:r>
    </w:p>
    <w:p w:rsidR="00BB6F1F" w:rsidRDefault="004638BC" w:rsidP="004638BC">
      <w:pPr>
        <w:spacing w:before="0"/>
      </w:pPr>
      <w:r>
        <w:br w:type="column"/>
      </w:r>
      <w:r w:rsidR="00BB6F1F" w:rsidRPr="00D03F09">
        <w:lastRenderedPageBreak/>
        <w:t>premium payments on the valuation date. Other assumptions and interdependencies include the weighted average discount rate, life expectancy estimates obtained from qualified providers and expected premium payments based on the back solving premiums optimisation method.</w:t>
      </w:r>
    </w:p>
    <w:p w:rsidR="00BB6F1F" w:rsidRPr="00D03F09" w:rsidRDefault="00BB6F1F" w:rsidP="00CE3D5F">
      <w:pPr>
        <w:pStyle w:val="Heading4"/>
        <w:rPr>
          <w:rFonts w:asciiTheme="minorHAnsi" w:eastAsiaTheme="minorHAnsi" w:hAnsiTheme="minorHAnsi" w:cstheme="minorBidi"/>
          <w:sz w:val="22"/>
          <w:szCs w:val="22"/>
        </w:rPr>
      </w:pPr>
      <w:r w:rsidRPr="008A0D75">
        <w:t>Property investments</w:t>
      </w:r>
    </w:p>
    <w:p w:rsidR="00BB6F1F" w:rsidRDefault="00BB6F1F" w:rsidP="007D288D">
      <w:r>
        <w:t>Property investments comprise externally managed unlisted property trusts with exposure to the domestic and international commercial, industrial, retail and development property market.</w:t>
      </w:r>
    </w:p>
    <w:p w:rsidR="00BB6F1F" w:rsidRDefault="00BB6F1F" w:rsidP="007D288D">
      <w:r>
        <w:t>The valuations of unlisted property investments are primarily based on discounted cash flow, capitalisation and direct comparison methodologies. The assumptions, which may be subject to estimation uncertainty include the estimated future profits and cash flows, risk free rate, risk premium, and future economic and regulatory conditions.</w:t>
      </w:r>
    </w:p>
    <w:p w:rsidR="00BB6F1F" w:rsidRDefault="00BB6F1F" w:rsidP="007D288D">
      <w:pPr>
        <w:pStyle w:val="Heading2"/>
        <w:pageBreakBefore/>
        <w:numPr>
          <w:ilvl w:val="1"/>
          <w:numId w:val="24"/>
        </w:numPr>
        <w:spacing w:before="0"/>
      </w:pPr>
      <w:bookmarkStart w:id="57" w:name="_Toc492984895"/>
      <w:r>
        <w:lastRenderedPageBreak/>
        <w:t>Fair value determination of non</w:t>
      </w:r>
      <w:r>
        <w:noBreakHyphen/>
        <w:t>financial assets</w:t>
      </w:r>
      <w:bookmarkEnd w:id="57"/>
    </w:p>
    <w:p w:rsidR="00BB6F1F" w:rsidRDefault="00BB6F1F" w:rsidP="00AC68FF">
      <w:pPr>
        <w:pStyle w:val="Heading30"/>
      </w:pPr>
      <w:r>
        <w:t>Revaluations of non-financial physical assets</w:t>
      </w:r>
    </w:p>
    <w:p w:rsidR="00BB6F1F" w:rsidRDefault="00BB6F1F" w:rsidP="007D288D">
      <w:pPr>
        <w:keepLines w:val="0"/>
      </w:pPr>
      <w:r>
        <w:t xml:space="preserve">Non-financial physical assets are measured on a cyclical basis in accordance with the Financial Reporting Directions (FRDs) issued by the Minister for Finance. A full revaluation normally occurs every five years, based upon the asset’s government purpose classification, but may occur more frequently if fair value assessments indicate material changes in values. Independent </w:t>
      </w:r>
      <w:proofErr w:type="spellStart"/>
      <w:r>
        <w:t>valuers</w:t>
      </w:r>
      <w:proofErr w:type="spellEnd"/>
      <w:r>
        <w:t xml:space="preserve"> are generally used to conduct these scheduled revaluations. Certain infrastructure assets are revalued using specialised advisors. Any interim revaluations are determined in accordance with the requirements of the FRDs.</w:t>
      </w:r>
    </w:p>
    <w:p w:rsidR="00BB6F1F" w:rsidRDefault="00BB6F1F" w:rsidP="007D288D">
      <w:r>
        <w:t>Revaluation increases or decreases arise from differences between an asset’s carrying value and fair value.</w:t>
      </w:r>
    </w:p>
    <w:p w:rsidR="00BB6F1F" w:rsidRDefault="00BB6F1F" w:rsidP="007D288D">
      <w:r>
        <w:t>Net revaluation increases (where the carrying amount of a class of assets is increased) are recognised in ‘Other economic flows – other comprehensive income’ and accumulated in equity under the asset revaluation surplus. However, the net revaluation increase is recognised in the net result to the extent that it reverses a net revaluation decrease in respect of the same class of non</w:t>
      </w:r>
      <w:r>
        <w:noBreakHyphen/>
        <w:t>financial asset previously recognised as an expense (other economic flows) in the net result.</w:t>
      </w:r>
    </w:p>
    <w:p w:rsidR="00BB6F1F" w:rsidRDefault="00BB6F1F" w:rsidP="007D288D">
      <w:r>
        <w:t>Net revaluation decreases are recognised in ‘Other economic flows – other comprehensive income’ to the extent that a credit balance exists in the asset revaluation surplus in respect of the same class of non-financial asset. Otherwise, the net revaluation decreases are recognised immediately as other economic flows in the net result. The net revaluation decrease recognised in ‘Other economic flows – other comprehensive income’ reduces the amount accumulated in equity under the asset revaluation surplus.</w:t>
      </w:r>
    </w:p>
    <w:p w:rsidR="00BB6F1F" w:rsidRDefault="00BB6F1F" w:rsidP="007D288D">
      <w:r>
        <w:t xml:space="preserve">Revaluation increases and decreases relating to individual assets within a class of non-financial asset, are offset against one another within that class but are not offset in respect of assets in different classes. Any asset revaluation surplus is not normally transferred to accumulated funds on </w:t>
      </w:r>
      <w:proofErr w:type="spellStart"/>
      <w:r>
        <w:t>derecognition</w:t>
      </w:r>
      <w:proofErr w:type="spellEnd"/>
      <w:r>
        <w:t xml:space="preserve"> of the relevant asset.</w:t>
      </w:r>
    </w:p>
    <w:p w:rsidR="00BB6F1F" w:rsidRDefault="007D288D" w:rsidP="007D288D">
      <w:pPr>
        <w:spacing w:before="0"/>
      </w:pPr>
      <w:r>
        <w:rPr>
          <w:b/>
        </w:rPr>
        <w:br w:type="column"/>
      </w:r>
      <w:r w:rsidR="00BB6F1F" w:rsidRPr="003F0F11">
        <w:rPr>
          <w:b/>
        </w:rPr>
        <w:lastRenderedPageBreak/>
        <w:t>Biological assets</w:t>
      </w:r>
      <w:r w:rsidR="00BB6F1F">
        <w:t xml:space="preserve"> are measured at fair value less costs to sell and are revalued at 30 June each year. For breeding livestock, fair value is based on the amount that could be expected to be received from the disposal of livestock with similar attributes.</w:t>
      </w:r>
    </w:p>
    <w:p w:rsidR="00BB6F1F" w:rsidRDefault="00BB6F1F" w:rsidP="00AC68FF">
      <w:r>
        <w:t>For productive trees, revaluation to fair value is determined using a discounted cash flow method based on expected net future cash flows, discounted by a current market determined rate. After harvest, productive trees are treated as inventories.</w:t>
      </w:r>
    </w:p>
    <w:p w:rsidR="00BB6F1F" w:rsidRDefault="00BB6F1F" w:rsidP="00AC68FF">
      <w:r>
        <w:t>An increase or decrease in the fair value of these biological assets is recognised in the consolidated comprehensive operating statement as an ‘Other economic flow’.</w:t>
      </w:r>
    </w:p>
    <w:p w:rsidR="00BB6F1F" w:rsidRDefault="00BB6F1F" w:rsidP="00AC68FF">
      <w:r>
        <w:t xml:space="preserve">The fair value of </w:t>
      </w:r>
      <w:r w:rsidRPr="003F0F11">
        <w:rPr>
          <w:b/>
        </w:rPr>
        <w:t>cultural assets</w:t>
      </w:r>
      <w:r>
        <w:t xml:space="preserve"> and collections, </w:t>
      </w:r>
      <w:r w:rsidRPr="003F0F11">
        <w:rPr>
          <w:b/>
        </w:rPr>
        <w:t>heritage assets</w:t>
      </w:r>
      <w:r>
        <w:t xml:space="preserve"> and other non-financial physical assets (including Crown land and infrastructure assets) that the State intends to preserve because of their unique historical, cultural or environmental attributes, is measured at the replacement cost of the asset less, where applicable, accumulated depreciation (calculated on the basis of such cost to reflect the already consumed or expired future economic benefits of the asset) and any accumulated impairment. These policies and any legislative limitations and restrictions imposed on their use and/or disposal may impact their fair value.</w:t>
      </w:r>
    </w:p>
    <w:p w:rsidR="00BB6F1F" w:rsidRDefault="00BB6F1F" w:rsidP="00AC68FF">
      <w:r w:rsidRPr="003F0F11">
        <w:rPr>
          <w:b/>
        </w:rPr>
        <w:t>Road network assets</w:t>
      </w:r>
      <w:r>
        <w:t xml:space="preserve"> (including earthworks of the declared road networks) are measured at fair value, determined by reference to the asset’s depreciated replacement cost. </w:t>
      </w:r>
    </w:p>
    <w:p w:rsidR="00BB6F1F" w:rsidRDefault="00BB6F1F" w:rsidP="00AC68FF">
      <w:r w:rsidRPr="003F0F11">
        <w:rPr>
          <w:b/>
        </w:rPr>
        <w:t>Land</w:t>
      </w:r>
      <w:r>
        <w:t xml:space="preserve"> under declared roads acquired prior to 1 July 2008 is measured at fair value. Land under declared roads acquired on or after 1 July 2008 is measured initially at cost of acquisition and subsequently at fair value. The fair value methodology applied by the </w:t>
      </w:r>
      <w:proofErr w:type="spellStart"/>
      <w:r>
        <w:t>Valuer</w:t>
      </w:r>
      <w:proofErr w:type="spellEnd"/>
      <w:r>
        <w:t>-General Victoria is based on discounted site values for relevant municipal areas applied to land area under the arterial road network, including related reservations.</w:t>
      </w:r>
    </w:p>
    <w:p w:rsidR="00BB6F1F" w:rsidRDefault="00BB6F1F" w:rsidP="00AC68FF">
      <w:r w:rsidRPr="003F0F11">
        <w:rPr>
          <w:b/>
        </w:rPr>
        <w:t>Infrastructure assets</w:t>
      </w:r>
      <w:r>
        <w:t xml:space="preserve"> of water, rail and port authorities within the PNFC sector are measured at fair value. The fair value of infrastructure systems and plant, equipment and vehicles, is normally determined by reference to the asset’s depreciated replacement cost, or where the infrastructure is held by a for profit entity, the fair value may be derived from estimates of the present value of future cash flows.</w:t>
      </w:r>
    </w:p>
    <w:p w:rsidR="00BB6F1F" w:rsidRDefault="00BB6F1F" w:rsidP="00AC68FF">
      <w:r>
        <w:t xml:space="preserve">Note 4.1.1 describes the recognition and measurement of land, buildings, infrastructure, plant and equipment. </w:t>
      </w:r>
    </w:p>
    <w:p w:rsidR="00BB6F1F" w:rsidRDefault="00BB6F1F" w:rsidP="00AC68FF">
      <w:pPr>
        <w:sectPr w:rsidR="00BB6F1F" w:rsidSect="00AC68FF">
          <w:type w:val="continuous"/>
          <w:pgSz w:w="11907" w:h="16839" w:code="9"/>
          <w:pgMar w:top="1134" w:right="1134" w:bottom="1134" w:left="1134" w:header="624" w:footer="567" w:gutter="0"/>
          <w:cols w:num="2" w:space="709"/>
          <w:docGrid w:linePitch="360"/>
        </w:sectPr>
      </w:pPr>
    </w:p>
    <w:p w:rsidR="00BB6F1F" w:rsidRDefault="00BB6F1F" w:rsidP="00AC68FF"/>
    <w:p w:rsidR="00BB6F1F" w:rsidRPr="007B2989" w:rsidRDefault="00BB6F1F" w:rsidP="006C0F1F">
      <w:pPr>
        <w:pStyle w:val="Heading3"/>
        <w:pageBreakBefore/>
        <w:numPr>
          <w:ilvl w:val="2"/>
          <w:numId w:val="24"/>
        </w:numPr>
        <w:tabs>
          <w:tab w:val="right" w:pos="14572"/>
        </w:tabs>
        <w:spacing w:before="0"/>
        <w:ind w:left="851"/>
      </w:pPr>
      <w:r w:rsidRPr="007B2989">
        <w:lastRenderedPageBreak/>
        <w:t>Land, buildings, infrastructure, plant and equipment</w:t>
      </w:r>
    </w:p>
    <w:p w:rsidR="00BB6F1F" w:rsidRPr="00746768" w:rsidRDefault="00BB6F1F" w:rsidP="00AC68FF">
      <w:pPr>
        <w:pStyle w:val="TableHeading"/>
        <w:rPr>
          <w:bCs/>
          <w:lang w:val="en-US"/>
        </w:rPr>
      </w:pPr>
      <w:r>
        <w:t>Carry amounts, fair values and fair value hierarchy</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2835"/>
        <w:gridCol w:w="850"/>
        <w:gridCol w:w="850"/>
        <w:gridCol w:w="850"/>
        <w:gridCol w:w="851"/>
        <w:gridCol w:w="850"/>
        <w:gridCol w:w="850"/>
        <w:gridCol w:w="850"/>
        <w:gridCol w:w="851"/>
      </w:tblGrid>
      <w:tr w:rsidR="00BB6F1F" w:rsidRPr="00746768" w:rsidTr="00A441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000000" w:fill="auto"/>
          </w:tcPr>
          <w:p w:rsidR="00BB6F1F" w:rsidRPr="00746768" w:rsidRDefault="00BB6F1F" w:rsidP="00AC68FF">
            <w:pPr>
              <w:autoSpaceDE w:val="0"/>
              <w:autoSpaceDN w:val="0"/>
              <w:adjustRightInd w:val="0"/>
              <w:rPr>
                <w:rFonts w:eastAsiaTheme="minorEastAsia" w:cs="Calibri"/>
                <w:iCs/>
                <w:color w:val="FFFFFF"/>
                <w:szCs w:val="20"/>
                <w:lang w:eastAsia="en-AU"/>
              </w:rPr>
            </w:pPr>
            <w:r w:rsidRPr="00746768">
              <w:rPr>
                <w:rFonts w:eastAsiaTheme="minorEastAsia" w:cs="Calibri"/>
                <w:iCs/>
                <w:color w:val="FFFFFF"/>
                <w:szCs w:val="20"/>
                <w:lang w:eastAsia="en-AU"/>
              </w:rPr>
              <w:t xml:space="preserve"> </w:t>
            </w:r>
          </w:p>
        </w:tc>
        <w:tc>
          <w:tcPr>
            <w:tcW w:w="850"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Carrying amount</w:t>
            </w:r>
          </w:p>
        </w:tc>
        <w:tc>
          <w:tcPr>
            <w:tcW w:w="2551" w:type="dxa"/>
            <w:gridSpan w:val="3"/>
            <w:tcBorders>
              <w:top w:val="nil"/>
              <w:left w:val="nil"/>
              <w:bottom w:val="single" w:sz="6" w:space="0" w:color="FFFFFF" w:themeColor="background1"/>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iCs/>
                <w:color w:val="FFFFFF"/>
                <w:szCs w:val="20"/>
                <w:lang w:eastAsia="en-AU"/>
              </w:rPr>
              <w:t>Fair value measurement at the end of the 2017 reporting period using:</w:t>
            </w:r>
          </w:p>
        </w:tc>
        <w:tc>
          <w:tcPr>
            <w:tcW w:w="850"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Carrying amount</w:t>
            </w:r>
          </w:p>
        </w:tc>
        <w:tc>
          <w:tcPr>
            <w:tcW w:w="2551" w:type="dxa"/>
            <w:gridSpan w:val="3"/>
            <w:tcBorders>
              <w:top w:val="nil"/>
              <w:left w:val="nil"/>
              <w:bottom w:val="single" w:sz="6" w:space="0" w:color="FFFFFF" w:themeColor="background1"/>
              <w:right w:val="nil"/>
            </w:tcBorders>
            <w:shd w:val="solid" w:color="000000" w:fill="auto"/>
          </w:tcPr>
          <w:p w:rsidR="00BB6F1F" w:rsidRPr="00746768"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iCs/>
                <w:color w:val="FFFFFF"/>
                <w:szCs w:val="20"/>
                <w:lang w:eastAsia="en-AU"/>
              </w:rPr>
              <w:t>Fair value measurement at the end of the 2016 reporting period using:</w:t>
            </w:r>
          </w:p>
        </w:tc>
      </w:tr>
      <w:tr w:rsidR="00BB6F1F" w:rsidRPr="00746768" w:rsidTr="00A441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rPr>
                <w:rFonts w:eastAsiaTheme="minorEastAsia" w:cs="Calibri"/>
                <w:iCs/>
                <w:color w:val="FFFFFF"/>
                <w:szCs w:val="20"/>
                <w:lang w:eastAsia="en-AU"/>
              </w:rPr>
            </w:pPr>
            <w:r w:rsidRPr="00746768">
              <w:rPr>
                <w:rFonts w:eastAsiaTheme="minorEastAsia" w:cs="Calibri"/>
                <w:iCs/>
                <w:color w:val="FFFFFF"/>
                <w:szCs w:val="20"/>
                <w:lang w:eastAsia="en-AU"/>
              </w:rPr>
              <w:t>State of Victoria</w:t>
            </w:r>
          </w:p>
        </w:tc>
        <w:tc>
          <w:tcPr>
            <w:tcW w:w="850"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2017</w:t>
            </w:r>
          </w:p>
        </w:tc>
        <w:tc>
          <w:tcPr>
            <w:tcW w:w="850" w:type="dxa"/>
            <w:tcBorders>
              <w:top w:val="single" w:sz="6" w:space="0" w:color="FFFFFF" w:themeColor="background1"/>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Level 1</w:t>
            </w:r>
          </w:p>
        </w:tc>
        <w:tc>
          <w:tcPr>
            <w:tcW w:w="850" w:type="dxa"/>
            <w:tcBorders>
              <w:top w:val="single" w:sz="6" w:space="0" w:color="FFFFFF" w:themeColor="background1"/>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Level 2</w:t>
            </w:r>
          </w:p>
        </w:tc>
        <w:tc>
          <w:tcPr>
            <w:tcW w:w="851" w:type="dxa"/>
            <w:tcBorders>
              <w:top w:val="single" w:sz="6" w:space="0" w:color="FFFFFF" w:themeColor="background1"/>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Level 3</w:t>
            </w:r>
          </w:p>
        </w:tc>
        <w:tc>
          <w:tcPr>
            <w:tcW w:w="850" w:type="dxa"/>
            <w:tcBorders>
              <w:top w:val="nil"/>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2016</w:t>
            </w:r>
          </w:p>
        </w:tc>
        <w:tc>
          <w:tcPr>
            <w:tcW w:w="850" w:type="dxa"/>
            <w:tcBorders>
              <w:top w:val="single" w:sz="6" w:space="0" w:color="FFFFFF" w:themeColor="background1"/>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Level 1</w:t>
            </w:r>
          </w:p>
        </w:tc>
        <w:tc>
          <w:tcPr>
            <w:tcW w:w="850" w:type="dxa"/>
            <w:tcBorders>
              <w:top w:val="single" w:sz="6" w:space="0" w:color="FFFFFF" w:themeColor="background1"/>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Level 2</w:t>
            </w:r>
          </w:p>
        </w:tc>
        <w:tc>
          <w:tcPr>
            <w:tcW w:w="850" w:type="dxa"/>
            <w:tcBorders>
              <w:top w:val="single" w:sz="6" w:space="0" w:color="FFFFFF" w:themeColor="background1"/>
              <w:left w:val="nil"/>
              <w:bottom w:val="nil"/>
              <w:right w:val="nil"/>
            </w:tcBorders>
            <w:shd w:val="solid" w:color="000000" w:fill="auto"/>
          </w:tcPr>
          <w:p w:rsidR="00BB6F1F" w:rsidRPr="00746768"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746768">
              <w:rPr>
                <w:rFonts w:eastAsiaTheme="minorEastAsia" w:cs="Calibri"/>
                <w:iCs/>
                <w:color w:val="FFFFFF"/>
                <w:szCs w:val="20"/>
                <w:lang w:eastAsia="en-AU"/>
              </w:rPr>
              <w:t>Level 3</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b/>
                <w:bCs/>
                <w:color w:val="000000"/>
                <w:szCs w:val="20"/>
                <w:lang w:eastAsia="en-AU"/>
              </w:rPr>
            </w:pPr>
            <w:r w:rsidRPr="00746768">
              <w:rPr>
                <w:rFonts w:eastAsiaTheme="minorEastAsia" w:cs="Calibri"/>
                <w:b/>
                <w:bCs/>
                <w:color w:val="000000"/>
                <w:szCs w:val="20"/>
                <w:lang w:eastAsia="en-AU"/>
              </w:rPr>
              <w:t>Buildings</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44 130</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9 459</w:t>
            </w:r>
          </w:p>
        </w:tc>
        <w:tc>
          <w:tcPr>
            <w:tcW w:w="851"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34 671</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43 222</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9 535</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33 687</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szCs w:val="20"/>
                <w:lang w:eastAsia="en-AU"/>
              </w:rPr>
            </w:pPr>
            <w:r w:rsidRPr="00746768">
              <w:rPr>
                <w:rFonts w:eastAsiaTheme="minorEastAsia" w:cs="Calibri"/>
                <w:color w:val="000000"/>
                <w:szCs w:val="20"/>
                <w:lang w:eastAsia="en-AU"/>
              </w:rPr>
              <w:t xml:space="preserve">   Non-specialised buildings</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11 683</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8 968</w:t>
            </w:r>
          </w:p>
        </w:tc>
        <w:tc>
          <w:tcPr>
            <w:tcW w:w="851"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2 715</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11 534</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9 396</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2 138</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szCs w:val="20"/>
                <w:lang w:eastAsia="en-AU"/>
              </w:rPr>
            </w:pPr>
            <w:r w:rsidRPr="00746768">
              <w:rPr>
                <w:rFonts w:eastAsiaTheme="minorEastAsia" w:cs="Calibri"/>
                <w:color w:val="000000"/>
                <w:szCs w:val="20"/>
                <w:lang w:eastAsia="en-AU"/>
              </w:rPr>
              <w:t xml:space="preserve">   Specialised buildings</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31 602</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491</w:t>
            </w:r>
          </w:p>
        </w:tc>
        <w:tc>
          <w:tcPr>
            <w:tcW w:w="851"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31 111</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30 511</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138</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30 372</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szCs w:val="20"/>
                <w:lang w:eastAsia="en-AU"/>
              </w:rPr>
            </w:pPr>
            <w:r w:rsidRPr="00746768">
              <w:rPr>
                <w:rFonts w:eastAsiaTheme="minorEastAsia" w:cs="Calibri"/>
                <w:color w:val="000000"/>
                <w:szCs w:val="20"/>
                <w:lang w:eastAsia="en-AU"/>
              </w:rPr>
              <w:t xml:space="preserve">   Heritage buildings</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845</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1"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845</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1 177</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1 177</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b/>
                <w:bCs/>
                <w:color w:val="000000"/>
                <w:szCs w:val="20"/>
                <w:lang w:eastAsia="en-AU"/>
              </w:rPr>
            </w:pPr>
            <w:r w:rsidRPr="00746768">
              <w:rPr>
                <w:rFonts w:eastAsiaTheme="minorEastAsia" w:cs="Calibri"/>
                <w:b/>
                <w:bCs/>
                <w:color w:val="000000"/>
                <w:szCs w:val="20"/>
                <w:lang w:eastAsia="en-AU"/>
              </w:rPr>
              <w:t>Land and national parks</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78 504</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21 416</w:t>
            </w:r>
          </w:p>
        </w:tc>
        <w:tc>
          <w:tcPr>
            <w:tcW w:w="851"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57 088</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70 423</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19 266</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51 157</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szCs w:val="20"/>
                <w:lang w:eastAsia="en-AU"/>
              </w:rPr>
            </w:pPr>
            <w:r w:rsidRPr="00746768">
              <w:rPr>
                <w:rFonts w:eastAsiaTheme="minorEastAsia" w:cs="Calibri"/>
                <w:color w:val="000000"/>
                <w:szCs w:val="20"/>
                <w:lang w:eastAsia="en-AU"/>
              </w:rPr>
              <w:t xml:space="preserve">   Non-specialised land</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19 624</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17 269</w:t>
            </w:r>
          </w:p>
        </w:tc>
        <w:tc>
          <w:tcPr>
            <w:tcW w:w="851"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2 355</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17 348</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15 601</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1 746</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szCs w:val="20"/>
                <w:lang w:eastAsia="en-AU"/>
              </w:rPr>
            </w:pPr>
            <w:r w:rsidRPr="00746768">
              <w:rPr>
                <w:rFonts w:eastAsiaTheme="minorEastAsia" w:cs="Calibri"/>
                <w:color w:val="000000"/>
                <w:szCs w:val="20"/>
                <w:lang w:eastAsia="en-AU"/>
              </w:rPr>
              <w:t xml:space="preserve">   Specialised land</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35 794</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4 147</w:t>
            </w:r>
          </w:p>
        </w:tc>
        <w:tc>
          <w:tcPr>
            <w:tcW w:w="851"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31 647</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34 228</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3 665</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30 563</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szCs w:val="20"/>
                <w:lang w:eastAsia="en-AU"/>
              </w:rPr>
            </w:pPr>
            <w:r w:rsidRPr="00746768">
              <w:rPr>
                <w:rFonts w:eastAsiaTheme="minorEastAsia" w:cs="Calibri"/>
                <w:color w:val="000000"/>
                <w:szCs w:val="20"/>
                <w:lang w:eastAsia="en-AU"/>
              </w:rPr>
              <w:t xml:space="preserve">   Land under roads</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22 036</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1"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22 036</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17 811</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17 811</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szCs w:val="20"/>
                <w:lang w:eastAsia="en-AU"/>
              </w:rPr>
            </w:pPr>
            <w:r w:rsidRPr="00746768">
              <w:rPr>
                <w:rFonts w:eastAsiaTheme="minorEastAsia" w:cs="Calibri"/>
                <w:color w:val="000000"/>
                <w:szCs w:val="20"/>
                <w:lang w:eastAsia="en-AU"/>
              </w:rPr>
              <w:t xml:space="preserve">   National parks and other </w:t>
            </w:r>
            <w:r w:rsidR="00D54912">
              <w:t>‘</w:t>
            </w:r>
            <w:r w:rsidRPr="00746768">
              <w:rPr>
                <w:rFonts w:eastAsiaTheme="minorEastAsia" w:cs="Calibri"/>
                <w:color w:val="000000"/>
                <w:szCs w:val="20"/>
                <w:lang w:eastAsia="en-AU"/>
              </w:rPr>
              <w:t>land only’ holdings</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1 050</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1"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1 050</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1 036</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1 036</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b/>
                <w:bCs/>
                <w:color w:val="000000"/>
                <w:szCs w:val="20"/>
                <w:lang w:eastAsia="en-AU"/>
              </w:rPr>
            </w:pPr>
            <w:r w:rsidRPr="00746768">
              <w:rPr>
                <w:rFonts w:eastAsiaTheme="minorEastAsia" w:cs="Calibri"/>
                <w:b/>
                <w:bCs/>
                <w:color w:val="000000"/>
                <w:szCs w:val="20"/>
                <w:lang w:eastAsia="en-AU"/>
              </w:rPr>
              <w:t>Plant, equipment, vehicles and infrastructure systems</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60 821</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142</w:t>
            </w:r>
          </w:p>
        </w:tc>
        <w:tc>
          <w:tcPr>
            <w:tcW w:w="851"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60 679</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60 584</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222</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60 363</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szCs w:val="20"/>
                <w:lang w:eastAsia="en-AU"/>
              </w:rPr>
            </w:pPr>
            <w:r w:rsidRPr="00746768">
              <w:rPr>
                <w:rFonts w:eastAsiaTheme="minorEastAsia" w:cs="Calibri"/>
                <w:color w:val="000000"/>
                <w:szCs w:val="20"/>
                <w:lang w:eastAsia="en-AU"/>
              </w:rPr>
              <w:t xml:space="preserve">   Infrastructure systems</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55 101</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w:t>
            </w:r>
          </w:p>
        </w:tc>
        <w:tc>
          <w:tcPr>
            <w:tcW w:w="851"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55 074</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54 788</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41</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54 747</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szCs w:val="20"/>
                <w:lang w:eastAsia="en-AU"/>
              </w:rPr>
            </w:pPr>
            <w:r w:rsidRPr="00746768">
              <w:rPr>
                <w:rFonts w:eastAsiaTheme="minorEastAsia" w:cs="Calibri"/>
                <w:color w:val="000000"/>
                <w:szCs w:val="20"/>
                <w:lang w:eastAsia="en-AU"/>
              </w:rPr>
              <w:t xml:space="preserve">   Rolling stock</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2 440</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1"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2 440</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2 267</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2 267</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color w:val="000000"/>
                <w:szCs w:val="20"/>
                <w:lang w:eastAsia="en-AU"/>
              </w:rPr>
            </w:pPr>
            <w:r w:rsidRPr="00746768">
              <w:rPr>
                <w:rFonts w:eastAsiaTheme="minorEastAsia" w:cs="Calibri"/>
                <w:color w:val="000000"/>
                <w:szCs w:val="20"/>
                <w:lang w:eastAsia="en-AU"/>
              </w:rPr>
              <w:t xml:space="preserve">   Plant, equipment and vehicles</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3 279</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114</w:t>
            </w:r>
          </w:p>
        </w:tc>
        <w:tc>
          <w:tcPr>
            <w:tcW w:w="851"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3 165</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3 529</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181</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746768">
              <w:rPr>
                <w:rFonts w:eastAsiaTheme="minorEastAsia" w:cs="Calibri"/>
                <w:color w:val="000000"/>
                <w:szCs w:val="20"/>
                <w:lang w:eastAsia="en-AU"/>
              </w:rPr>
              <w:t>3 348</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b/>
                <w:bCs/>
                <w:color w:val="000000"/>
                <w:szCs w:val="20"/>
                <w:lang w:eastAsia="en-AU"/>
              </w:rPr>
            </w:pPr>
            <w:r w:rsidRPr="00746768">
              <w:rPr>
                <w:rFonts w:eastAsiaTheme="minorEastAsia" w:cs="Calibri"/>
                <w:b/>
                <w:bCs/>
                <w:color w:val="000000"/>
                <w:szCs w:val="20"/>
                <w:lang w:eastAsia="en-AU"/>
              </w:rPr>
              <w:t>Roads, road infrastructure and earthworks</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26 832</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w:t>
            </w:r>
          </w:p>
        </w:tc>
        <w:tc>
          <w:tcPr>
            <w:tcW w:w="851"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26 832</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27 175</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27 175</w:t>
            </w:r>
          </w:p>
        </w:tc>
      </w:tr>
      <w:tr w:rsidR="00BB6F1F" w:rsidRPr="00746768" w:rsidTr="00AC68FF">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rPr>
                <w:rFonts w:eastAsiaTheme="minorEastAsia" w:cs="Calibri"/>
                <w:b/>
                <w:bCs/>
                <w:color w:val="000000"/>
                <w:szCs w:val="20"/>
                <w:lang w:eastAsia="en-AU"/>
              </w:rPr>
            </w:pPr>
            <w:r w:rsidRPr="00746768">
              <w:rPr>
                <w:rFonts w:eastAsiaTheme="minorEastAsia" w:cs="Calibri"/>
                <w:b/>
                <w:bCs/>
                <w:color w:val="000000"/>
                <w:szCs w:val="20"/>
                <w:lang w:eastAsia="en-AU"/>
              </w:rPr>
              <w:t>Cultural assets</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5 680</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1 923</w:t>
            </w:r>
          </w:p>
        </w:tc>
        <w:tc>
          <w:tcPr>
            <w:tcW w:w="851"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3 757</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5 655</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2 023</w:t>
            </w:r>
          </w:p>
        </w:tc>
        <w:tc>
          <w:tcPr>
            <w:tcW w:w="850" w:type="dxa"/>
            <w:tcBorders>
              <w:top w:val="nil"/>
              <w:left w:val="nil"/>
              <w:bottom w:val="nil"/>
              <w:right w:val="nil"/>
            </w:tcBorders>
            <w:shd w:val="solid" w:color="FFFFFF" w:fill="auto"/>
          </w:tcPr>
          <w:p w:rsidR="00BB6F1F" w:rsidRPr="00746768"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746768">
              <w:rPr>
                <w:rFonts w:eastAsiaTheme="minorEastAsia" w:cs="Calibri"/>
                <w:b/>
                <w:bCs/>
                <w:color w:val="000000"/>
                <w:szCs w:val="20"/>
                <w:lang w:eastAsia="en-AU"/>
              </w:rPr>
              <w:t>3 632</w:t>
            </w:r>
          </w:p>
        </w:tc>
      </w:tr>
      <w:tr w:rsidR="00BB6F1F" w:rsidRPr="00746768"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auto"/>
              <w:bottom w:val="single" w:sz="12" w:space="0" w:color="auto"/>
            </w:tcBorders>
          </w:tcPr>
          <w:p w:rsidR="00BB6F1F" w:rsidRPr="00746768" w:rsidRDefault="00BB6F1F" w:rsidP="00AC68FF">
            <w:pPr>
              <w:keepLines w:val="0"/>
              <w:autoSpaceDE w:val="0"/>
              <w:autoSpaceDN w:val="0"/>
              <w:adjustRightInd w:val="0"/>
              <w:rPr>
                <w:rFonts w:eastAsiaTheme="minorEastAsia" w:cs="Calibri"/>
                <w:bCs/>
                <w:color w:val="000000"/>
                <w:szCs w:val="20"/>
                <w:vertAlign w:val="superscript"/>
                <w:lang w:eastAsia="en-AU"/>
              </w:rPr>
            </w:pPr>
            <w:r w:rsidRPr="00746768">
              <w:rPr>
                <w:rFonts w:eastAsiaTheme="minorEastAsia" w:cs="Calibri"/>
                <w:bCs/>
                <w:color w:val="000000"/>
                <w:szCs w:val="20"/>
                <w:lang w:eastAsia="en-AU"/>
              </w:rPr>
              <w:t>Total land, buildings, infrastructure, plant and equipment</w:t>
            </w:r>
            <w:r>
              <w:rPr>
                <w:rFonts w:eastAsiaTheme="minorEastAsia" w:cs="Calibri"/>
                <w:bCs/>
                <w:color w:val="000000"/>
                <w:szCs w:val="20"/>
                <w:lang w:eastAsia="en-AU"/>
              </w:rPr>
              <w:t xml:space="preserve"> </w:t>
            </w:r>
            <w:r w:rsidRPr="00746768">
              <w:rPr>
                <w:rFonts w:eastAsiaTheme="minorEastAsia" w:cs="Calibri"/>
                <w:bCs/>
                <w:color w:val="000000"/>
                <w:szCs w:val="20"/>
                <w:vertAlign w:val="superscript"/>
                <w:lang w:eastAsia="en-AU"/>
              </w:rPr>
              <w:t>(a)</w:t>
            </w:r>
          </w:p>
        </w:tc>
        <w:tc>
          <w:tcPr>
            <w:tcW w:w="850"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746768">
              <w:rPr>
                <w:rFonts w:eastAsiaTheme="minorEastAsia" w:cs="Calibri"/>
                <w:bCs/>
                <w:color w:val="000000"/>
                <w:szCs w:val="20"/>
                <w:lang w:eastAsia="en-AU"/>
              </w:rPr>
              <w:t>215 967</w:t>
            </w:r>
          </w:p>
        </w:tc>
        <w:tc>
          <w:tcPr>
            <w:tcW w:w="850"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746768">
              <w:rPr>
                <w:rFonts w:eastAsiaTheme="minorEastAsia" w:cs="Calibri"/>
                <w:bCs/>
                <w:color w:val="000000"/>
                <w:szCs w:val="20"/>
                <w:lang w:eastAsia="en-AU"/>
              </w:rPr>
              <w:t>..</w:t>
            </w:r>
          </w:p>
        </w:tc>
        <w:tc>
          <w:tcPr>
            <w:tcW w:w="850"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746768">
              <w:rPr>
                <w:rFonts w:eastAsiaTheme="minorEastAsia" w:cs="Calibri"/>
                <w:bCs/>
                <w:color w:val="000000"/>
                <w:szCs w:val="20"/>
                <w:lang w:eastAsia="en-AU"/>
              </w:rPr>
              <w:t>32 940</w:t>
            </w:r>
          </w:p>
        </w:tc>
        <w:tc>
          <w:tcPr>
            <w:tcW w:w="851"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746768">
              <w:rPr>
                <w:rFonts w:eastAsiaTheme="minorEastAsia" w:cs="Calibri"/>
                <w:bCs/>
                <w:color w:val="000000"/>
                <w:szCs w:val="20"/>
                <w:lang w:eastAsia="en-AU"/>
              </w:rPr>
              <w:t>183 027</w:t>
            </w:r>
          </w:p>
        </w:tc>
        <w:tc>
          <w:tcPr>
            <w:tcW w:w="850"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746768">
              <w:rPr>
                <w:rFonts w:eastAsiaTheme="minorEastAsia" w:cs="Calibri"/>
                <w:bCs/>
                <w:color w:val="000000"/>
                <w:szCs w:val="20"/>
                <w:lang w:eastAsia="en-AU"/>
              </w:rPr>
              <w:t>207 059</w:t>
            </w:r>
          </w:p>
        </w:tc>
        <w:tc>
          <w:tcPr>
            <w:tcW w:w="850"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746768">
              <w:rPr>
                <w:rFonts w:eastAsiaTheme="minorEastAsia" w:cs="Calibri"/>
                <w:bCs/>
                <w:color w:val="000000"/>
                <w:szCs w:val="20"/>
                <w:lang w:eastAsia="en-AU"/>
              </w:rPr>
              <w:t>..</w:t>
            </w:r>
          </w:p>
        </w:tc>
        <w:tc>
          <w:tcPr>
            <w:tcW w:w="850"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746768">
              <w:rPr>
                <w:rFonts w:eastAsiaTheme="minorEastAsia" w:cs="Calibri"/>
                <w:bCs/>
                <w:color w:val="000000"/>
                <w:szCs w:val="20"/>
                <w:lang w:eastAsia="en-AU"/>
              </w:rPr>
              <w:t>31 045</w:t>
            </w:r>
          </w:p>
        </w:tc>
        <w:tc>
          <w:tcPr>
            <w:tcW w:w="850" w:type="dxa"/>
            <w:tcBorders>
              <w:top w:val="single" w:sz="6" w:space="0" w:color="auto"/>
              <w:bottom w:val="single" w:sz="12" w:space="0" w:color="auto"/>
            </w:tcBorders>
            <w:shd w:val="solid" w:color="FFFFFF" w:fill="auto"/>
          </w:tcPr>
          <w:p w:rsidR="00BB6F1F" w:rsidRPr="00746768"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746768">
              <w:rPr>
                <w:rFonts w:eastAsiaTheme="minorEastAsia" w:cs="Calibri"/>
                <w:bCs/>
                <w:color w:val="000000"/>
                <w:szCs w:val="20"/>
                <w:lang w:eastAsia="en-AU"/>
              </w:rPr>
              <w:t>176 014</w:t>
            </w:r>
          </w:p>
        </w:tc>
      </w:tr>
    </w:tbl>
    <w:p w:rsidR="00BB6F1F" w:rsidRDefault="00BB6F1F" w:rsidP="00AC68FF">
      <w:pPr>
        <w:pStyle w:val="Note"/>
      </w:pPr>
      <w:r>
        <w:t>Note:</w:t>
      </w:r>
    </w:p>
    <w:p w:rsidR="00BB6F1F" w:rsidRDefault="00BB6F1F" w:rsidP="00AC68FF">
      <w:pPr>
        <w:pStyle w:val="Note"/>
      </w:pPr>
      <w:r>
        <w:t>(a)</w:t>
      </w:r>
      <w:r>
        <w:tab/>
        <w:t xml:space="preserve">The State’s total land, building, infrastructure, plant and equipment in this table excludes leased and construction in progress assets, which are valued at cost. The total of excluded assets is </w:t>
      </w:r>
      <w:r w:rsidRPr="00D86A3C">
        <w:t>$</w:t>
      </w:r>
      <w:r>
        <w:t xml:space="preserve">22 919 </w:t>
      </w:r>
      <w:r w:rsidRPr="00D86A3C">
        <w:t>million</w:t>
      </w:r>
      <w:r>
        <w:t xml:space="preserve"> (2016: $</w:t>
      </w:r>
      <w:r w:rsidRPr="00C058FC">
        <w:t>19 498 million).</w:t>
      </w:r>
    </w:p>
    <w:p w:rsidR="00BB6F1F" w:rsidRPr="00F92FE2" w:rsidRDefault="00BB6F1F" w:rsidP="00AC68FF">
      <w:pPr>
        <w:rPr>
          <w:b/>
          <w:bCs/>
          <w:lang w:val="en-US"/>
        </w:rPr>
      </w:pP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2835"/>
        <w:gridCol w:w="850"/>
        <w:gridCol w:w="850"/>
        <w:gridCol w:w="850"/>
        <w:gridCol w:w="851"/>
        <w:gridCol w:w="850"/>
        <w:gridCol w:w="850"/>
        <w:gridCol w:w="850"/>
        <w:gridCol w:w="851"/>
      </w:tblGrid>
      <w:tr w:rsidR="00BB6F1F" w:rsidRPr="00F92FE2" w:rsidTr="00D549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000000" w:fill="auto"/>
          </w:tcPr>
          <w:p w:rsidR="00BB6F1F" w:rsidRPr="00F92FE2" w:rsidRDefault="00BB6F1F" w:rsidP="00AC68FF">
            <w:pPr>
              <w:keepLines w:val="0"/>
              <w:autoSpaceDE w:val="0"/>
              <w:autoSpaceDN w:val="0"/>
              <w:adjustRightInd w:val="0"/>
              <w:rPr>
                <w:rFonts w:eastAsiaTheme="minorEastAsia" w:cs="Calibri"/>
                <w:iCs/>
                <w:color w:val="FFFFFF"/>
                <w:szCs w:val="20"/>
                <w:lang w:eastAsia="en-AU"/>
              </w:rPr>
            </w:pPr>
            <w:r w:rsidRPr="00F92FE2">
              <w:rPr>
                <w:rFonts w:eastAsiaTheme="minorEastAsia" w:cs="Calibri"/>
                <w:iCs/>
                <w:color w:val="FFFFFF"/>
                <w:szCs w:val="20"/>
                <w:lang w:eastAsia="en-AU"/>
              </w:rPr>
              <w:t>General government sector</w:t>
            </w:r>
          </w:p>
        </w:tc>
        <w:tc>
          <w:tcPr>
            <w:tcW w:w="850" w:type="dxa"/>
            <w:tcBorders>
              <w:top w:val="nil"/>
              <w:left w:val="nil"/>
              <w:bottom w:val="nil"/>
              <w:right w:val="nil"/>
            </w:tcBorders>
            <w:shd w:val="solid" w:color="000000" w:fill="auto"/>
          </w:tcPr>
          <w:p w:rsidR="00BB6F1F" w:rsidRPr="00F92FE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850" w:type="dxa"/>
            <w:tcBorders>
              <w:top w:val="nil"/>
              <w:left w:val="nil"/>
              <w:bottom w:val="nil"/>
              <w:right w:val="nil"/>
            </w:tcBorders>
            <w:shd w:val="solid" w:color="000000" w:fill="auto"/>
          </w:tcPr>
          <w:p w:rsidR="00BB6F1F" w:rsidRPr="00F92FE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850" w:type="dxa"/>
            <w:tcBorders>
              <w:top w:val="nil"/>
              <w:left w:val="nil"/>
              <w:bottom w:val="nil"/>
              <w:right w:val="nil"/>
            </w:tcBorders>
            <w:shd w:val="solid" w:color="000000" w:fill="auto"/>
          </w:tcPr>
          <w:p w:rsidR="00BB6F1F" w:rsidRPr="00F92FE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851" w:type="dxa"/>
            <w:tcBorders>
              <w:top w:val="nil"/>
              <w:left w:val="nil"/>
              <w:bottom w:val="nil"/>
              <w:right w:val="nil"/>
            </w:tcBorders>
            <w:shd w:val="solid" w:color="000000" w:fill="auto"/>
          </w:tcPr>
          <w:p w:rsidR="00BB6F1F" w:rsidRPr="00F92FE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850" w:type="dxa"/>
            <w:tcBorders>
              <w:top w:val="nil"/>
              <w:left w:val="nil"/>
              <w:bottom w:val="nil"/>
              <w:right w:val="nil"/>
            </w:tcBorders>
            <w:shd w:val="solid" w:color="000000" w:fill="auto"/>
          </w:tcPr>
          <w:p w:rsidR="00BB6F1F" w:rsidRPr="00F92FE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850" w:type="dxa"/>
            <w:tcBorders>
              <w:top w:val="nil"/>
              <w:left w:val="nil"/>
              <w:bottom w:val="nil"/>
              <w:right w:val="nil"/>
            </w:tcBorders>
            <w:shd w:val="solid" w:color="000000" w:fill="auto"/>
          </w:tcPr>
          <w:p w:rsidR="00BB6F1F" w:rsidRPr="00F92FE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850" w:type="dxa"/>
            <w:tcBorders>
              <w:top w:val="nil"/>
              <w:left w:val="nil"/>
              <w:bottom w:val="nil"/>
              <w:right w:val="nil"/>
            </w:tcBorders>
            <w:shd w:val="solid" w:color="000000" w:fill="auto"/>
          </w:tcPr>
          <w:p w:rsidR="00BB6F1F" w:rsidRPr="00F92FE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851" w:type="dxa"/>
            <w:tcBorders>
              <w:top w:val="nil"/>
              <w:left w:val="nil"/>
              <w:bottom w:val="nil"/>
              <w:right w:val="nil"/>
            </w:tcBorders>
            <w:shd w:val="solid" w:color="000000" w:fill="auto"/>
          </w:tcPr>
          <w:p w:rsidR="00BB6F1F" w:rsidRPr="00F92FE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r>
      <w:tr w:rsidR="00BB6F1F" w:rsidRPr="00F92FE2" w:rsidTr="00D54912">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rPr>
                <w:rFonts w:eastAsiaTheme="minorEastAsia" w:cs="Calibri"/>
                <w:b/>
                <w:bCs/>
                <w:color w:val="000000"/>
                <w:szCs w:val="20"/>
                <w:lang w:eastAsia="en-AU"/>
              </w:rPr>
            </w:pPr>
            <w:r w:rsidRPr="00F92FE2">
              <w:rPr>
                <w:rFonts w:eastAsiaTheme="minorEastAsia" w:cs="Calibri"/>
                <w:b/>
                <w:bCs/>
                <w:color w:val="000000"/>
                <w:szCs w:val="20"/>
                <w:lang w:eastAsia="en-AU"/>
              </w:rPr>
              <w:t>Buildings</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26 691</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779</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25 913</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26 344</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872</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25 471</w:t>
            </w:r>
          </w:p>
        </w:tc>
      </w:tr>
      <w:tr w:rsidR="00BB6F1F" w:rsidRPr="00F92FE2" w:rsidTr="00D54912">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rPr>
                <w:rFonts w:eastAsiaTheme="minorEastAsia" w:cs="Calibri"/>
                <w:color w:val="000000"/>
                <w:szCs w:val="20"/>
                <w:lang w:eastAsia="en-AU"/>
              </w:rPr>
            </w:pPr>
            <w:r w:rsidRPr="00F92FE2">
              <w:rPr>
                <w:rFonts w:eastAsiaTheme="minorEastAsia" w:cs="Calibri"/>
                <w:color w:val="000000"/>
                <w:szCs w:val="20"/>
                <w:lang w:eastAsia="en-AU"/>
              </w:rPr>
              <w:t xml:space="preserve">   Non-specialised buildings</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1 899</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383</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1 516</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2 086</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752</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1 334</w:t>
            </w:r>
          </w:p>
        </w:tc>
      </w:tr>
      <w:tr w:rsidR="00BB6F1F" w:rsidRPr="00F92FE2" w:rsidTr="00D54912">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rPr>
                <w:rFonts w:eastAsiaTheme="minorEastAsia" w:cs="Calibri"/>
                <w:color w:val="000000"/>
                <w:szCs w:val="20"/>
                <w:lang w:eastAsia="en-AU"/>
              </w:rPr>
            </w:pPr>
            <w:r w:rsidRPr="00F92FE2">
              <w:rPr>
                <w:rFonts w:eastAsiaTheme="minorEastAsia" w:cs="Calibri"/>
                <w:color w:val="000000"/>
                <w:szCs w:val="20"/>
                <w:lang w:eastAsia="en-AU"/>
              </w:rPr>
              <w:t xml:space="preserve">   Specialised buildings</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23 962</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396</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23 566</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23 095</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120</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22 975</w:t>
            </w:r>
          </w:p>
        </w:tc>
      </w:tr>
      <w:tr w:rsidR="00BB6F1F" w:rsidRPr="00F92FE2" w:rsidTr="00D54912">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rPr>
                <w:rFonts w:eastAsiaTheme="minorEastAsia" w:cs="Calibri"/>
                <w:color w:val="000000"/>
                <w:szCs w:val="20"/>
                <w:lang w:eastAsia="en-AU"/>
              </w:rPr>
            </w:pPr>
            <w:r w:rsidRPr="00F92FE2">
              <w:rPr>
                <w:rFonts w:eastAsiaTheme="minorEastAsia" w:cs="Calibri"/>
                <w:color w:val="000000"/>
                <w:szCs w:val="20"/>
                <w:lang w:eastAsia="en-AU"/>
              </w:rPr>
              <w:t xml:space="preserve">   Heritage buildings</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831</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831</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1 162</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1 162</w:t>
            </w:r>
          </w:p>
        </w:tc>
      </w:tr>
      <w:tr w:rsidR="00BB6F1F" w:rsidRPr="00F92FE2" w:rsidTr="00D54912">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rPr>
                <w:rFonts w:eastAsiaTheme="minorEastAsia" w:cs="Calibri"/>
                <w:b/>
                <w:bCs/>
                <w:color w:val="000000"/>
                <w:szCs w:val="20"/>
                <w:lang w:eastAsia="en-AU"/>
              </w:rPr>
            </w:pPr>
            <w:r w:rsidRPr="00F92FE2">
              <w:rPr>
                <w:rFonts w:eastAsiaTheme="minorEastAsia" w:cs="Calibri"/>
                <w:b/>
                <w:bCs/>
                <w:color w:val="000000"/>
                <w:szCs w:val="20"/>
                <w:lang w:eastAsia="en-AU"/>
              </w:rPr>
              <w:t>Land and national parks</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50 554</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1 689</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48 865</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44 724</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1 307</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43 417</w:t>
            </w:r>
          </w:p>
        </w:tc>
      </w:tr>
      <w:tr w:rsidR="00BB6F1F" w:rsidRPr="00F92FE2" w:rsidTr="00D54912">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rPr>
                <w:rFonts w:eastAsiaTheme="minorEastAsia" w:cs="Calibri"/>
                <w:color w:val="000000"/>
                <w:szCs w:val="20"/>
                <w:lang w:eastAsia="en-AU"/>
              </w:rPr>
            </w:pPr>
            <w:r w:rsidRPr="00F92FE2">
              <w:rPr>
                <w:rFonts w:eastAsiaTheme="minorEastAsia" w:cs="Calibri"/>
                <w:color w:val="000000"/>
                <w:szCs w:val="20"/>
                <w:lang w:eastAsia="en-AU"/>
              </w:rPr>
              <w:t xml:space="preserve">   Non-specialised land</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3 393</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1 117</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2 276</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2 874</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1 250</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1 624</w:t>
            </w:r>
          </w:p>
        </w:tc>
      </w:tr>
      <w:tr w:rsidR="00BB6F1F" w:rsidRPr="00F92FE2" w:rsidTr="00D54912">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rPr>
                <w:rFonts w:eastAsiaTheme="minorEastAsia" w:cs="Calibri"/>
                <w:color w:val="000000"/>
                <w:szCs w:val="20"/>
                <w:lang w:eastAsia="en-AU"/>
              </w:rPr>
            </w:pPr>
            <w:r w:rsidRPr="00F92FE2">
              <w:rPr>
                <w:rFonts w:eastAsiaTheme="minorEastAsia" w:cs="Calibri"/>
                <w:color w:val="000000"/>
                <w:szCs w:val="20"/>
                <w:lang w:eastAsia="en-AU"/>
              </w:rPr>
              <w:t xml:space="preserve">   Specialised land</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24 075</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573</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23 503</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23 002</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58</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22 945</w:t>
            </w:r>
          </w:p>
        </w:tc>
      </w:tr>
      <w:tr w:rsidR="00BB6F1F" w:rsidRPr="00F92FE2" w:rsidTr="00D54912">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rPr>
                <w:rFonts w:eastAsiaTheme="minorEastAsia" w:cs="Calibri"/>
                <w:color w:val="000000"/>
                <w:szCs w:val="20"/>
                <w:lang w:eastAsia="en-AU"/>
              </w:rPr>
            </w:pPr>
            <w:r w:rsidRPr="00F92FE2">
              <w:rPr>
                <w:rFonts w:eastAsiaTheme="minorEastAsia" w:cs="Calibri"/>
                <w:color w:val="000000"/>
                <w:szCs w:val="20"/>
                <w:lang w:eastAsia="en-AU"/>
              </w:rPr>
              <w:t xml:space="preserve">   Land under roads</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22 036</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22 036</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17 811</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17 811</w:t>
            </w:r>
          </w:p>
        </w:tc>
      </w:tr>
      <w:tr w:rsidR="00BB6F1F" w:rsidRPr="00F92FE2" w:rsidTr="00D54912">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F92FE2" w:rsidRDefault="00BB6F1F" w:rsidP="00D54912">
            <w:pPr>
              <w:keepLines w:val="0"/>
              <w:autoSpaceDE w:val="0"/>
              <w:autoSpaceDN w:val="0"/>
              <w:adjustRightInd w:val="0"/>
              <w:rPr>
                <w:rFonts w:eastAsiaTheme="minorEastAsia" w:cs="Calibri"/>
                <w:color w:val="000000"/>
                <w:szCs w:val="20"/>
                <w:lang w:eastAsia="en-AU"/>
              </w:rPr>
            </w:pPr>
            <w:r w:rsidRPr="00F92FE2">
              <w:rPr>
                <w:rFonts w:eastAsiaTheme="minorEastAsia" w:cs="Calibri"/>
                <w:color w:val="000000"/>
                <w:szCs w:val="20"/>
                <w:lang w:eastAsia="en-AU"/>
              </w:rPr>
              <w:t xml:space="preserve">   National parks and other </w:t>
            </w:r>
            <w:r w:rsidR="00D54912">
              <w:t>‘</w:t>
            </w:r>
            <w:r w:rsidRPr="00F92FE2">
              <w:rPr>
                <w:rFonts w:eastAsiaTheme="minorEastAsia" w:cs="Calibri"/>
                <w:color w:val="000000"/>
                <w:szCs w:val="20"/>
                <w:lang w:eastAsia="en-AU"/>
              </w:rPr>
              <w:t>land only’ holdings</w:t>
            </w:r>
            <w:r w:rsidR="00D54912">
              <w:rPr>
                <w:rFonts w:eastAsiaTheme="minorEastAsia" w:cs="Calibri"/>
                <w:color w:val="000000"/>
                <w:szCs w:val="20"/>
                <w:lang w:eastAsia="en-AU"/>
              </w:rPr>
              <w:t xml:space="preserve"> </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1 050</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1 050</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1 036</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1 036</w:t>
            </w:r>
          </w:p>
        </w:tc>
      </w:tr>
      <w:tr w:rsidR="00BB6F1F" w:rsidRPr="00F92FE2" w:rsidTr="00D54912">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rPr>
                <w:rFonts w:eastAsiaTheme="minorEastAsia" w:cs="Calibri"/>
                <w:b/>
                <w:bCs/>
                <w:color w:val="000000"/>
                <w:szCs w:val="20"/>
                <w:lang w:eastAsia="en-AU"/>
              </w:rPr>
            </w:pPr>
            <w:r w:rsidRPr="00F92FE2">
              <w:rPr>
                <w:rFonts w:eastAsiaTheme="minorEastAsia" w:cs="Calibri"/>
                <w:b/>
                <w:bCs/>
                <w:color w:val="000000"/>
                <w:szCs w:val="20"/>
                <w:lang w:eastAsia="en-AU"/>
              </w:rPr>
              <w:t>Plant, equipment, vehicles and infrastructure systems</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3 051</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30</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3 021</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3 067</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114</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2 953</w:t>
            </w:r>
          </w:p>
        </w:tc>
      </w:tr>
      <w:tr w:rsidR="00BB6F1F" w:rsidRPr="00F92FE2" w:rsidTr="00D54912">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rPr>
                <w:rFonts w:eastAsiaTheme="minorEastAsia" w:cs="Calibri"/>
                <w:color w:val="000000"/>
                <w:szCs w:val="20"/>
                <w:lang w:eastAsia="en-AU"/>
              </w:rPr>
            </w:pPr>
            <w:r w:rsidRPr="00F92FE2">
              <w:rPr>
                <w:rFonts w:eastAsiaTheme="minorEastAsia" w:cs="Calibri"/>
                <w:color w:val="000000"/>
                <w:szCs w:val="20"/>
                <w:lang w:eastAsia="en-AU"/>
              </w:rPr>
              <w:t xml:space="preserve">   Infrastructure systems</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1 187</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1 187</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1 209</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1 186</w:t>
            </w:r>
          </w:p>
        </w:tc>
      </w:tr>
      <w:tr w:rsidR="00BB6F1F" w:rsidRPr="00F92FE2" w:rsidTr="00D54912">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rPr>
                <w:rFonts w:eastAsiaTheme="minorEastAsia" w:cs="Calibri"/>
                <w:color w:val="000000"/>
                <w:szCs w:val="20"/>
                <w:lang w:eastAsia="en-AU"/>
              </w:rPr>
            </w:pPr>
            <w:r w:rsidRPr="00F92FE2">
              <w:rPr>
                <w:rFonts w:eastAsiaTheme="minorEastAsia" w:cs="Calibri"/>
                <w:color w:val="000000"/>
                <w:szCs w:val="20"/>
                <w:lang w:eastAsia="en-AU"/>
              </w:rPr>
              <w:t xml:space="preserve">   Plant, equipment and vehicles</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1 864</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30</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1 834</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1 857</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91</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F92FE2">
              <w:rPr>
                <w:rFonts w:eastAsiaTheme="minorEastAsia" w:cs="Calibri"/>
                <w:color w:val="000000"/>
                <w:szCs w:val="20"/>
                <w:lang w:eastAsia="en-AU"/>
              </w:rPr>
              <w:t>1 766</w:t>
            </w:r>
          </w:p>
        </w:tc>
      </w:tr>
      <w:tr w:rsidR="00BB6F1F" w:rsidRPr="00F92FE2" w:rsidTr="00D54912">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rPr>
                <w:rFonts w:eastAsiaTheme="minorEastAsia" w:cs="Calibri"/>
                <w:b/>
                <w:bCs/>
                <w:color w:val="000000"/>
                <w:szCs w:val="20"/>
                <w:lang w:eastAsia="en-AU"/>
              </w:rPr>
            </w:pPr>
            <w:r w:rsidRPr="00F92FE2">
              <w:rPr>
                <w:rFonts w:eastAsiaTheme="minorEastAsia" w:cs="Calibri"/>
                <w:b/>
                <w:bCs/>
                <w:color w:val="000000"/>
                <w:szCs w:val="20"/>
                <w:lang w:eastAsia="en-AU"/>
              </w:rPr>
              <w:t>Roads, road infrastructure and earthworks</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26 749</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26 749</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27 106</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27 106</w:t>
            </w:r>
          </w:p>
        </w:tc>
      </w:tr>
      <w:tr w:rsidR="00BB6F1F" w:rsidRPr="00F92FE2" w:rsidTr="00D54912">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rPr>
                <w:rFonts w:eastAsiaTheme="minorEastAsia" w:cs="Calibri"/>
                <w:b/>
                <w:bCs/>
                <w:color w:val="000000"/>
                <w:szCs w:val="20"/>
                <w:lang w:eastAsia="en-AU"/>
              </w:rPr>
            </w:pPr>
            <w:r w:rsidRPr="00F92FE2">
              <w:rPr>
                <w:rFonts w:eastAsiaTheme="minorEastAsia" w:cs="Calibri"/>
                <w:b/>
                <w:bCs/>
                <w:color w:val="000000"/>
                <w:szCs w:val="20"/>
                <w:lang w:eastAsia="en-AU"/>
              </w:rPr>
              <w:t>Cultural assets</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5 617</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1 860</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3 757</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5 592</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w:t>
            </w:r>
          </w:p>
        </w:tc>
        <w:tc>
          <w:tcPr>
            <w:tcW w:w="850"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1 961</w:t>
            </w:r>
          </w:p>
        </w:tc>
        <w:tc>
          <w:tcPr>
            <w:tcW w:w="851" w:type="dxa"/>
            <w:tcBorders>
              <w:top w:val="nil"/>
              <w:left w:val="nil"/>
              <w:bottom w:val="nil"/>
              <w:right w:val="nil"/>
            </w:tcBorders>
            <w:shd w:val="solid" w:color="FFFFFF" w:fill="auto"/>
          </w:tcPr>
          <w:p w:rsidR="00BB6F1F" w:rsidRPr="00F92FE2"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F92FE2">
              <w:rPr>
                <w:rFonts w:eastAsiaTheme="minorEastAsia" w:cs="Calibri"/>
                <w:b/>
                <w:bCs/>
                <w:color w:val="000000"/>
                <w:szCs w:val="20"/>
                <w:lang w:eastAsia="en-AU"/>
              </w:rPr>
              <w:t>3 632</w:t>
            </w:r>
          </w:p>
        </w:tc>
      </w:tr>
      <w:tr w:rsidR="00BB6F1F" w:rsidRPr="00F92FE2" w:rsidTr="00D5491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auto"/>
              <w:bottom w:val="single" w:sz="12" w:space="0" w:color="auto"/>
            </w:tcBorders>
          </w:tcPr>
          <w:p w:rsidR="00BB6F1F" w:rsidRPr="00F92FE2" w:rsidRDefault="00BB6F1F" w:rsidP="00AC68FF">
            <w:pPr>
              <w:keepLines w:val="0"/>
              <w:autoSpaceDE w:val="0"/>
              <w:autoSpaceDN w:val="0"/>
              <w:adjustRightInd w:val="0"/>
              <w:rPr>
                <w:rFonts w:eastAsiaTheme="minorEastAsia" w:cs="Calibri"/>
                <w:bCs/>
                <w:color w:val="000000"/>
                <w:szCs w:val="20"/>
                <w:vertAlign w:val="superscript"/>
                <w:lang w:eastAsia="en-AU"/>
              </w:rPr>
            </w:pPr>
            <w:r w:rsidRPr="00F92FE2">
              <w:rPr>
                <w:rFonts w:eastAsiaTheme="minorEastAsia" w:cs="Calibri"/>
                <w:bCs/>
                <w:color w:val="000000"/>
                <w:szCs w:val="20"/>
                <w:lang w:eastAsia="en-AU"/>
              </w:rPr>
              <w:t>Total land, buildings, infrastructure, plant and equipment</w:t>
            </w:r>
            <w:r w:rsidR="00D54912">
              <w:rPr>
                <w:rFonts w:eastAsiaTheme="minorEastAsia" w:cs="Calibri"/>
                <w:bCs/>
                <w:color w:val="000000"/>
                <w:szCs w:val="20"/>
                <w:lang w:eastAsia="en-AU"/>
              </w:rPr>
              <w:t xml:space="preserve"> </w:t>
            </w:r>
            <w:r w:rsidRPr="00F92FE2">
              <w:rPr>
                <w:rFonts w:eastAsiaTheme="minorEastAsia" w:cs="Calibri"/>
                <w:bCs/>
                <w:color w:val="000000"/>
                <w:szCs w:val="20"/>
                <w:vertAlign w:val="superscript"/>
                <w:lang w:eastAsia="en-AU"/>
              </w:rPr>
              <w:t>(a)</w:t>
            </w:r>
          </w:p>
        </w:tc>
        <w:tc>
          <w:tcPr>
            <w:tcW w:w="850" w:type="dxa"/>
            <w:tcBorders>
              <w:top w:val="single" w:sz="6" w:space="0" w:color="auto"/>
              <w:bottom w:val="single" w:sz="12" w:space="0" w:color="auto"/>
            </w:tcBorders>
            <w:shd w:val="solid" w:color="FFFFFF" w:fill="auto"/>
          </w:tcPr>
          <w:p w:rsidR="00BB6F1F" w:rsidRPr="00F92FE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F92FE2">
              <w:rPr>
                <w:rFonts w:eastAsiaTheme="minorEastAsia" w:cs="Calibri"/>
                <w:bCs/>
                <w:color w:val="000000"/>
                <w:szCs w:val="20"/>
                <w:lang w:eastAsia="en-AU"/>
              </w:rPr>
              <w:t>112 663</w:t>
            </w:r>
          </w:p>
        </w:tc>
        <w:tc>
          <w:tcPr>
            <w:tcW w:w="850" w:type="dxa"/>
            <w:tcBorders>
              <w:top w:val="single" w:sz="6" w:space="0" w:color="auto"/>
              <w:bottom w:val="single" w:sz="12" w:space="0" w:color="auto"/>
            </w:tcBorders>
            <w:shd w:val="solid" w:color="FFFFFF" w:fill="auto"/>
          </w:tcPr>
          <w:p w:rsidR="00BB6F1F" w:rsidRPr="00F92FE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F92FE2">
              <w:rPr>
                <w:rFonts w:eastAsiaTheme="minorEastAsia" w:cs="Calibri"/>
                <w:bCs/>
                <w:color w:val="000000"/>
                <w:szCs w:val="20"/>
                <w:lang w:eastAsia="en-AU"/>
              </w:rPr>
              <w:t>..</w:t>
            </w:r>
          </w:p>
        </w:tc>
        <w:tc>
          <w:tcPr>
            <w:tcW w:w="850" w:type="dxa"/>
            <w:tcBorders>
              <w:top w:val="single" w:sz="6" w:space="0" w:color="auto"/>
              <w:bottom w:val="single" w:sz="12" w:space="0" w:color="auto"/>
            </w:tcBorders>
            <w:shd w:val="solid" w:color="FFFFFF" w:fill="auto"/>
          </w:tcPr>
          <w:p w:rsidR="00BB6F1F" w:rsidRPr="00F92FE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F92FE2">
              <w:rPr>
                <w:rFonts w:eastAsiaTheme="minorEastAsia" w:cs="Calibri"/>
                <w:bCs/>
                <w:color w:val="000000"/>
                <w:szCs w:val="20"/>
                <w:lang w:eastAsia="en-AU"/>
              </w:rPr>
              <w:t>4 359</w:t>
            </w:r>
          </w:p>
        </w:tc>
        <w:tc>
          <w:tcPr>
            <w:tcW w:w="851" w:type="dxa"/>
            <w:tcBorders>
              <w:top w:val="single" w:sz="6" w:space="0" w:color="auto"/>
              <w:bottom w:val="single" w:sz="12" w:space="0" w:color="auto"/>
            </w:tcBorders>
            <w:shd w:val="solid" w:color="FFFFFF" w:fill="auto"/>
          </w:tcPr>
          <w:p w:rsidR="00BB6F1F" w:rsidRPr="00F92FE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F92FE2">
              <w:rPr>
                <w:rFonts w:eastAsiaTheme="minorEastAsia" w:cs="Calibri"/>
                <w:bCs/>
                <w:color w:val="000000"/>
                <w:szCs w:val="20"/>
                <w:lang w:eastAsia="en-AU"/>
              </w:rPr>
              <w:t>108 304</w:t>
            </w:r>
          </w:p>
        </w:tc>
        <w:tc>
          <w:tcPr>
            <w:tcW w:w="850" w:type="dxa"/>
            <w:tcBorders>
              <w:top w:val="single" w:sz="6" w:space="0" w:color="auto"/>
              <w:bottom w:val="single" w:sz="12" w:space="0" w:color="auto"/>
            </w:tcBorders>
            <w:shd w:val="solid" w:color="FFFFFF" w:fill="auto"/>
          </w:tcPr>
          <w:p w:rsidR="00BB6F1F" w:rsidRPr="00F92FE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F92FE2">
              <w:rPr>
                <w:rFonts w:eastAsiaTheme="minorEastAsia" w:cs="Calibri"/>
                <w:bCs/>
                <w:color w:val="000000"/>
                <w:szCs w:val="20"/>
                <w:lang w:eastAsia="en-AU"/>
              </w:rPr>
              <w:t>106 833</w:t>
            </w:r>
          </w:p>
        </w:tc>
        <w:tc>
          <w:tcPr>
            <w:tcW w:w="850" w:type="dxa"/>
            <w:tcBorders>
              <w:top w:val="single" w:sz="6" w:space="0" w:color="auto"/>
              <w:bottom w:val="single" w:sz="12" w:space="0" w:color="auto"/>
            </w:tcBorders>
            <w:shd w:val="solid" w:color="FFFFFF" w:fill="auto"/>
          </w:tcPr>
          <w:p w:rsidR="00BB6F1F" w:rsidRPr="00F92FE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F92FE2">
              <w:rPr>
                <w:rFonts w:eastAsiaTheme="minorEastAsia" w:cs="Calibri"/>
                <w:bCs/>
                <w:color w:val="000000"/>
                <w:szCs w:val="20"/>
                <w:lang w:eastAsia="en-AU"/>
              </w:rPr>
              <w:t>..</w:t>
            </w:r>
          </w:p>
        </w:tc>
        <w:tc>
          <w:tcPr>
            <w:tcW w:w="850" w:type="dxa"/>
            <w:tcBorders>
              <w:top w:val="single" w:sz="6" w:space="0" w:color="auto"/>
              <w:bottom w:val="single" w:sz="12" w:space="0" w:color="auto"/>
            </w:tcBorders>
            <w:shd w:val="solid" w:color="FFFFFF" w:fill="auto"/>
          </w:tcPr>
          <w:p w:rsidR="00BB6F1F" w:rsidRPr="00F92FE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F92FE2">
              <w:rPr>
                <w:rFonts w:eastAsiaTheme="minorEastAsia" w:cs="Calibri"/>
                <w:bCs/>
                <w:color w:val="000000"/>
                <w:szCs w:val="20"/>
                <w:lang w:eastAsia="en-AU"/>
              </w:rPr>
              <w:t>4 254</w:t>
            </w:r>
          </w:p>
        </w:tc>
        <w:tc>
          <w:tcPr>
            <w:tcW w:w="851" w:type="dxa"/>
            <w:tcBorders>
              <w:top w:val="single" w:sz="6" w:space="0" w:color="auto"/>
              <w:bottom w:val="single" w:sz="12" w:space="0" w:color="auto"/>
            </w:tcBorders>
            <w:shd w:val="solid" w:color="FFFFFF" w:fill="auto"/>
          </w:tcPr>
          <w:p w:rsidR="00BB6F1F" w:rsidRPr="00F92FE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F92FE2">
              <w:rPr>
                <w:rFonts w:eastAsiaTheme="minorEastAsia" w:cs="Calibri"/>
                <w:bCs/>
                <w:color w:val="000000"/>
                <w:szCs w:val="20"/>
                <w:lang w:eastAsia="en-AU"/>
              </w:rPr>
              <w:t>102 579</w:t>
            </w:r>
          </w:p>
        </w:tc>
      </w:tr>
    </w:tbl>
    <w:p w:rsidR="00BB6F1F" w:rsidRDefault="00BB6F1F" w:rsidP="00AC68FF">
      <w:pPr>
        <w:pStyle w:val="Note"/>
      </w:pPr>
      <w:r>
        <w:t>Note:</w:t>
      </w:r>
      <w:r w:rsidR="00D54912">
        <w:t xml:space="preserve"> </w:t>
      </w:r>
    </w:p>
    <w:p w:rsidR="00BB6F1F" w:rsidRDefault="00BB6F1F" w:rsidP="00AC68FF">
      <w:pPr>
        <w:pStyle w:val="Note"/>
      </w:pPr>
      <w:r>
        <w:t>(a)</w:t>
      </w:r>
      <w:r>
        <w:tab/>
        <w:t xml:space="preserve">The general government sector’s total land, building, infrastructure, plant and equipment in this table excludes leased and construction in progress assets, which are valued at cost. The total of excluded assets is </w:t>
      </w:r>
      <w:r w:rsidRPr="00D86A3C">
        <w:t>$</w:t>
      </w:r>
      <w:r>
        <w:t>9 113</w:t>
      </w:r>
      <w:r w:rsidRPr="00D86A3C">
        <w:t xml:space="preserve"> million</w:t>
      </w:r>
      <w:r>
        <w:t xml:space="preserve"> (2016: </w:t>
      </w:r>
      <w:r w:rsidRPr="00C058FC">
        <w:t>$</w:t>
      </w:r>
      <w:r>
        <w:t>7 421</w:t>
      </w:r>
      <w:r w:rsidRPr="00C058FC">
        <w:t xml:space="preserve"> million).</w:t>
      </w:r>
    </w:p>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Pr="00746768" w:rsidRDefault="00BB6F1F" w:rsidP="00081EB7">
      <w:pPr>
        <w:pStyle w:val="TableHeading"/>
        <w:spacing w:before="0"/>
        <w:rPr>
          <w:bCs/>
          <w:lang w:val="en-US"/>
        </w:rPr>
      </w:pPr>
      <w:r w:rsidRPr="003F0F11">
        <w:lastRenderedPageBreak/>
        <w:t>Reconciliation of Level 3 fair value movements</w:t>
      </w:r>
      <w:r w:rsidRPr="003F0F11">
        <w:tab/>
      </w:r>
      <w:r w:rsidRPr="003F0F11">
        <w:tab/>
        <w:t>($ million)</w:t>
      </w:r>
    </w:p>
    <w:tbl>
      <w:tblPr>
        <w:tblStyle w:val="DTFTable"/>
        <w:tblW w:w="14548" w:type="dxa"/>
        <w:tblInd w:w="45" w:type="dxa"/>
        <w:tblLayout w:type="fixed"/>
        <w:tblCellMar>
          <w:left w:w="45" w:type="dxa"/>
          <w:right w:w="45" w:type="dxa"/>
        </w:tblCellMar>
        <w:tblLook w:val="06E0" w:firstRow="1" w:lastRow="1" w:firstColumn="1" w:lastColumn="0" w:noHBand="1" w:noVBand="1"/>
      </w:tblPr>
      <w:tblGrid>
        <w:gridCol w:w="3686"/>
        <w:gridCol w:w="709"/>
        <w:gridCol w:w="992"/>
        <w:gridCol w:w="992"/>
        <w:gridCol w:w="1418"/>
        <w:gridCol w:w="992"/>
        <w:gridCol w:w="992"/>
        <w:gridCol w:w="1418"/>
        <w:gridCol w:w="1275"/>
        <w:gridCol w:w="1276"/>
        <w:gridCol w:w="798"/>
      </w:tblGrid>
      <w:tr w:rsidR="00081EB7" w:rsidRPr="00746768" w:rsidTr="001753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000000" w:fill="auto"/>
          </w:tcPr>
          <w:p w:rsidR="00BB6F1F" w:rsidRPr="00746768" w:rsidRDefault="00BB6F1F" w:rsidP="00204EB0">
            <w:pPr>
              <w:autoSpaceDE w:val="0"/>
              <w:autoSpaceDN w:val="0"/>
              <w:adjustRightInd w:val="0"/>
              <w:spacing w:after="0"/>
              <w:rPr>
                <w:rFonts w:eastAsiaTheme="minorEastAsia" w:cs="Calibri"/>
                <w:iCs/>
                <w:color w:val="FFFFFF"/>
                <w:sz w:val="16"/>
                <w:szCs w:val="20"/>
                <w:lang w:eastAsia="en-AU"/>
              </w:rPr>
            </w:pPr>
            <w:r w:rsidRPr="00746768">
              <w:rPr>
                <w:rFonts w:eastAsiaTheme="minorEastAsia" w:cs="Calibri"/>
                <w:iCs/>
                <w:color w:val="FFFFFF"/>
                <w:sz w:val="16"/>
                <w:szCs w:val="20"/>
                <w:lang w:eastAsia="en-AU"/>
              </w:rPr>
              <w:t>State of Victoria</w:t>
            </w:r>
          </w:p>
          <w:p w:rsidR="00BB6F1F" w:rsidRPr="00746768" w:rsidRDefault="00BB6F1F" w:rsidP="00204EB0">
            <w:pPr>
              <w:keepLines w:val="0"/>
              <w:autoSpaceDE w:val="0"/>
              <w:autoSpaceDN w:val="0"/>
              <w:adjustRightInd w:val="0"/>
              <w:spacing w:after="0"/>
              <w:rPr>
                <w:rFonts w:eastAsiaTheme="minorEastAsia" w:cs="Calibri"/>
                <w:iCs/>
                <w:color w:val="FFFFFF"/>
                <w:sz w:val="16"/>
                <w:szCs w:val="20"/>
                <w:lang w:eastAsia="en-AU"/>
              </w:rPr>
            </w:pPr>
            <w:r w:rsidRPr="00746768">
              <w:rPr>
                <w:rFonts w:eastAsiaTheme="minorEastAsia" w:cs="Calibri"/>
                <w:iCs/>
                <w:color w:val="FFFFFF"/>
                <w:sz w:val="16"/>
                <w:szCs w:val="20"/>
                <w:lang w:eastAsia="en-AU"/>
              </w:rPr>
              <w:t>2017</w:t>
            </w:r>
          </w:p>
        </w:tc>
        <w:tc>
          <w:tcPr>
            <w:tcW w:w="709"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Opening balance</w:t>
            </w:r>
          </w:p>
        </w:tc>
        <w:tc>
          <w:tcPr>
            <w:tcW w:w="992"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Depreciation</w:t>
            </w:r>
          </w:p>
        </w:tc>
        <w:tc>
          <w:tcPr>
            <w:tcW w:w="992"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Impairment</w:t>
            </w:r>
          </w:p>
        </w:tc>
        <w:tc>
          <w:tcPr>
            <w:tcW w:w="1418"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Assets recognised for the first time</w:t>
            </w:r>
          </w:p>
        </w:tc>
        <w:tc>
          <w:tcPr>
            <w:tcW w:w="992"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Revaluation</w:t>
            </w:r>
          </w:p>
        </w:tc>
        <w:tc>
          <w:tcPr>
            <w:tcW w:w="992"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Acquisitions/ (Disposals)</w:t>
            </w:r>
          </w:p>
        </w:tc>
        <w:tc>
          <w:tcPr>
            <w:tcW w:w="1418"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Capitalisation of work-in-progress</w:t>
            </w:r>
          </w:p>
        </w:tc>
        <w:tc>
          <w:tcPr>
            <w:tcW w:w="1275"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Transfers in/out of Level 3</w:t>
            </w:r>
          </w:p>
        </w:tc>
        <w:tc>
          <w:tcPr>
            <w:tcW w:w="1276"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Reclassification</w:t>
            </w:r>
          </w:p>
        </w:tc>
        <w:tc>
          <w:tcPr>
            <w:tcW w:w="798"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Closing balance</w:t>
            </w:r>
          </w:p>
        </w:tc>
      </w:tr>
      <w:tr w:rsidR="00081EB7"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Buildings</w:t>
            </w:r>
          </w:p>
        </w:tc>
        <w:tc>
          <w:tcPr>
            <w:tcW w:w="709"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33 687</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(1 449)</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(14)</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33</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234</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536</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1 246</w:t>
            </w:r>
          </w:p>
        </w:tc>
        <w:tc>
          <w:tcPr>
            <w:tcW w:w="1275"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(10)</w:t>
            </w:r>
          </w:p>
        </w:tc>
        <w:tc>
          <w:tcPr>
            <w:tcW w:w="1276"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408</w:t>
            </w:r>
          </w:p>
        </w:tc>
        <w:tc>
          <w:tcPr>
            <w:tcW w:w="79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34 671</w:t>
            </w:r>
          </w:p>
        </w:tc>
      </w:tr>
      <w:tr w:rsidR="00081EB7"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Non-specialised buildings</w:t>
            </w:r>
          </w:p>
        </w:tc>
        <w:tc>
          <w:tcPr>
            <w:tcW w:w="709"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2 138</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(130)</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22</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35</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267</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3</w:t>
            </w:r>
          </w:p>
        </w:tc>
        <w:tc>
          <w:tcPr>
            <w:tcW w:w="1275"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w:t>
            </w:r>
          </w:p>
        </w:tc>
        <w:tc>
          <w:tcPr>
            <w:tcW w:w="1276"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378</w:t>
            </w:r>
          </w:p>
        </w:tc>
        <w:tc>
          <w:tcPr>
            <w:tcW w:w="79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2 715</w:t>
            </w:r>
          </w:p>
        </w:tc>
      </w:tr>
      <w:tr w:rsidR="00081EB7"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Specialised buildings</w:t>
            </w:r>
          </w:p>
        </w:tc>
        <w:tc>
          <w:tcPr>
            <w:tcW w:w="709"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30 372</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(1 294)</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(14)</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11</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84</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257</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1 243</w:t>
            </w:r>
          </w:p>
        </w:tc>
        <w:tc>
          <w:tcPr>
            <w:tcW w:w="1275"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(12)</w:t>
            </w:r>
          </w:p>
        </w:tc>
        <w:tc>
          <w:tcPr>
            <w:tcW w:w="1276"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464</w:t>
            </w:r>
          </w:p>
        </w:tc>
        <w:tc>
          <w:tcPr>
            <w:tcW w:w="79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31 111</w:t>
            </w:r>
          </w:p>
        </w:tc>
      </w:tr>
      <w:tr w:rsidR="00081EB7"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Heritage buildings</w:t>
            </w:r>
          </w:p>
        </w:tc>
        <w:tc>
          <w:tcPr>
            <w:tcW w:w="709"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1 177</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(24)</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115</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12</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275"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276"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(434)</w:t>
            </w:r>
          </w:p>
        </w:tc>
        <w:tc>
          <w:tcPr>
            <w:tcW w:w="79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845</w:t>
            </w:r>
          </w:p>
        </w:tc>
      </w:tr>
      <w:tr w:rsidR="00081EB7"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Land and national parks</w:t>
            </w:r>
          </w:p>
        </w:tc>
        <w:tc>
          <w:tcPr>
            <w:tcW w:w="709"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51 157</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1</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6 243</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84</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43</w:t>
            </w:r>
          </w:p>
        </w:tc>
        <w:tc>
          <w:tcPr>
            <w:tcW w:w="1275"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(192)</w:t>
            </w:r>
          </w:p>
        </w:tc>
        <w:tc>
          <w:tcPr>
            <w:tcW w:w="1276"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(249)</w:t>
            </w:r>
          </w:p>
        </w:tc>
        <w:tc>
          <w:tcPr>
            <w:tcW w:w="79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57 088</w:t>
            </w:r>
          </w:p>
        </w:tc>
      </w:tr>
      <w:tr w:rsidR="00081EB7"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Non-specialised land</w:t>
            </w:r>
          </w:p>
        </w:tc>
        <w:tc>
          <w:tcPr>
            <w:tcW w:w="709"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1 746</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437</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18</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275"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174</w:t>
            </w:r>
          </w:p>
        </w:tc>
        <w:tc>
          <w:tcPr>
            <w:tcW w:w="1276"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(20)</w:t>
            </w:r>
          </w:p>
        </w:tc>
        <w:tc>
          <w:tcPr>
            <w:tcW w:w="79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2 355</w:t>
            </w:r>
          </w:p>
        </w:tc>
      </w:tr>
      <w:tr w:rsidR="00081EB7"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Specialised land</w:t>
            </w:r>
          </w:p>
        </w:tc>
        <w:tc>
          <w:tcPr>
            <w:tcW w:w="709"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30 563</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1 585</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53</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43</w:t>
            </w:r>
          </w:p>
        </w:tc>
        <w:tc>
          <w:tcPr>
            <w:tcW w:w="1275"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(366)</w:t>
            </w:r>
          </w:p>
        </w:tc>
        <w:tc>
          <w:tcPr>
            <w:tcW w:w="1276"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(233)</w:t>
            </w:r>
          </w:p>
        </w:tc>
        <w:tc>
          <w:tcPr>
            <w:tcW w:w="79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31 647</w:t>
            </w:r>
          </w:p>
        </w:tc>
      </w:tr>
      <w:tr w:rsidR="00081EB7"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Land under roads</w:t>
            </w:r>
          </w:p>
        </w:tc>
        <w:tc>
          <w:tcPr>
            <w:tcW w:w="709"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17 811</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4 221</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275"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276"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4</w:t>
            </w:r>
          </w:p>
        </w:tc>
        <w:tc>
          <w:tcPr>
            <w:tcW w:w="79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22 036</w:t>
            </w:r>
          </w:p>
        </w:tc>
      </w:tr>
      <w:tr w:rsidR="00081EB7"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National parks and other </w:t>
            </w:r>
            <w:r w:rsidR="00204EB0">
              <w:rPr>
                <w:rFonts w:eastAsiaTheme="minorEastAsia" w:cs="Calibri"/>
                <w:color w:val="000000"/>
                <w:sz w:val="16"/>
                <w:szCs w:val="20"/>
                <w:lang w:eastAsia="en-AU"/>
              </w:rPr>
              <w:t>‘</w:t>
            </w:r>
            <w:r w:rsidRPr="00746768">
              <w:rPr>
                <w:rFonts w:eastAsiaTheme="minorEastAsia" w:cs="Calibri"/>
                <w:color w:val="000000"/>
                <w:sz w:val="16"/>
                <w:szCs w:val="20"/>
                <w:lang w:eastAsia="en-AU"/>
              </w:rPr>
              <w:t>land only</w:t>
            </w:r>
            <w:r w:rsidR="00204EB0">
              <w:rPr>
                <w:rFonts w:eastAsiaTheme="minorEastAsia" w:cs="Calibri"/>
                <w:color w:val="000000"/>
                <w:sz w:val="16"/>
                <w:szCs w:val="20"/>
                <w:lang w:eastAsia="en-AU"/>
              </w:rPr>
              <w:t>’</w:t>
            </w:r>
            <w:r w:rsidRPr="00746768">
              <w:rPr>
                <w:rFonts w:eastAsiaTheme="minorEastAsia" w:cs="Calibri"/>
                <w:color w:val="000000"/>
                <w:sz w:val="16"/>
                <w:szCs w:val="20"/>
                <w:lang w:eastAsia="en-AU"/>
              </w:rPr>
              <w:t xml:space="preserve"> holdings</w:t>
            </w:r>
          </w:p>
        </w:tc>
        <w:tc>
          <w:tcPr>
            <w:tcW w:w="709"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1 036</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13</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275"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276"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79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1 050</w:t>
            </w:r>
          </w:p>
        </w:tc>
      </w:tr>
      <w:tr w:rsidR="00081EB7"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 xml:space="preserve">Plant, equipment, vehicles and infrastructure systems </w:t>
            </w:r>
          </w:p>
        </w:tc>
        <w:tc>
          <w:tcPr>
            <w:tcW w:w="709"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60 363</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(2 212)</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(68)</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38</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(295)</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885</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2 074</w:t>
            </w:r>
          </w:p>
        </w:tc>
        <w:tc>
          <w:tcPr>
            <w:tcW w:w="1275"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34</w:t>
            </w:r>
          </w:p>
        </w:tc>
        <w:tc>
          <w:tcPr>
            <w:tcW w:w="1276"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(139)</w:t>
            </w:r>
          </w:p>
        </w:tc>
        <w:tc>
          <w:tcPr>
            <w:tcW w:w="79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60 679</w:t>
            </w:r>
          </w:p>
        </w:tc>
      </w:tr>
      <w:tr w:rsidR="00081EB7"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Infrastructure systems</w:t>
            </w:r>
          </w:p>
        </w:tc>
        <w:tc>
          <w:tcPr>
            <w:tcW w:w="709"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54 747</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(1 387)</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(56)</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22</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(284)</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381</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1 641</w:t>
            </w:r>
          </w:p>
        </w:tc>
        <w:tc>
          <w:tcPr>
            <w:tcW w:w="1275"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23</w:t>
            </w:r>
          </w:p>
        </w:tc>
        <w:tc>
          <w:tcPr>
            <w:tcW w:w="1276"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(13)</w:t>
            </w:r>
          </w:p>
        </w:tc>
        <w:tc>
          <w:tcPr>
            <w:tcW w:w="79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55 074</w:t>
            </w:r>
          </w:p>
        </w:tc>
      </w:tr>
      <w:tr w:rsidR="00081EB7"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Rolling stock</w:t>
            </w:r>
          </w:p>
        </w:tc>
        <w:tc>
          <w:tcPr>
            <w:tcW w:w="709"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2 267</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(131)</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(5)</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310</w:t>
            </w:r>
          </w:p>
        </w:tc>
        <w:tc>
          <w:tcPr>
            <w:tcW w:w="1275"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276"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79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2 440</w:t>
            </w:r>
          </w:p>
        </w:tc>
      </w:tr>
      <w:tr w:rsidR="00081EB7"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Plant, equipment and vehicles</w:t>
            </w:r>
          </w:p>
        </w:tc>
        <w:tc>
          <w:tcPr>
            <w:tcW w:w="709"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3 348</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(694)</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(13)</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16</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(5)</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504</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124</w:t>
            </w:r>
          </w:p>
        </w:tc>
        <w:tc>
          <w:tcPr>
            <w:tcW w:w="1275"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11</w:t>
            </w:r>
          </w:p>
        </w:tc>
        <w:tc>
          <w:tcPr>
            <w:tcW w:w="1276"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(126)</w:t>
            </w:r>
          </w:p>
        </w:tc>
        <w:tc>
          <w:tcPr>
            <w:tcW w:w="79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3 165</w:t>
            </w:r>
          </w:p>
        </w:tc>
      </w:tr>
      <w:tr w:rsidR="00081EB7"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Roads, road infrastructure and earthworks</w:t>
            </w:r>
          </w:p>
        </w:tc>
        <w:tc>
          <w:tcPr>
            <w:tcW w:w="709"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27 175</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(610)</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36</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(57)</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(38)</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326</w:t>
            </w:r>
          </w:p>
        </w:tc>
        <w:tc>
          <w:tcPr>
            <w:tcW w:w="1275"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1276"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79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26 832</w:t>
            </w:r>
          </w:p>
        </w:tc>
      </w:tr>
      <w:tr w:rsidR="00081EB7"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single" w:sz="6" w:space="0" w:color="auto"/>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Cultural assets</w:t>
            </w:r>
          </w:p>
        </w:tc>
        <w:tc>
          <w:tcPr>
            <w:tcW w:w="709"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3 632</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(15)</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109</w:t>
            </w:r>
          </w:p>
        </w:tc>
        <w:tc>
          <w:tcPr>
            <w:tcW w:w="992"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22</w:t>
            </w:r>
          </w:p>
        </w:tc>
        <w:tc>
          <w:tcPr>
            <w:tcW w:w="141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1275"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1276"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9</w:t>
            </w:r>
          </w:p>
        </w:tc>
        <w:tc>
          <w:tcPr>
            <w:tcW w:w="798"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3 757</w:t>
            </w:r>
          </w:p>
        </w:tc>
      </w:tr>
      <w:tr w:rsidR="00081EB7" w:rsidRPr="00746768" w:rsidTr="001753D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il"/>
              <w:bottom w:val="single" w:sz="12" w:space="0" w:color="auto"/>
            </w:tcBorders>
          </w:tcPr>
          <w:p w:rsidR="00BB6F1F" w:rsidRPr="00746768" w:rsidRDefault="00BB6F1F" w:rsidP="00204EB0">
            <w:pPr>
              <w:keepLines w:val="0"/>
              <w:autoSpaceDE w:val="0"/>
              <w:autoSpaceDN w:val="0"/>
              <w:adjustRightInd w:val="0"/>
              <w:spacing w:after="0"/>
              <w:rPr>
                <w:rFonts w:eastAsiaTheme="minorEastAsia" w:cs="Calibri"/>
                <w:bCs/>
                <w:color w:val="000000"/>
                <w:sz w:val="16"/>
                <w:szCs w:val="20"/>
                <w:lang w:eastAsia="en-AU"/>
              </w:rPr>
            </w:pPr>
            <w:r w:rsidRPr="00746768">
              <w:rPr>
                <w:rFonts w:eastAsiaTheme="minorEastAsia" w:cs="Calibri"/>
                <w:bCs/>
                <w:color w:val="000000"/>
                <w:sz w:val="16"/>
                <w:szCs w:val="20"/>
                <w:lang w:eastAsia="en-AU"/>
              </w:rPr>
              <w:t>Total</w:t>
            </w:r>
          </w:p>
        </w:tc>
        <w:tc>
          <w:tcPr>
            <w:tcW w:w="709" w:type="dxa"/>
            <w:tcBorders>
              <w:top w:val="single" w:sz="6" w:space="0" w:color="auto"/>
              <w:bottom w:val="single" w:sz="12" w:space="0" w:color="auto"/>
            </w:tcBorders>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sidRPr="00746768">
              <w:rPr>
                <w:rFonts w:eastAsiaTheme="minorEastAsia" w:cs="Calibri"/>
                <w:bCs/>
                <w:color w:val="000000"/>
                <w:sz w:val="16"/>
                <w:szCs w:val="20"/>
                <w:lang w:eastAsia="en-AU"/>
              </w:rPr>
              <w:t>176 014</w:t>
            </w:r>
          </w:p>
        </w:tc>
        <w:tc>
          <w:tcPr>
            <w:tcW w:w="992" w:type="dxa"/>
            <w:tcBorders>
              <w:top w:val="single" w:sz="6" w:space="0" w:color="auto"/>
              <w:bottom w:val="single" w:sz="12" w:space="0" w:color="auto"/>
            </w:tcBorders>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sidRPr="00746768">
              <w:rPr>
                <w:rFonts w:eastAsiaTheme="minorEastAsia" w:cs="Calibri"/>
                <w:bCs/>
                <w:color w:val="000000"/>
                <w:sz w:val="16"/>
                <w:szCs w:val="20"/>
                <w:lang w:eastAsia="en-AU"/>
              </w:rPr>
              <w:t>(4 287)</w:t>
            </w:r>
          </w:p>
        </w:tc>
        <w:tc>
          <w:tcPr>
            <w:tcW w:w="992" w:type="dxa"/>
            <w:tcBorders>
              <w:top w:val="single" w:sz="6" w:space="0" w:color="auto"/>
              <w:bottom w:val="single" w:sz="12" w:space="0" w:color="auto"/>
            </w:tcBorders>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Pr>
                <w:rFonts w:eastAsiaTheme="minorEastAsia" w:cs="Calibri"/>
                <w:bCs/>
                <w:color w:val="000000"/>
                <w:sz w:val="16"/>
                <w:szCs w:val="20"/>
                <w:lang w:eastAsia="en-AU"/>
              </w:rPr>
              <w:t>(81)</w:t>
            </w:r>
          </w:p>
        </w:tc>
        <w:tc>
          <w:tcPr>
            <w:tcW w:w="1418" w:type="dxa"/>
            <w:tcBorders>
              <w:top w:val="single" w:sz="6" w:space="0" w:color="auto"/>
              <w:bottom w:val="single" w:sz="12" w:space="0" w:color="auto"/>
            </w:tcBorders>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Pr>
                <w:rFonts w:eastAsiaTheme="minorEastAsia" w:cs="Calibri"/>
                <w:bCs/>
                <w:color w:val="000000"/>
                <w:sz w:val="16"/>
                <w:szCs w:val="20"/>
                <w:lang w:eastAsia="en-AU"/>
              </w:rPr>
              <w:t>107</w:t>
            </w:r>
          </w:p>
        </w:tc>
        <w:tc>
          <w:tcPr>
            <w:tcW w:w="992" w:type="dxa"/>
            <w:tcBorders>
              <w:top w:val="single" w:sz="6" w:space="0" w:color="auto"/>
              <w:bottom w:val="single" w:sz="12" w:space="0" w:color="auto"/>
            </w:tcBorders>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sidRPr="00746768">
              <w:rPr>
                <w:rFonts w:eastAsiaTheme="minorEastAsia" w:cs="Calibri"/>
                <w:bCs/>
                <w:color w:val="000000"/>
                <w:sz w:val="16"/>
                <w:szCs w:val="20"/>
                <w:lang w:eastAsia="en-AU"/>
              </w:rPr>
              <w:t>6 234</w:t>
            </w:r>
          </w:p>
        </w:tc>
        <w:tc>
          <w:tcPr>
            <w:tcW w:w="992" w:type="dxa"/>
            <w:tcBorders>
              <w:top w:val="single" w:sz="6" w:space="0" w:color="auto"/>
              <w:bottom w:val="single" w:sz="12" w:space="0" w:color="auto"/>
            </w:tcBorders>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sidRPr="00746768">
              <w:rPr>
                <w:rFonts w:eastAsiaTheme="minorEastAsia" w:cs="Calibri"/>
                <w:bCs/>
                <w:color w:val="000000"/>
                <w:sz w:val="16"/>
                <w:szCs w:val="20"/>
                <w:lang w:eastAsia="en-AU"/>
              </w:rPr>
              <w:t>1 491</w:t>
            </w:r>
          </w:p>
        </w:tc>
        <w:tc>
          <w:tcPr>
            <w:tcW w:w="1418" w:type="dxa"/>
            <w:tcBorders>
              <w:top w:val="single" w:sz="6" w:space="0" w:color="auto"/>
              <w:bottom w:val="single" w:sz="12" w:space="0" w:color="auto"/>
            </w:tcBorders>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sidRPr="00746768">
              <w:rPr>
                <w:rFonts w:eastAsiaTheme="minorEastAsia" w:cs="Calibri"/>
                <w:bCs/>
                <w:color w:val="000000"/>
                <w:sz w:val="16"/>
                <w:szCs w:val="20"/>
                <w:lang w:eastAsia="en-AU"/>
              </w:rPr>
              <w:t>3 689</w:t>
            </w:r>
          </w:p>
        </w:tc>
        <w:tc>
          <w:tcPr>
            <w:tcW w:w="1275" w:type="dxa"/>
            <w:tcBorders>
              <w:top w:val="single" w:sz="6" w:space="0" w:color="auto"/>
              <w:bottom w:val="single" w:sz="12" w:space="0" w:color="auto"/>
            </w:tcBorders>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Pr>
                <w:rFonts w:eastAsiaTheme="minorEastAsia" w:cs="Calibri"/>
                <w:bCs/>
                <w:color w:val="000000"/>
                <w:sz w:val="16"/>
                <w:szCs w:val="20"/>
                <w:lang w:eastAsia="en-AU"/>
              </w:rPr>
              <w:t>(169)</w:t>
            </w:r>
          </w:p>
        </w:tc>
        <w:tc>
          <w:tcPr>
            <w:tcW w:w="1276" w:type="dxa"/>
            <w:tcBorders>
              <w:top w:val="single" w:sz="6" w:space="0" w:color="auto"/>
              <w:bottom w:val="single" w:sz="12" w:space="0" w:color="auto"/>
            </w:tcBorders>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Pr>
                <w:rFonts w:eastAsiaTheme="minorEastAsia" w:cs="Calibri"/>
                <w:bCs/>
                <w:color w:val="000000"/>
                <w:sz w:val="16"/>
                <w:szCs w:val="20"/>
                <w:lang w:eastAsia="en-AU"/>
              </w:rPr>
              <w:t>29</w:t>
            </w:r>
          </w:p>
        </w:tc>
        <w:tc>
          <w:tcPr>
            <w:tcW w:w="798" w:type="dxa"/>
            <w:tcBorders>
              <w:top w:val="single" w:sz="6" w:space="0" w:color="auto"/>
              <w:bottom w:val="single" w:sz="12" w:space="0" w:color="auto"/>
            </w:tcBorders>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sidRPr="00746768">
              <w:rPr>
                <w:rFonts w:eastAsiaTheme="minorEastAsia" w:cs="Calibri"/>
                <w:bCs/>
                <w:color w:val="000000"/>
                <w:sz w:val="16"/>
                <w:szCs w:val="20"/>
                <w:lang w:eastAsia="en-AU"/>
              </w:rPr>
              <w:t>183 027</w:t>
            </w:r>
          </w:p>
        </w:tc>
      </w:tr>
    </w:tbl>
    <w:p w:rsidR="00BB6F1F" w:rsidRPr="00746768" w:rsidRDefault="00BB6F1F" w:rsidP="00204EB0">
      <w:pPr>
        <w:rPr>
          <w:bCs/>
          <w:lang w:val="en-US"/>
        </w:rPr>
      </w:pPr>
    </w:p>
    <w:tbl>
      <w:tblPr>
        <w:tblStyle w:val="DTFTable"/>
        <w:tblW w:w="14541" w:type="dxa"/>
        <w:tblInd w:w="45" w:type="dxa"/>
        <w:tblLayout w:type="fixed"/>
        <w:tblCellMar>
          <w:left w:w="45" w:type="dxa"/>
          <w:right w:w="45" w:type="dxa"/>
        </w:tblCellMar>
        <w:tblLook w:val="06E0" w:firstRow="1" w:lastRow="1" w:firstColumn="1" w:lastColumn="0" w:noHBand="1" w:noVBand="1"/>
      </w:tblPr>
      <w:tblGrid>
        <w:gridCol w:w="3686"/>
        <w:gridCol w:w="709"/>
        <w:gridCol w:w="992"/>
        <w:gridCol w:w="992"/>
        <w:gridCol w:w="1418"/>
        <w:gridCol w:w="992"/>
        <w:gridCol w:w="992"/>
        <w:gridCol w:w="1418"/>
        <w:gridCol w:w="1275"/>
        <w:gridCol w:w="1276"/>
        <w:gridCol w:w="791"/>
      </w:tblGrid>
      <w:tr w:rsidR="00BB6F1F" w:rsidRPr="00746768" w:rsidTr="001753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ind w:left="173" w:hanging="173"/>
              <w:rPr>
                <w:rFonts w:eastAsiaTheme="minorEastAsia" w:cs="Calibri"/>
                <w:iCs/>
                <w:color w:val="FFFFFF"/>
                <w:sz w:val="16"/>
                <w:szCs w:val="20"/>
                <w:lang w:eastAsia="en-AU"/>
              </w:rPr>
            </w:pPr>
            <w:r w:rsidRPr="00746768">
              <w:rPr>
                <w:rFonts w:eastAsiaTheme="minorEastAsia" w:cs="Calibri"/>
                <w:iCs/>
                <w:color w:val="FFFFFF"/>
                <w:sz w:val="16"/>
                <w:szCs w:val="20"/>
                <w:lang w:eastAsia="en-AU"/>
              </w:rPr>
              <w:t>2016</w:t>
            </w:r>
          </w:p>
        </w:tc>
        <w:tc>
          <w:tcPr>
            <w:tcW w:w="709"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Opening balance</w:t>
            </w:r>
          </w:p>
        </w:tc>
        <w:tc>
          <w:tcPr>
            <w:tcW w:w="992"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Depreciation</w:t>
            </w:r>
          </w:p>
        </w:tc>
        <w:tc>
          <w:tcPr>
            <w:tcW w:w="992"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Impairment</w:t>
            </w:r>
          </w:p>
        </w:tc>
        <w:tc>
          <w:tcPr>
            <w:tcW w:w="1418"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vertAlign w:val="superscript"/>
                <w:lang w:eastAsia="en-AU"/>
              </w:rPr>
            </w:pPr>
            <w:r w:rsidRPr="00746768">
              <w:rPr>
                <w:rFonts w:eastAsiaTheme="minorEastAsia" w:cs="Calibri"/>
                <w:iCs/>
                <w:color w:val="FFFFFF"/>
                <w:sz w:val="16"/>
                <w:szCs w:val="20"/>
                <w:lang w:eastAsia="en-AU"/>
              </w:rPr>
              <w:t>Assets recognised for the first time</w:t>
            </w:r>
            <w:r>
              <w:rPr>
                <w:rFonts w:eastAsiaTheme="minorEastAsia" w:cs="Calibri"/>
                <w:iCs/>
                <w:color w:val="FFFFFF"/>
                <w:sz w:val="16"/>
                <w:szCs w:val="20"/>
                <w:lang w:eastAsia="en-AU"/>
              </w:rPr>
              <w:t xml:space="preserve"> </w:t>
            </w:r>
            <w:r w:rsidRPr="00746768">
              <w:rPr>
                <w:rFonts w:eastAsiaTheme="minorEastAsia" w:cs="Calibri"/>
                <w:iCs/>
                <w:color w:val="FFFFFF"/>
                <w:sz w:val="16"/>
                <w:szCs w:val="20"/>
                <w:vertAlign w:val="superscript"/>
                <w:lang w:eastAsia="en-AU"/>
              </w:rPr>
              <w:t>(a)</w:t>
            </w:r>
          </w:p>
        </w:tc>
        <w:tc>
          <w:tcPr>
            <w:tcW w:w="992"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Revaluation</w:t>
            </w:r>
          </w:p>
        </w:tc>
        <w:tc>
          <w:tcPr>
            <w:tcW w:w="992"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vertAlign w:val="superscript"/>
                <w:lang w:eastAsia="en-AU"/>
              </w:rPr>
            </w:pPr>
            <w:r w:rsidRPr="00746768">
              <w:rPr>
                <w:rFonts w:eastAsiaTheme="minorEastAsia" w:cs="Calibri"/>
                <w:iCs/>
                <w:color w:val="FFFFFF"/>
                <w:sz w:val="16"/>
                <w:szCs w:val="20"/>
                <w:lang w:eastAsia="en-AU"/>
              </w:rPr>
              <w:t>Acquisitions/ (Disposals)</w:t>
            </w:r>
            <w:r>
              <w:rPr>
                <w:rFonts w:eastAsiaTheme="minorEastAsia" w:cs="Calibri"/>
                <w:iCs/>
                <w:color w:val="FFFFFF"/>
                <w:sz w:val="16"/>
                <w:szCs w:val="20"/>
                <w:lang w:eastAsia="en-AU"/>
              </w:rPr>
              <w:t xml:space="preserve"> </w:t>
            </w:r>
            <w:r w:rsidRPr="00746768">
              <w:rPr>
                <w:rFonts w:eastAsiaTheme="minorEastAsia" w:cs="Calibri"/>
                <w:iCs/>
                <w:color w:val="FFFFFF"/>
                <w:sz w:val="16"/>
                <w:szCs w:val="20"/>
                <w:vertAlign w:val="superscript"/>
                <w:lang w:eastAsia="en-AU"/>
              </w:rPr>
              <w:t>(a)</w:t>
            </w:r>
          </w:p>
        </w:tc>
        <w:tc>
          <w:tcPr>
            <w:tcW w:w="1418"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vertAlign w:val="superscript"/>
                <w:lang w:eastAsia="en-AU"/>
              </w:rPr>
            </w:pPr>
            <w:r w:rsidRPr="00746768">
              <w:rPr>
                <w:rFonts w:eastAsiaTheme="minorEastAsia" w:cs="Calibri"/>
                <w:iCs/>
                <w:color w:val="FFFFFF"/>
                <w:sz w:val="16"/>
                <w:szCs w:val="20"/>
                <w:lang w:eastAsia="en-AU"/>
              </w:rPr>
              <w:t>Capitalisation of work-in-progress</w:t>
            </w:r>
            <w:r>
              <w:rPr>
                <w:rFonts w:eastAsiaTheme="minorEastAsia" w:cs="Calibri"/>
                <w:iCs/>
                <w:color w:val="FFFFFF"/>
                <w:sz w:val="16"/>
                <w:szCs w:val="20"/>
                <w:lang w:eastAsia="en-AU"/>
              </w:rPr>
              <w:t xml:space="preserve"> </w:t>
            </w:r>
            <w:r w:rsidRPr="00746768">
              <w:rPr>
                <w:rFonts w:eastAsiaTheme="minorEastAsia" w:cs="Calibri"/>
                <w:iCs/>
                <w:color w:val="FFFFFF"/>
                <w:sz w:val="16"/>
                <w:szCs w:val="20"/>
                <w:vertAlign w:val="superscript"/>
                <w:lang w:eastAsia="en-AU"/>
              </w:rPr>
              <w:t>(a)</w:t>
            </w:r>
          </w:p>
        </w:tc>
        <w:tc>
          <w:tcPr>
            <w:tcW w:w="1275"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Transfers in/out of Level 3</w:t>
            </w:r>
          </w:p>
        </w:tc>
        <w:tc>
          <w:tcPr>
            <w:tcW w:w="1276"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vertAlign w:val="superscript"/>
                <w:lang w:eastAsia="en-AU"/>
              </w:rPr>
            </w:pPr>
            <w:r w:rsidRPr="00746768">
              <w:rPr>
                <w:rFonts w:eastAsiaTheme="minorEastAsia" w:cs="Calibri"/>
                <w:iCs/>
                <w:color w:val="FFFFFF"/>
                <w:sz w:val="16"/>
                <w:szCs w:val="20"/>
                <w:lang w:eastAsia="en-AU"/>
              </w:rPr>
              <w:t>Reclassification</w:t>
            </w:r>
            <w:r>
              <w:rPr>
                <w:rFonts w:eastAsiaTheme="minorEastAsia" w:cs="Calibri"/>
                <w:iCs/>
                <w:color w:val="FFFFFF"/>
                <w:sz w:val="16"/>
                <w:szCs w:val="20"/>
                <w:lang w:eastAsia="en-AU"/>
              </w:rPr>
              <w:t xml:space="preserve"> </w:t>
            </w:r>
            <w:r w:rsidRPr="00746768">
              <w:rPr>
                <w:rFonts w:eastAsiaTheme="minorEastAsia" w:cs="Calibri"/>
                <w:iCs/>
                <w:color w:val="FFFFFF"/>
                <w:sz w:val="16"/>
                <w:szCs w:val="20"/>
                <w:vertAlign w:val="superscript"/>
                <w:lang w:eastAsia="en-AU"/>
              </w:rPr>
              <w:t>(a)</w:t>
            </w:r>
          </w:p>
        </w:tc>
        <w:tc>
          <w:tcPr>
            <w:tcW w:w="791"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Closing balance</w:t>
            </w:r>
          </w:p>
        </w:tc>
      </w:tr>
      <w:tr w:rsidR="00BB6F1F"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746768" w:rsidRDefault="00BB6F1F" w:rsidP="00204EB0">
            <w:pPr>
              <w:keepLines w:val="0"/>
              <w:autoSpaceDE w:val="0"/>
              <w:autoSpaceDN w:val="0"/>
              <w:adjustRightInd w:val="0"/>
              <w:spacing w:after="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Buildings</w:t>
            </w:r>
          </w:p>
        </w:tc>
        <w:tc>
          <w:tcPr>
            <w:tcW w:w="7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31 386</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(1 170)</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67</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2 380</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(94)</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1 021</w:t>
            </w:r>
          </w:p>
        </w:tc>
        <w:tc>
          <w:tcPr>
            <w:tcW w:w="1275"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72</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27</w:t>
            </w:r>
          </w:p>
        </w:tc>
        <w:tc>
          <w:tcPr>
            <w:tcW w:w="791"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33 687</w:t>
            </w:r>
          </w:p>
        </w:tc>
      </w:tr>
      <w:tr w:rsidR="00BB6F1F"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Non-specialised buildings</w:t>
            </w:r>
          </w:p>
        </w:tc>
        <w:tc>
          <w:tcPr>
            <w:tcW w:w="7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2 821</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(84)</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52</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91</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(751)</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275"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19</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(11)</w:t>
            </w:r>
          </w:p>
        </w:tc>
        <w:tc>
          <w:tcPr>
            <w:tcW w:w="791"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2 138</w:t>
            </w:r>
          </w:p>
        </w:tc>
      </w:tr>
      <w:tr w:rsidR="00BB6F1F"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Specialised buildings</w:t>
            </w:r>
          </w:p>
        </w:tc>
        <w:tc>
          <w:tcPr>
            <w:tcW w:w="7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27 662</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(1 055)</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15</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2 043</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632</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1 021</w:t>
            </w:r>
          </w:p>
        </w:tc>
        <w:tc>
          <w:tcPr>
            <w:tcW w:w="1275"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14</w:t>
            </w:r>
          </w:p>
        </w:tc>
        <w:tc>
          <w:tcPr>
            <w:tcW w:w="1276" w:type="dxa"/>
            <w:tcBorders>
              <w:top w:val="nil"/>
              <w:left w:val="nil"/>
              <w:bottom w:val="nil"/>
              <w:right w:val="nil"/>
            </w:tcBorders>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40</w:t>
            </w:r>
          </w:p>
        </w:tc>
        <w:tc>
          <w:tcPr>
            <w:tcW w:w="791"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30 372</w:t>
            </w:r>
          </w:p>
        </w:tc>
      </w:tr>
      <w:tr w:rsidR="00BB6F1F"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Heritage buildings</w:t>
            </w:r>
          </w:p>
        </w:tc>
        <w:tc>
          <w:tcPr>
            <w:tcW w:w="7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902</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(31)</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245</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25</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275"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39</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(3)</w:t>
            </w:r>
          </w:p>
        </w:tc>
        <w:tc>
          <w:tcPr>
            <w:tcW w:w="791"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1 177</w:t>
            </w:r>
          </w:p>
        </w:tc>
      </w:tr>
      <w:tr w:rsidR="00BB6F1F"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746768" w:rsidRDefault="00BB6F1F" w:rsidP="00204EB0">
            <w:pPr>
              <w:keepLines w:val="0"/>
              <w:autoSpaceDE w:val="0"/>
              <w:autoSpaceDN w:val="0"/>
              <w:adjustRightInd w:val="0"/>
              <w:spacing w:after="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Land and national parks</w:t>
            </w:r>
          </w:p>
        </w:tc>
        <w:tc>
          <w:tcPr>
            <w:tcW w:w="7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48 528</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(54)</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53</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4 692</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(144)</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31</w:t>
            </w:r>
          </w:p>
        </w:tc>
        <w:tc>
          <w:tcPr>
            <w:tcW w:w="1275"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(1 935)</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(12)</w:t>
            </w:r>
          </w:p>
        </w:tc>
        <w:tc>
          <w:tcPr>
            <w:tcW w:w="791"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51 157</w:t>
            </w:r>
          </w:p>
        </w:tc>
      </w:tr>
      <w:tr w:rsidR="00BB6F1F"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Non-specialised land</w:t>
            </w:r>
          </w:p>
        </w:tc>
        <w:tc>
          <w:tcPr>
            <w:tcW w:w="7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1 998</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56</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(293)</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275"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(17)</w:t>
            </w:r>
          </w:p>
        </w:tc>
        <w:tc>
          <w:tcPr>
            <w:tcW w:w="791"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1 746</w:t>
            </w:r>
          </w:p>
        </w:tc>
      </w:tr>
      <w:tr w:rsidR="00BB6F1F"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Specialised land</w:t>
            </w:r>
          </w:p>
        </w:tc>
        <w:tc>
          <w:tcPr>
            <w:tcW w:w="7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27 667</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(54)</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51</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4 664</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145</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31</w:t>
            </w:r>
          </w:p>
        </w:tc>
        <w:tc>
          <w:tcPr>
            <w:tcW w:w="1275"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(1 935)</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(5)</w:t>
            </w:r>
          </w:p>
        </w:tc>
        <w:tc>
          <w:tcPr>
            <w:tcW w:w="791"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30 563</w:t>
            </w:r>
          </w:p>
        </w:tc>
      </w:tr>
      <w:tr w:rsidR="00BB6F1F"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Land under roads</w:t>
            </w:r>
          </w:p>
        </w:tc>
        <w:tc>
          <w:tcPr>
            <w:tcW w:w="7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17 801</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275"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10</w:t>
            </w:r>
          </w:p>
        </w:tc>
        <w:tc>
          <w:tcPr>
            <w:tcW w:w="791"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17 811</w:t>
            </w:r>
          </w:p>
        </w:tc>
      </w:tr>
      <w:tr w:rsidR="00BB6F1F"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National parks and other </w:t>
            </w:r>
            <w:r w:rsidR="00204EB0">
              <w:rPr>
                <w:rFonts w:eastAsiaTheme="minorEastAsia" w:cs="Calibri"/>
                <w:color w:val="000000"/>
                <w:sz w:val="16"/>
                <w:szCs w:val="20"/>
                <w:lang w:eastAsia="en-AU"/>
              </w:rPr>
              <w:t>‘</w:t>
            </w:r>
            <w:r w:rsidRPr="00746768">
              <w:rPr>
                <w:rFonts w:eastAsiaTheme="minorEastAsia" w:cs="Calibri"/>
                <w:color w:val="000000"/>
                <w:sz w:val="16"/>
                <w:szCs w:val="20"/>
                <w:lang w:eastAsia="en-AU"/>
              </w:rPr>
              <w:t>land only</w:t>
            </w:r>
            <w:r w:rsidR="00204EB0">
              <w:rPr>
                <w:rFonts w:eastAsiaTheme="minorEastAsia" w:cs="Calibri"/>
                <w:color w:val="000000"/>
                <w:sz w:val="16"/>
                <w:szCs w:val="20"/>
                <w:lang w:eastAsia="en-AU"/>
              </w:rPr>
              <w:t>’</w:t>
            </w:r>
            <w:r w:rsidRPr="00746768">
              <w:rPr>
                <w:rFonts w:eastAsiaTheme="minorEastAsia" w:cs="Calibri"/>
                <w:color w:val="000000"/>
                <w:sz w:val="16"/>
                <w:szCs w:val="20"/>
                <w:lang w:eastAsia="en-AU"/>
              </w:rPr>
              <w:t xml:space="preserve"> holdings</w:t>
            </w:r>
          </w:p>
        </w:tc>
        <w:tc>
          <w:tcPr>
            <w:tcW w:w="7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1 062</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(29)</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4</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275"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791"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1 036</w:t>
            </w:r>
          </w:p>
        </w:tc>
      </w:tr>
      <w:tr w:rsidR="00BB6F1F"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746768" w:rsidRDefault="00BB6F1F" w:rsidP="00204EB0">
            <w:pPr>
              <w:keepLines w:val="0"/>
              <w:autoSpaceDE w:val="0"/>
              <w:autoSpaceDN w:val="0"/>
              <w:adjustRightInd w:val="0"/>
              <w:spacing w:after="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Plant, equipment, vehicles and infrastructure systems</w:t>
            </w:r>
          </w:p>
        </w:tc>
        <w:tc>
          <w:tcPr>
            <w:tcW w:w="7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53 534</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(2 032)</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(2)</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57</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6 495</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414</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1 916</w:t>
            </w:r>
          </w:p>
        </w:tc>
        <w:tc>
          <w:tcPr>
            <w:tcW w:w="1275"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47</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(66)</w:t>
            </w:r>
          </w:p>
        </w:tc>
        <w:tc>
          <w:tcPr>
            <w:tcW w:w="791"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60 363</w:t>
            </w:r>
          </w:p>
        </w:tc>
      </w:tr>
      <w:tr w:rsidR="00BB6F1F"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Infrastructure systems</w:t>
            </w:r>
          </w:p>
        </w:tc>
        <w:tc>
          <w:tcPr>
            <w:tcW w:w="7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47 727</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(1 294)</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3</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6 498</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300</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1 498</w:t>
            </w:r>
          </w:p>
        </w:tc>
        <w:tc>
          <w:tcPr>
            <w:tcW w:w="1275"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27</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(10)</w:t>
            </w:r>
          </w:p>
        </w:tc>
        <w:tc>
          <w:tcPr>
            <w:tcW w:w="791"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54 747</w:t>
            </w:r>
          </w:p>
        </w:tc>
      </w:tr>
      <w:tr w:rsidR="00BB6F1F"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Rolling stock</w:t>
            </w:r>
          </w:p>
        </w:tc>
        <w:tc>
          <w:tcPr>
            <w:tcW w:w="7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2 126</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(159)</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300</w:t>
            </w:r>
          </w:p>
        </w:tc>
        <w:tc>
          <w:tcPr>
            <w:tcW w:w="1275"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791"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2 267</w:t>
            </w:r>
          </w:p>
        </w:tc>
      </w:tr>
      <w:tr w:rsidR="00BB6F1F"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Plant, equipment and vehicles</w:t>
            </w:r>
          </w:p>
        </w:tc>
        <w:tc>
          <w:tcPr>
            <w:tcW w:w="7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3 681</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(579)</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54</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(3)</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114</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118</w:t>
            </w:r>
          </w:p>
        </w:tc>
        <w:tc>
          <w:tcPr>
            <w:tcW w:w="1275"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20</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(56)</w:t>
            </w:r>
          </w:p>
        </w:tc>
        <w:tc>
          <w:tcPr>
            <w:tcW w:w="791"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3 348</w:t>
            </w:r>
          </w:p>
        </w:tc>
      </w:tr>
      <w:tr w:rsidR="00BB6F1F"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rsidR="00BB6F1F" w:rsidRPr="00746768" w:rsidRDefault="00BB6F1F" w:rsidP="00204EB0">
            <w:pPr>
              <w:keepLines w:val="0"/>
              <w:autoSpaceDE w:val="0"/>
              <w:autoSpaceDN w:val="0"/>
              <w:adjustRightInd w:val="0"/>
              <w:spacing w:after="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Roads, road infrastructure and earthworks</w:t>
            </w:r>
          </w:p>
        </w:tc>
        <w:tc>
          <w:tcPr>
            <w:tcW w:w="7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26 864</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(608)</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(48)</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(201)</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386</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782</w:t>
            </w:r>
          </w:p>
        </w:tc>
        <w:tc>
          <w:tcPr>
            <w:tcW w:w="1275"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791"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27 175</w:t>
            </w:r>
          </w:p>
        </w:tc>
      </w:tr>
      <w:tr w:rsidR="00BB6F1F" w:rsidRPr="00746768" w:rsidTr="001753D7">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Cultural assets</w:t>
            </w:r>
          </w:p>
        </w:tc>
        <w:tc>
          <w:tcPr>
            <w:tcW w:w="7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2 122</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(12)</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(86)</w:t>
            </w:r>
          </w:p>
        </w:tc>
        <w:tc>
          <w:tcPr>
            <w:tcW w:w="99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2</w:t>
            </w:r>
          </w:p>
        </w:tc>
        <w:tc>
          <w:tcPr>
            <w:tcW w:w="14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1275"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1 557</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48</w:t>
            </w:r>
          </w:p>
        </w:tc>
        <w:tc>
          <w:tcPr>
            <w:tcW w:w="791"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3 632</w:t>
            </w:r>
          </w:p>
        </w:tc>
      </w:tr>
      <w:tr w:rsidR="00BB6F1F" w:rsidRPr="00746768" w:rsidTr="001753D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rsidR="00BB6F1F" w:rsidRPr="00746768" w:rsidRDefault="00BB6F1F" w:rsidP="00204EB0">
            <w:pPr>
              <w:keepLines w:val="0"/>
              <w:autoSpaceDE w:val="0"/>
              <w:autoSpaceDN w:val="0"/>
              <w:adjustRightInd w:val="0"/>
              <w:spacing w:after="0"/>
              <w:rPr>
                <w:rFonts w:eastAsiaTheme="minorEastAsia" w:cs="Calibri"/>
                <w:bCs/>
                <w:color w:val="000000"/>
                <w:sz w:val="16"/>
                <w:szCs w:val="20"/>
                <w:lang w:eastAsia="en-AU"/>
              </w:rPr>
            </w:pPr>
            <w:r w:rsidRPr="00746768">
              <w:rPr>
                <w:rFonts w:eastAsiaTheme="minorEastAsia" w:cs="Calibri"/>
                <w:bCs/>
                <w:color w:val="000000"/>
                <w:sz w:val="16"/>
                <w:szCs w:val="20"/>
                <w:lang w:eastAsia="en-AU"/>
              </w:rPr>
              <w:t>Total</w:t>
            </w:r>
          </w:p>
        </w:tc>
        <w:tc>
          <w:tcPr>
            <w:tcW w:w="709" w:type="dxa"/>
            <w:tcBorders>
              <w:top w:val="single" w:sz="6" w:space="0" w:color="auto"/>
              <w:bottom w:val="single" w:sz="12" w:space="0" w:color="auto"/>
            </w:tcBorders>
            <w:shd w:val="solid" w:color="FFFFFF" w:fill="auto"/>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sidRPr="00746768">
              <w:rPr>
                <w:rFonts w:eastAsiaTheme="minorEastAsia" w:cs="Calibri"/>
                <w:bCs/>
                <w:color w:val="000000"/>
                <w:sz w:val="16"/>
                <w:szCs w:val="20"/>
                <w:lang w:eastAsia="en-AU"/>
              </w:rPr>
              <w:t>162 433</w:t>
            </w:r>
          </w:p>
        </w:tc>
        <w:tc>
          <w:tcPr>
            <w:tcW w:w="992" w:type="dxa"/>
            <w:tcBorders>
              <w:top w:val="single" w:sz="6" w:space="0" w:color="auto"/>
              <w:bottom w:val="single" w:sz="12" w:space="0" w:color="auto"/>
            </w:tcBorders>
            <w:shd w:val="solid" w:color="FFFFFF" w:fill="auto"/>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sidRPr="00746768">
              <w:rPr>
                <w:rFonts w:eastAsiaTheme="minorEastAsia" w:cs="Calibri"/>
                <w:bCs/>
                <w:color w:val="000000"/>
                <w:sz w:val="16"/>
                <w:szCs w:val="20"/>
                <w:lang w:eastAsia="en-AU"/>
              </w:rPr>
              <w:t>(3 821)</w:t>
            </w:r>
          </w:p>
        </w:tc>
        <w:tc>
          <w:tcPr>
            <w:tcW w:w="992" w:type="dxa"/>
            <w:tcBorders>
              <w:top w:val="single" w:sz="6" w:space="0" w:color="auto"/>
              <w:bottom w:val="single" w:sz="12" w:space="0" w:color="auto"/>
            </w:tcBorders>
            <w:shd w:val="solid" w:color="FFFFFF" w:fill="auto"/>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Pr>
                <w:rFonts w:eastAsiaTheme="minorEastAsia" w:cs="Calibri"/>
                <w:bCs/>
                <w:color w:val="000000"/>
                <w:sz w:val="16"/>
                <w:szCs w:val="20"/>
                <w:lang w:eastAsia="en-AU"/>
              </w:rPr>
              <w:t>(105)</w:t>
            </w:r>
          </w:p>
        </w:tc>
        <w:tc>
          <w:tcPr>
            <w:tcW w:w="1418" w:type="dxa"/>
            <w:tcBorders>
              <w:top w:val="single" w:sz="6" w:space="0" w:color="auto"/>
              <w:bottom w:val="single" w:sz="12" w:space="0" w:color="auto"/>
            </w:tcBorders>
            <w:shd w:val="solid" w:color="FFFFFF" w:fill="auto"/>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Pr>
                <w:rFonts w:eastAsiaTheme="minorEastAsia" w:cs="Calibri"/>
                <w:bCs/>
                <w:color w:val="000000"/>
                <w:sz w:val="16"/>
                <w:szCs w:val="20"/>
                <w:lang w:eastAsia="en-AU"/>
              </w:rPr>
              <w:t>176</w:t>
            </w:r>
          </w:p>
        </w:tc>
        <w:tc>
          <w:tcPr>
            <w:tcW w:w="992" w:type="dxa"/>
            <w:tcBorders>
              <w:top w:val="single" w:sz="6" w:space="0" w:color="auto"/>
              <w:bottom w:val="single" w:sz="12" w:space="0" w:color="auto"/>
            </w:tcBorders>
            <w:shd w:val="solid" w:color="FFFFFF" w:fill="auto"/>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sidRPr="00746768">
              <w:rPr>
                <w:rFonts w:eastAsiaTheme="minorEastAsia" w:cs="Calibri"/>
                <w:bCs/>
                <w:color w:val="000000"/>
                <w:sz w:val="16"/>
                <w:szCs w:val="20"/>
                <w:lang w:eastAsia="en-AU"/>
              </w:rPr>
              <w:t>13 279</w:t>
            </w:r>
          </w:p>
        </w:tc>
        <w:tc>
          <w:tcPr>
            <w:tcW w:w="992" w:type="dxa"/>
            <w:tcBorders>
              <w:top w:val="single" w:sz="6" w:space="0" w:color="auto"/>
              <w:bottom w:val="single" w:sz="12" w:space="0" w:color="auto"/>
            </w:tcBorders>
            <w:shd w:val="solid" w:color="FFFFFF" w:fill="auto"/>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Pr>
                <w:rFonts w:eastAsiaTheme="minorEastAsia" w:cs="Calibri"/>
                <w:bCs/>
                <w:color w:val="000000"/>
                <w:sz w:val="16"/>
                <w:szCs w:val="20"/>
                <w:lang w:eastAsia="en-AU"/>
              </w:rPr>
              <w:t>564</w:t>
            </w:r>
          </w:p>
        </w:tc>
        <w:tc>
          <w:tcPr>
            <w:tcW w:w="1418" w:type="dxa"/>
            <w:tcBorders>
              <w:top w:val="single" w:sz="6" w:space="0" w:color="auto"/>
              <w:bottom w:val="single" w:sz="12" w:space="0" w:color="auto"/>
            </w:tcBorders>
            <w:shd w:val="solid" w:color="FFFFFF" w:fill="auto"/>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sidRPr="00746768">
              <w:rPr>
                <w:rFonts w:eastAsiaTheme="minorEastAsia" w:cs="Calibri"/>
                <w:bCs/>
                <w:color w:val="000000"/>
                <w:sz w:val="16"/>
                <w:szCs w:val="20"/>
                <w:lang w:eastAsia="en-AU"/>
              </w:rPr>
              <w:t>3 750</w:t>
            </w:r>
          </w:p>
        </w:tc>
        <w:tc>
          <w:tcPr>
            <w:tcW w:w="1275" w:type="dxa"/>
            <w:tcBorders>
              <w:top w:val="single" w:sz="6" w:space="0" w:color="auto"/>
              <w:bottom w:val="single" w:sz="12" w:space="0" w:color="auto"/>
            </w:tcBorders>
            <w:shd w:val="solid" w:color="FFFFFF" w:fill="auto"/>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Pr>
                <w:rFonts w:eastAsiaTheme="minorEastAsia" w:cs="Calibri"/>
                <w:bCs/>
                <w:color w:val="000000"/>
                <w:sz w:val="16"/>
                <w:szCs w:val="20"/>
                <w:lang w:eastAsia="en-AU"/>
              </w:rPr>
              <w:t>(260)</w:t>
            </w:r>
          </w:p>
        </w:tc>
        <w:tc>
          <w:tcPr>
            <w:tcW w:w="1276" w:type="dxa"/>
            <w:tcBorders>
              <w:top w:val="single" w:sz="6" w:space="0" w:color="auto"/>
              <w:bottom w:val="single" w:sz="12" w:space="0" w:color="auto"/>
            </w:tcBorders>
            <w:shd w:val="solid" w:color="FFFFFF" w:fill="auto"/>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Pr>
                <w:rFonts w:eastAsiaTheme="minorEastAsia" w:cs="Calibri"/>
                <w:bCs/>
                <w:color w:val="000000"/>
                <w:sz w:val="16"/>
                <w:szCs w:val="20"/>
                <w:lang w:eastAsia="en-AU"/>
              </w:rPr>
              <w:t>(3)</w:t>
            </w:r>
          </w:p>
        </w:tc>
        <w:tc>
          <w:tcPr>
            <w:tcW w:w="791" w:type="dxa"/>
            <w:tcBorders>
              <w:top w:val="single" w:sz="6" w:space="0" w:color="auto"/>
              <w:bottom w:val="single" w:sz="12" w:space="0" w:color="auto"/>
            </w:tcBorders>
            <w:shd w:val="solid" w:color="FFFFFF" w:fill="auto"/>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sidRPr="00746768">
              <w:rPr>
                <w:rFonts w:eastAsiaTheme="minorEastAsia" w:cs="Calibri"/>
                <w:bCs/>
                <w:color w:val="000000"/>
                <w:sz w:val="16"/>
                <w:szCs w:val="20"/>
                <w:lang w:eastAsia="en-AU"/>
              </w:rPr>
              <w:t>176 014</w:t>
            </w:r>
          </w:p>
        </w:tc>
      </w:tr>
    </w:tbl>
    <w:p w:rsidR="00BB6F1F" w:rsidRDefault="00BB6F1F" w:rsidP="00AC68FF">
      <w:pPr>
        <w:pStyle w:val="Note"/>
      </w:pPr>
      <w:r>
        <w:t>Note:</w:t>
      </w:r>
    </w:p>
    <w:p w:rsidR="00BB6F1F" w:rsidRDefault="00BB6F1F" w:rsidP="00AC68FF">
      <w:pPr>
        <w:pStyle w:val="Note"/>
      </w:pPr>
      <w:r>
        <w:t>(a)</w:t>
      </w:r>
      <w:r>
        <w:tab/>
      </w:r>
      <w:r w:rsidRPr="00AF5DF9">
        <w:t xml:space="preserve">June 2016 comparative figures have been </w:t>
      </w:r>
      <w:r>
        <w:t>restated to more accurately reflect the nature of transactions.</w:t>
      </w:r>
      <w:r w:rsidRPr="00AF5DF9">
        <w:t xml:space="preserve">  </w:t>
      </w:r>
    </w:p>
    <w:p w:rsidR="00BB6F1F" w:rsidRPr="00746768" w:rsidRDefault="00BB6F1F" w:rsidP="00AC68FF">
      <w:pPr>
        <w:pStyle w:val="TableHeading"/>
        <w:rPr>
          <w:bCs/>
          <w:lang w:val="en-US"/>
        </w:rPr>
      </w:pPr>
      <w:r w:rsidRPr="003F0F11">
        <w:lastRenderedPageBreak/>
        <w:t xml:space="preserve">Reconciliation of Level 3 fair value movements </w:t>
      </w:r>
      <w:r w:rsidRPr="003F0F11">
        <w:rPr>
          <w:i/>
        </w:rPr>
        <w:t>(continued)</w:t>
      </w:r>
      <w:r w:rsidRPr="003F0F11">
        <w:tab/>
      </w:r>
      <w:r w:rsidRPr="003F0F11">
        <w:tab/>
        <w:t>($ million)</w:t>
      </w:r>
    </w:p>
    <w:tbl>
      <w:tblPr>
        <w:tblStyle w:val="DTFTable"/>
        <w:tblW w:w="14570" w:type="dxa"/>
        <w:tblInd w:w="45" w:type="dxa"/>
        <w:tblLayout w:type="fixed"/>
        <w:tblCellMar>
          <w:left w:w="45" w:type="dxa"/>
          <w:right w:w="45" w:type="dxa"/>
        </w:tblCellMar>
        <w:tblLook w:val="06E0" w:firstRow="1" w:lastRow="1" w:firstColumn="1" w:lastColumn="0" w:noHBand="1" w:noVBand="1"/>
      </w:tblPr>
      <w:tblGrid>
        <w:gridCol w:w="3318"/>
        <w:gridCol w:w="686"/>
        <w:gridCol w:w="1022"/>
        <w:gridCol w:w="909"/>
        <w:gridCol w:w="1064"/>
        <w:gridCol w:w="980"/>
        <w:gridCol w:w="1008"/>
        <w:gridCol w:w="1064"/>
        <w:gridCol w:w="1573"/>
        <w:gridCol w:w="850"/>
        <w:gridCol w:w="1276"/>
        <w:gridCol w:w="820"/>
      </w:tblGrid>
      <w:tr w:rsidR="001753D7" w:rsidRPr="00746768" w:rsidTr="001753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shd w:val="solid" w:color="000000" w:fill="auto"/>
          </w:tcPr>
          <w:p w:rsidR="00BB6F1F" w:rsidRDefault="00BB6F1F" w:rsidP="00204EB0">
            <w:pPr>
              <w:autoSpaceDE w:val="0"/>
              <w:autoSpaceDN w:val="0"/>
              <w:adjustRightInd w:val="0"/>
              <w:spacing w:after="0"/>
              <w:rPr>
                <w:rFonts w:eastAsiaTheme="minorEastAsia" w:cs="Calibri"/>
                <w:iCs/>
                <w:color w:val="FFFFFF"/>
                <w:sz w:val="16"/>
                <w:szCs w:val="20"/>
                <w:lang w:eastAsia="en-AU"/>
              </w:rPr>
            </w:pPr>
            <w:r w:rsidRPr="00746768">
              <w:rPr>
                <w:rFonts w:eastAsiaTheme="minorEastAsia" w:cs="Calibri"/>
                <w:iCs/>
                <w:color w:val="FFFFFF"/>
                <w:sz w:val="16"/>
                <w:szCs w:val="20"/>
                <w:lang w:eastAsia="en-AU"/>
              </w:rPr>
              <w:t>General government sector</w:t>
            </w:r>
          </w:p>
          <w:p w:rsidR="00A441A5" w:rsidRPr="00746768" w:rsidRDefault="00A441A5" w:rsidP="00204EB0">
            <w:pPr>
              <w:autoSpaceDE w:val="0"/>
              <w:autoSpaceDN w:val="0"/>
              <w:adjustRightInd w:val="0"/>
              <w:spacing w:after="0"/>
              <w:rPr>
                <w:rFonts w:eastAsiaTheme="minorEastAsia" w:cs="Calibri"/>
                <w:iCs/>
                <w:color w:val="FFFFFF"/>
                <w:sz w:val="16"/>
                <w:szCs w:val="20"/>
                <w:lang w:eastAsia="en-AU"/>
              </w:rPr>
            </w:pPr>
          </w:p>
          <w:p w:rsidR="00BB6F1F" w:rsidRPr="00746768" w:rsidRDefault="00BB6F1F" w:rsidP="00204EB0">
            <w:pPr>
              <w:keepLines w:val="0"/>
              <w:autoSpaceDE w:val="0"/>
              <w:autoSpaceDN w:val="0"/>
              <w:adjustRightInd w:val="0"/>
              <w:spacing w:after="0"/>
              <w:rPr>
                <w:rFonts w:eastAsiaTheme="minorEastAsia" w:cs="Calibri"/>
                <w:iCs/>
                <w:color w:val="FFFFFF"/>
                <w:sz w:val="16"/>
                <w:szCs w:val="20"/>
                <w:lang w:eastAsia="en-AU"/>
              </w:rPr>
            </w:pPr>
            <w:r w:rsidRPr="00746768">
              <w:rPr>
                <w:rFonts w:eastAsiaTheme="minorEastAsia" w:cs="Calibri"/>
                <w:iCs/>
                <w:color w:val="FFFFFF"/>
                <w:sz w:val="16"/>
                <w:szCs w:val="20"/>
                <w:lang w:eastAsia="en-AU"/>
              </w:rPr>
              <w:t>2017</w:t>
            </w:r>
          </w:p>
        </w:tc>
        <w:tc>
          <w:tcPr>
            <w:tcW w:w="686"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Opening balance</w:t>
            </w:r>
          </w:p>
        </w:tc>
        <w:tc>
          <w:tcPr>
            <w:tcW w:w="1022"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Depreciation</w:t>
            </w:r>
          </w:p>
        </w:tc>
        <w:tc>
          <w:tcPr>
            <w:tcW w:w="909"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Impairment</w:t>
            </w:r>
          </w:p>
        </w:tc>
        <w:tc>
          <w:tcPr>
            <w:tcW w:w="1064"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Assets recognised for the first time</w:t>
            </w:r>
          </w:p>
        </w:tc>
        <w:tc>
          <w:tcPr>
            <w:tcW w:w="980"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Revaluation</w:t>
            </w:r>
          </w:p>
        </w:tc>
        <w:tc>
          <w:tcPr>
            <w:tcW w:w="1008"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Acquisitions/ (Disposals)</w:t>
            </w:r>
          </w:p>
        </w:tc>
        <w:tc>
          <w:tcPr>
            <w:tcW w:w="1064"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Capitalisation of work-in-progress</w:t>
            </w:r>
          </w:p>
        </w:tc>
        <w:tc>
          <w:tcPr>
            <w:tcW w:w="1573"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Assets transferred between Government entities</w:t>
            </w:r>
          </w:p>
        </w:tc>
        <w:tc>
          <w:tcPr>
            <w:tcW w:w="850"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Transfers in/out of Level 3</w:t>
            </w:r>
          </w:p>
        </w:tc>
        <w:tc>
          <w:tcPr>
            <w:tcW w:w="1276"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Reclassification</w:t>
            </w:r>
          </w:p>
        </w:tc>
        <w:tc>
          <w:tcPr>
            <w:tcW w:w="820" w:type="dxa"/>
            <w:tcBorders>
              <w:top w:val="nil"/>
              <w:left w:val="nil"/>
              <w:bottom w:val="nil"/>
              <w:right w:val="nil"/>
            </w:tcBorders>
            <w:shd w:val="solid" w:color="000000" w:fill="auto"/>
          </w:tcPr>
          <w:p w:rsidR="00BB6F1F" w:rsidRPr="00746768"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746768">
              <w:rPr>
                <w:rFonts w:eastAsiaTheme="minorEastAsia" w:cs="Calibri"/>
                <w:iCs/>
                <w:color w:val="FFFFFF"/>
                <w:sz w:val="16"/>
                <w:szCs w:val="20"/>
                <w:lang w:eastAsia="en-AU"/>
              </w:rPr>
              <w:t>Closing balance</w:t>
            </w:r>
          </w:p>
        </w:tc>
      </w:tr>
      <w:tr w:rsidR="001753D7" w:rsidRPr="00746768"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Buildings</w:t>
            </w:r>
          </w:p>
        </w:tc>
        <w:tc>
          <w:tcPr>
            <w:tcW w:w="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25 471</w:t>
            </w:r>
          </w:p>
        </w:tc>
        <w:tc>
          <w:tcPr>
            <w:tcW w:w="102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(1 223)</w:t>
            </w:r>
          </w:p>
        </w:tc>
        <w:tc>
          <w:tcPr>
            <w:tcW w:w="9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1</w:t>
            </w:r>
          </w:p>
        </w:tc>
        <w:tc>
          <w:tcPr>
            <w:tcW w:w="98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218</w:t>
            </w:r>
          </w:p>
        </w:tc>
        <w:tc>
          <w:tcPr>
            <w:tcW w:w="100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490</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696</w:t>
            </w:r>
          </w:p>
        </w:tc>
        <w:tc>
          <w:tcPr>
            <w:tcW w:w="1573"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7</w:t>
            </w:r>
          </w:p>
        </w:tc>
        <w:tc>
          <w:tcPr>
            <w:tcW w:w="85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36</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217</w:t>
            </w:r>
          </w:p>
        </w:tc>
        <w:tc>
          <w:tcPr>
            <w:tcW w:w="82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25 913</w:t>
            </w:r>
          </w:p>
        </w:tc>
      </w:tr>
      <w:tr w:rsidR="001753D7" w:rsidRPr="00746768"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Non-specialised buildings</w:t>
            </w:r>
          </w:p>
        </w:tc>
        <w:tc>
          <w:tcPr>
            <w:tcW w:w="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1 334</w:t>
            </w:r>
          </w:p>
        </w:tc>
        <w:tc>
          <w:tcPr>
            <w:tcW w:w="102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(97)</w:t>
            </w:r>
          </w:p>
        </w:tc>
        <w:tc>
          <w:tcPr>
            <w:tcW w:w="9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w:t>
            </w:r>
          </w:p>
        </w:tc>
        <w:tc>
          <w:tcPr>
            <w:tcW w:w="98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w:t>
            </w:r>
          </w:p>
        </w:tc>
        <w:tc>
          <w:tcPr>
            <w:tcW w:w="100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267</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w:t>
            </w:r>
          </w:p>
        </w:tc>
        <w:tc>
          <w:tcPr>
            <w:tcW w:w="1573"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85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6</w:t>
            </w:r>
          </w:p>
        </w:tc>
        <w:tc>
          <w:tcPr>
            <w:tcW w:w="82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1 516</w:t>
            </w:r>
          </w:p>
        </w:tc>
      </w:tr>
      <w:tr w:rsidR="001753D7" w:rsidRPr="00746768"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Specialised buildings</w:t>
            </w:r>
          </w:p>
        </w:tc>
        <w:tc>
          <w:tcPr>
            <w:tcW w:w="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22 975</w:t>
            </w:r>
          </w:p>
        </w:tc>
        <w:tc>
          <w:tcPr>
            <w:tcW w:w="102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(1 101)</w:t>
            </w:r>
          </w:p>
        </w:tc>
        <w:tc>
          <w:tcPr>
            <w:tcW w:w="9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8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102</w:t>
            </w:r>
          </w:p>
        </w:tc>
        <w:tc>
          <w:tcPr>
            <w:tcW w:w="100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212</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694</w:t>
            </w:r>
          </w:p>
        </w:tc>
        <w:tc>
          <w:tcPr>
            <w:tcW w:w="1573"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7</w:t>
            </w:r>
          </w:p>
        </w:tc>
        <w:tc>
          <w:tcPr>
            <w:tcW w:w="85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34</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645</w:t>
            </w:r>
          </w:p>
        </w:tc>
        <w:tc>
          <w:tcPr>
            <w:tcW w:w="82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23 566</w:t>
            </w:r>
          </w:p>
        </w:tc>
      </w:tr>
      <w:tr w:rsidR="001753D7" w:rsidRPr="00746768"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Heritage buildings</w:t>
            </w:r>
          </w:p>
        </w:tc>
        <w:tc>
          <w:tcPr>
            <w:tcW w:w="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1 162</w:t>
            </w:r>
          </w:p>
        </w:tc>
        <w:tc>
          <w:tcPr>
            <w:tcW w:w="102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(24)</w:t>
            </w:r>
          </w:p>
        </w:tc>
        <w:tc>
          <w:tcPr>
            <w:tcW w:w="9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8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115</w:t>
            </w:r>
          </w:p>
        </w:tc>
        <w:tc>
          <w:tcPr>
            <w:tcW w:w="100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12</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573"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85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(434)</w:t>
            </w:r>
          </w:p>
        </w:tc>
        <w:tc>
          <w:tcPr>
            <w:tcW w:w="82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831</w:t>
            </w:r>
          </w:p>
        </w:tc>
      </w:tr>
      <w:tr w:rsidR="001753D7" w:rsidRPr="00746768"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Land and national parks</w:t>
            </w:r>
          </w:p>
        </w:tc>
        <w:tc>
          <w:tcPr>
            <w:tcW w:w="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43 417</w:t>
            </w:r>
          </w:p>
        </w:tc>
        <w:tc>
          <w:tcPr>
            <w:tcW w:w="102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9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1</w:t>
            </w:r>
          </w:p>
        </w:tc>
        <w:tc>
          <w:tcPr>
            <w:tcW w:w="98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5 791</w:t>
            </w:r>
          </w:p>
        </w:tc>
        <w:tc>
          <w:tcPr>
            <w:tcW w:w="100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114</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24</w:t>
            </w:r>
          </w:p>
        </w:tc>
        <w:tc>
          <w:tcPr>
            <w:tcW w:w="1573"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(32)</w:t>
            </w:r>
          </w:p>
        </w:tc>
        <w:tc>
          <w:tcPr>
            <w:tcW w:w="85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(212)</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(239)</w:t>
            </w:r>
          </w:p>
        </w:tc>
        <w:tc>
          <w:tcPr>
            <w:tcW w:w="82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48 865</w:t>
            </w:r>
          </w:p>
        </w:tc>
      </w:tr>
      <w:tr w:rsidR="001753D7" w:rsidRPr="00746768"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Non-specialised land</w:t>
            </w:r>
          </w:p>
        </w:tc>
        <w:tc>
          <w:tcPr>
            <w:tcW w:w="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1 624</w:t>
            </w:r>
          </w:p>
        </w:tc>
        <w:tc>
          <w:tcPr>
            <w:tcW w:w="102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8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445</w:t>
            </w:r>
          </w:p>
        </w:tc>
        <w:tc>
          <w:tcPr>
            <w:tcW w:w="100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53</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573"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(35)</w:t>
            </w:r>
          </w:p>
        </w:tc>
        <w:tc>
          <w:tcPr>
            <w:tcW w:w="85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204</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(16)</w:t>
            </w:r>
          </w:p>
        </w:tc>
        <w:tc>
          <w:tcPr>
            <w:tcW w:w="82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2 276</w:t>
            </w:r>
          </w:p>
        </w:tc>
      </w:tr>
      <w:tr w:rsidR="001753D7" w:rsidRPr="00746768"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Specialised land</w:t>
            </w:r>
          </w:p>
        </w:tc>
        <w:tc>
          <w:tcPr>
            <w:tcW w:w="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22 945</w:t>
            </w:r>
          </w:p>
        </w:tc>
        <w:tc>
          <w:tcPr>
            <w:tcW w:w="102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w:t>
            </w:r>
          </w:p>
        </w:tc>
        <w:tc>
          <w:tcPr>
            <w:tcW w:w="98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1 125</w:t>
            </w:r>
          </w:p>
        </w:tc>
        <w:tc>
          <w:tcPr>
            <w:tcW w:w="100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61</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24</w:t>
            </w:r>
          </w:p>
        </w:tc>
        <w:tc>
          <w:tcPr>
            <w:tcW w:w="1573"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(10)</w:t>
            </w:r>
          </w:p>
        </w:tc>
        <w:tc>
          <w:tcPr>
            <w:tcW w:w="85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(416)</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(226)</w:t>
            </w:r>
          </w:p>
        </w:tc>
        <w:tc>
          <w:tcPr>
            <w:tcW w:w="82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23 503</w:t>
            </w:r>
          </w:p>
        </w:tc>
      </w:tr>
      <w:tr w:rsidR="001753D7" w:rsidRPr="00746768"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Land under roads</w:t>
            </w:r>
          </w:p>
        </w:tc>
        <w:tc>
          <w:tcPr>
            <w:tcW w:w="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17 811</w:t>
            </w:r>
          </w:p>
        </w:tc>
        <w:tc>
          <w:tcPr>
            <w:tcW w:w="102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8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4 221</w:t>
            </w:r>
          </w:p>
        </w:tc>
        <w:tc>
          <w:tcPr>
            <w:tcW w:w="100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573"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85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4</w:t>
            </w:r>
          </w:p>
        </w:tc>
        <w:tc>
          <w:tcPr>
            <w:tcW w:w="82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22 036</w:t>
            </w:r>
          </w:p>
        </w:tc>
      </w:tr>
      <w:tr w:rsidR="001753D7" w:rsidRPr="00746768"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National parks and other </w:t>
            </w:r>
            <w:r w:rsidR="00204EB0">
              <w:rPr>
                <w:rFonts w:eastAsiaTheme="minorEastAsia" w:cs="Calibri"/>
                <w:color w:val="000000"/>
                <w:sz w:val="16"/>
                <w:szCs w:val="20"/>
                <w:lang w:eastAsia="en-AU"/>
              </w:rPr>
              <w:t>‘</w:t>
            </w:r>
            <w:r w:rsidRPr="00746768">
              <w:rPr>
                <w:rFonts w:eastAsiaTheme="minorEastAsia" w:cs="Calibri"/>
                <w:color w:val="000000"/>
                <w:sz w:val="16"/>
                <w:szCs w:val="20"/>
                <w:lang w:eastAsia="en-AU"/>
              </w:rPr>
              <w:t>land only</w:t>
            </w:r>
            <w:r w:rsidR="00204EB0">
              <w:rPr>
                <w:rFonts w:eastAsiaTheme="minorEastAsia" w:cs="Calibri"/>
                <w:color w:val="000000"/>
                <w:sz w:val="16"/>
                <w:szCs w:val="20"/>
                <w:lang w:eastAsia="en-AU"/>
              </w:rPr>
              <w:t>’</w:t>
            </w:r>
            <w:r w:rsidRPr="00746768">
              <w:rPr>
                <w:rFonts w:eastAsiaTheme="minorEastAsia" w:cs="Calibri"/>
                <w:color w:val="000000"/>
                <w:sz w:val="16"/>
                <w:szCs w:val="20"/>
                <w:lang w:eastAsia="en-AU"/>
              </w:rPr>
              <w:t xml:space="preserve"> holdings</w:t>
            </w:r>
          </w:p>
        </w:tc>
        <w:tc>
          <w:tcPr>
            <w:tcW w:w="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1 036</w:t>
            </w:r>
          </w:p>
        </w:tc>
        <w:tc>
          <w:tcPr>
            <w:tcW w:w="102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8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00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573"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13</w:t>
            </w:r>
          </w:p>
        </w:tc>
        <w:tc>
          <w:tcPr>
            <w:tcW w:w="85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82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1 050</w:t>
            </w:r>
          </w:p>
        </w:tc>
      </w:tr>
      <w:tr w:rsidR="001753D7" w:rsidRPr="00746768"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 xml:space="preserve">Plant, equipment, vehicles and infrastructure systems </w:t>
            </w:r>
          </w:p>
        </w:tc>
        <w:tc>
          <w:tcPr>
            <w:tcW w:w="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2 953</w:t>
            </w:r>
          </w:p>
        </w:tc>
        <w:tc>
          <w:tcPr>
            <w:tcW w:w="102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(585)</w:t>
            </w:r>
          </w:p>
        </w:tc>
        <w:tc>
          <w:tcPr>
            <w:tcW w:w="9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(13)</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7</w:t>
            </w:r>
          </w:p>
        </w:tc>
        <w:tc>
          <w:tcPr>
            <w:tcW w:w="98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100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482</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77</w:t>
            </w:r>
          </w:p>
        </w:tc>
        <w:tc>
          <w:tcPr>
            <w:tcW w:w="1573"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16</w:t>
            </w:r>
          </w:p>
        </w:tc>
        <w:tc>
          <w:tcPr>
            <w:tcW w:w="85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34</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50</w:t>
            </w:r>
          </w:p>
        </w:tc>
        <w:tc>
          <w:tcPr>
            <w:tcW w:w="82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3 021</w:t>
            </w:r>
          </w:p>
        </w:tc>
      </w:tr>
      <w:tr w:rsidR="001753D7" w:rsidRPr="00746768"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Infrastructure systems</w:t>
            </w:r>
          </w:p>
        </w:tc>
        <w:tc>
          <w:tcPr>
            <w:tcW w:w="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1 186</w:t>
            </w:r>
          </w:p>
        </w:tc>
        <w:tc>
          <w:tcPr>
            <w:tcW w:w="102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(53)</w:t>
            </w:r>
          </w:p>
        </w:tc>
        <w:tc>
          <w:tcPr>
            <w:tcW w:w="9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98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00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32</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3</w:t>
            </w:r>
          </w:p>
        </w:tc>
        <w:tc>
          <w:tcPr>
            <w:tcW w:w="1573"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85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23</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(5)</w:t>
            </w:r>
          </w:p>
        </w:tc>
        <w:tc>
          <w:tcPr>
            <w:tcW w:w="82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1 187</w:t>
            </w:r>
          </w:p>
        </w:tc>
      </w:tr>
      <w:tr w:rsidR="001753D7" w:rsidRPr="00746768"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color w:val="000000"/>
                <w:sz w:val="16"/>
                <w:szCs w:val="20"/>
                <w:lang w:eastAsia="en-AU"/>
              </w:rPr>
            </w:pPr>
            <w:r w:rsidRPr="00746768">
              <w:rPr>
                <w:rFonts w:eastAsiaTheme="minorEastAsia" w:cs="Calibri"/>
                <w:color w:val="000000"/>
                <w:sz w:val="16"/>
                <w:szCs w:val="20"/>
                <w:lang w:eastAsia="en-AU"/>
              </w:rPr>
              <w:t xml:space="preserve">   Plant, equipment and vehicles</w:t>
            </w:r>
          </w:p>
        </w:tc>
        <w:tc>
          <w:tcPr>
            <w:tcW w:w="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1 766</w:t>
            </w:r>
          </w:p>
        </w:tc>
        <w:tc>
          <w:tcPr>
            <w:tcW w:w="102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(532)</w:t>
            </w:r>
          </w:p>
        </w:tc>
        <w:tc>
          <w:tcPr>
            <w:tcW w:w="9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(13)</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7</w:t>
            </w:r>
          </w:p>
        </w:tc>
        <w:tc>
          <w:tcPr>
            <w:tcW w:w="98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w:t>
            </w:r>
          </w:p>
        </w:tc>
        <w:tc>
          <w:tcPr>
            <w:tcW w:w="100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450</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74</w:t>
            </w:r>
          </w:p>
        </w:tc>
        <w:tc>
          <w:tcPr>
            <w:tcW w:w="1573"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16</w:t>
            </w:r>
          </w:p>
        </w:tc>
        <w:tc>
          <w:tcPr>
            <w:tcW w:w="85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11</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55</w:t>
            </w:r>
          </w:p>
        </w:tc>
        <w:tc>
          <w:tcPr>
            <w:tcW w:w="82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746768">
              <w:rPr>
                <w:rFonts w:eastAsiaTheme="minorEastAsia" w:cs="Calibri"/>
                <w:color w:val="000000"/>
                <w:sz w:val="16"/>
                <w:szCs w:val="20"/>
                <w:lang w:eastAsia="en-AU"/>
              </w:rPr>
              <w:t>1 834</w:t>
            </w:r>
          </w:p>
        </w:tc>
      </w:tr>
      <w:tr w:rsidR="001753D7" w:rsidRPr="00746768"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Roads, road infrastructure and earthworks</w:t>
            </w:r>
          </w:p>
        </w:tc>
        <w:tc>
          <w:tcPr>
            <w:tcW w:w="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27 106</w:t>
            </w:r>
          </w:p>
        </w:tc>
        <w:tc>
          <w:tcPr>
            <w:tcW w:w="102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(607)</w:t>
            </w:r>
          </w:p>
        </w:tc>
        <w:tc>
          <w:tcPr>
            <w:tcW w:w="9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10</w:t>
            </w:r>
          </w:p>
        </w:tc>
        <w:tc>
          <w:tcPr>
            <w:tcW w:w="98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(65)</w:t>
            </w:r>
          </w:p>
        </w:tc>
        <w:tc>
          <w:tcPr>
            <w:tcW w:w="100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(21)</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326</w:t>
            </w:r>
          </w:p>
        </w:tc>
        <w:tc>
          <w:tcPr>
            <w:tcW w:w="1573"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85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82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26 749</w:t>
            </w:r>
          </w:p>
        </w:tc>
      </w:tr>
      <w:tr w:rsidR="001753D7" w:rsidRPr="00746768"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single" w:sz="6" w:space="0" w:color="auto"/>
              <w:right w:val="nil"/>
            </w:tcBorders>
            <w:shd w:val="solid" w:color="FFFFFF" w:fill="auto"/>
          </w:tcPr>
          <w:p w:rsidR="00BB6F1F" w:rsidRPr="00746768" w:rsidRDefault="00BB6F1F" w:rsidP="00204EB0">
            <w:pPr>
              <w:keepLines w:val="0"/>
              <w:autoSpaceDE w:val="0"/>
              <w:autoSpaceDN w:val="0"/>
              <w:adjustRightInd w:val="0"/>
              <w:spacing w:after="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Cultural assets</w:t>
            </w:r>
          </w:p>
        </w:tc>
        <w:tc>
          <w:tcPr>
            <w:tcW w:w="68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3 632</w:t>
            </w:r>
          </w:p>
        </w:tc>
        <w:tc>
          <w:tcPr>
            <w:tcW w:w="1022"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(15)</w:t>
            </w:r>
          </w:p>
        </w:tc>
        <w:tc>
          <w:tcPr>
            <w:tcW w:w="909"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98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109</w:t>
            </w:r>
          </w:p>
        </w:tc>
        <w:tc>
          <w:tcPr>
            <w:tcW w:w="1008"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22</w:t>
            </w:r>
          </w:p>
        </w:tc>
        <w:tc>
          <w:tcPr>
            <w:tcW w:w="1064"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1573"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85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w:t>
            </w:r>
          </w:p>
        </w:tc>
        <w:tc>
          <w:tcPr>
            <w:tcW w:w="1276"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Pr>
                <w:rFonts w:eastAsiaTheme="minorEastAsia" w:cs="Calibri"/>
                <w:b/>
                <w:bCs/>
                <w:color w:val="000000"/>
                <w:sz w:val="16"/>
                <w:szCs w:val="20"/>
                <w:lang w:eastAsia="en-AU"/>
              </w:rPr>
              <w:t>9</w:t>
            </w:r>
          </w:p>
        </w:tc>
        <w:tc>
          <w:tcPr>
            <w:tcW w:w="820" w:type="dxa"/>
            <w:tcBorders>
              <w:top w:val="nil"/>
              <w:left w:val="nil"/>
              <w:bottom w:val="nil"/>
              <w:right w:val="nil"/>
            </w:tcBorders>
            <w:shd w:val="solid" w:color="FFFFFF" w:fill="auto"/>
          </w:tcPr>
          <w:p w:rsidR="00BB6F1F" w:rsidRPr="00746768"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0"/>
                <w:lang w:eastAsia="en-AU"/>
              </w:rPr>
            </w:pPr>
            <w:r w:rsidRPr="00746768">
              <w:rPr>
                <w:rFonts w:eastAsiaTheme="minorEastAsia" w:cs="Calibri"/>
                <w:b/>
                <w:bCs/>
                <w:color w:val="000000"/>
                <w:sz w:val="16"/>
                <w:szCs w:val="20"/>
                <w:lang w:eastAsia="en-AU"/>
              </w:rPr>
              <w:t>3 757</w:t>
            </w:r>
          </w:p>
        </w:tc>
      </w:tr>
      <w:tr w:rsidR="001753D7" w:rsidRPr="00746768" w:rsidTr="001753D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8" w:type="dxa"/>
            <w:tcBorders>
              <w:top w:val="nil"/>
              <w:bottom w:val="single" w:sz="12" w:space="0" w:color="auto"/>
            </w:tcBorders>
          </w:tcPr>
          <w:p w:rsidR="00BB6F1F" w:rsidRPr="00746768" w:rsidRDefault="00BB6F1F" w:rsidP="00204EB0">
            <w:pPr>
              <w:keepLines w:val="0"/>
              <w:autoSpaceDE w:val="0"/>
              <w:autoSpaceDN w:val="0"/>
              <w:adjustRightInd w:val="0"/>
              <w:spacing w:after="0"/>
              <w:rPr>
                <w:rFonts w:eastAsiaTheme="minorEastAsia" w:cs="Calibri"/>
                <w:bCs/>
                <w:color w:val="000000"/>
                <w:sz w:val="16"/>
                <w:szCs w:val="20"/>
                <w:lang w:eastAsia="en-AU"/>
              </w:rPr>
            </w:pPr>
            <w:r w:rsidRPr="00746768">
              <w:rPr>
                <w:rFonts w:eastAsiaTheme="minorEastAsia" w:cs="Calibri"/>
                <w:bCs/>
                <w:color w:val="000000"/>
                <w:sz w:val="16"/>
                <w:szCs w:val="20"/>
                <w:lang w:eastAsia="en-AU"/>
              </w:rPr>
              <w:t>Total</w:t>
            </w:r>
          </w:p>
        </w:tc>
        <w:tc>
          <w:tcPr>
            <w:tcW w:w="686" w:type="dxa"/>
            <w:tcBorders>
              <w:top w:val="single" w:sz="6" w:space="0" w:color="auto"/>
              <w:bottom w:val="single" w:sz="12" w:space="0" w:color="auto"/>
            </w:tcBorders>
            <w:shd w:val="solid" w:color="FFFFFF" w:fill="auto"/>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sidRPr="00746768">
              <w:rPr>
                <w:rFonts w:eastAsiaTheme="minorEastAsia" w:cs="Calibri"/>
                <w:bCs/>
                <w:color w:val="000000"/>
                <w:sz w:val="16"/>
                <w:szCs w:val="20"/>
                <w:lang w:eastAsia="en-AU"/>
              </w:rPr>
              <w:t>102 579</w:t>
            </w:r>
          </w:p>
        </w:tc>
        <w:tc>
          <w:tcPr>
            <w:tcW w:w="1022" w:type="dxa"/>
            <w:tcBorders>
              <w:top w:val="single" w:sz="6" w:space="0" w:color="auto"/>
              <w:bottom w:val="single" w:sz="12" w:space="0" w:color="auto"/>
            </w:tcBorders>
            <w:shd w:val="solid" w:color="FFFFFF" w:fill="auto"/>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sidRPr="00746768">
              <w:rPr>
                <w:rFonts w:eastAsiaTheme="minorEastAsia" w:cs="Calibri"/>
                <w:bCs/>
                <w:color w:val="000000"/>
                <w:sz w:val="16"/>
                <w:szCs w:val="20"/>
                <w:lang w:eastAsia="en-AU"/>
              </w:rPr>
              <w:t>(2 430)</w:t>
            </w:r>
          </w:p>
        </w:tc>
        <w:tc>
          <w:tcPr>
            <w:tcW w:w="909" w:type="dxa"/>
            <w:tcBorders>
              <w:top w:val="single" w:sz="6" w:space="0" w:color="auto"/>
              <w:bottom w:val="single" w:sz="12" w:space="0" w:color="auto"/>
            </w:tcBorders>
            <w:shd w:val="solid" w:color="FFFFFF" w:fill="auto"/>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Pr>
                <w:rFonts w:eastAsiaTheme="minorEastAsia" w:cs="Calibri"/>
                <w:bCs/>
                <w:color w:val="000000"/>
                <w:sz w:val="16"/>
                <w:szCs w:val="20"/>
                <w:lang w:eastAsia="en-AU"/>
              </w:rPr>
              <w:t>(13)</w:t>
            </w:r>
          </w:p>
        </w:tc>
        <w:tc>
          <w:tcPr>
            <w:tcW w:w="1064" w:type="dxa"/>
            <w:tcBorders>
              <w:top w:val="single" w:sz="6" w:space="0" w:color="auto"/>
              <w:bottom w:val="single" w:sz="12" w:space="0" w:color="auto"/>
            </w:tcBorders>
            <w:shd w:val="solid" w:color="FFFFFF" w:fill="auto"/>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Pr>
                <w:rFonts w:eastAsiaTheme="minorEastAsia" w:cs="Calibri"/>
                <w:bCs/>
                <w:color w:val="000000"/>
                <w:sz w:val="16"/>
                <w:szCs w:val="20"/>
                <w:lang w:eastAsia="en-AU"/>
              </w:rPr>
              <w:t>19</w:t>
            </w:r>
          </w:p>
        </w:tc>
        <w:tc>
          <w:tcPr>
            <w:tcW w:w="980" w:type="dxa"/>
            <w:tcBorders>
              <w:top w:val="single" w:sz="6" w:space="0" w:color="auto"/>
              <w:bottom w:val="single" w:sz="12" w:space="0" w:color="auto"/>
            </w:tcBorders>
            <w:shd w:val="solid" w:color="FFFFFF" w:fill="auto"/>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sidRPr="00746768">
              <w:rPr>
                <w:rFonts w:eastAsiaTheme="minorEastAsia" w:cs="Calibri"/>
                <w:bCs/>
                <w:color w:val="000000"/>
                <w:sz w:val="16"/>
                <w:szCs w:val="20"/>
                <w:lang w:eastAsia="en-AU"/>
              </w:rPr>
              <w:t>6 053</w:t>
            </w:r>
          </w:p>
        </w:tc>
        <w:tc>
          <w:tcPr>
            <w:tcW w:w="1008" w:type="dxa"/>
            <w:tcBorders>
              <w:top w:val="single" w:sz="6" w:space="0" w:color="auto"/>
              <w:bottom w:val="single" w:sz="12" w:space="0" w:color="auto"/>
            </w:tcBorders>
            <w:shd w:val="solid" w:color="FFFFFF" w:fill="auto"/>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sidRPr="00746768">
              <w:rPr>
                <w:rFonts w:eastAsiaTheme="minorEastAsia" w:cs="Calibri"/>
                <w:bCs/>
                <w:color w:val="000000"/>
                <w:sz w:val="16"/>
                <w:szCs w:val="20"/>
                <w:lang w:eastAsia="en-AU"/>
              </w:rPr>
              <w:t>1 086</w:t>
            </w:r>
          </w:p>
        </w:tc>
        <w:tc>
          <w:tcPr>
            <w:tcW w:w="1064" w:type="dxa"/>
            <w:tcBorders>
              <w:top w:val="single" w:sz="6" w:space="0" w:color="auto"/>
              <w:bottom w:val="single" w:sz="12" w:space="0" w:color="auto"/>
            </w:tcBorders>
            <w:shd w:val="solid" w:color="FFFFFF" w:fill="auto"/>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sidRPr="00746768">
              <w:rPr>
                <w:rFonts w:eastAsiaTheme="minorEastAsia" w:cs="Calibri"/>
                <w:bCs/>
                <w:color w:val="000000"/>
                <w:sz w:val="16"/>
                <w:szCs w:val="20"/>
                <w:lang w:eastAsia="en-AU"/>
              </w:rPr>
              <w:t>1 123</w:t>
            </w:r>
          </w:p>
        </w:tc>
        <w:tc>
          <w:tcPr>
            <w:tcW w:w="1573" w:type="dxa"/>
            <w:tcBorders>
              <w:top w:val="single" w:sz="6" w:space="0" w:color="auto"/>
              <w:bottom w:val="single" w:sz="12" w:space="0" w:color="auto"/>
            </w:tcBorders>
            <w:shd w:val="solid" w:color="FFFFFF" w:fill="auto"/>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Pr>
                <w:rFonts w:eastAsiaTheme="minorEastAsia" w:cs="Calibri"/>
                <w:bCs/>
                <w:color w:val="000000"/>
                <w:sz w:val="16"/>
                <w:szCs w:val="20"/>
                <w:lang w:eastAsia="en-AU"/>
              </w:rPr>
              <w:t>(9)</w:t>
            </w:r>
          </w:p>
        </w:tc>
        <w:tc>
          <w:tcPr>
            <w:tcW w:w="850" w:type="dxa"/>
            <w:tcBorders>
              <w:top w:val="single" w:sz="6" w:space="0" w:color="auto"/>
              <w:bottom w:val="single" w:sz="12" w:space="0" w:color="auto"/>
            </w:tcBorders>
            <w:shd w:val="solid" w:color="FFFFFF" w:fill="auto"/>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Pr>
                <w:rFonts w:eastAsiaTheme="minorEastAsia" w:cs="Calibri"/>
                <w:bCs/>
                <w:color w:val="000000"/>
                <w:sz w:val="16"/>
                <w:szCs w:val="20"/>
                <w:lang w:eastAsia="en-AU"/>
              </w:rPr>
              <w:t>(142)</w:t>
            </w:r>
          </w:p>
        </w:tc>
        <w:tc>
          <w:tcPr>
            <w:tcW w:w="1276" w:type="dxa"/>
            <w:tcBorders>
              <w:top w:val="single" w:sz="6" w:space="0" w:color="auto"/>
              <w:bottom w:val="single" w:sz="12" w:space="0" w:color="auto"/>
            </w:tcBorders>
            <w:shd w:val="solid" w:color="FFFFFF" w:fill="auto"/>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Pr>
                <w:rFonts w:eastAsiaTheme="minorEastAsia" w:cs="Calibri"/>
                <w:bCs/>
                <w:color w:val="000000"/>
                <w:sz w:val="16"/>
                <w:szCs w:val="20"/>
                <w:lang w:eastAsia="en-AU"/>
              </w:rPr>
              <w:t>38</w:t>
            </w:r>
          </w:p>
        </w:tc>
        <w:tc>
          <w:tcPr>
            <w:tcW w:w="820" w:type="dxa"/>
            <w:tcBorders>
              <w:top w:val="single" w:sz="6" w:space="0" w:color="auto"/>
              <w:bottom w:val="single" w:sz="12" w:space="0" w:color="auto"/>
            </w:tcBorders>
            <w:shd w:val="solid" w:color="FFFFFF" w:fill="auto"/>
          </w:tcPr>
          <w:p w:rsidR="00BB6F1F" w:rsidRPr="00746768"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0"/>
                <w:lang w:eastAsia="en-AU"/>
              </w:rPr>
            </w:pPr>
            <w:r w:rsidRPr="00746768">
              <w:rPr>
                <w:rFonts w:eastAsiaTheme="minorEastAsia" w:cs="Calibri"/>
                <w:bCs/>
                <w:color w:val="000000"/>
                <w:sz w:val="16"/>
                <w:szCs w:val="20"/>
                <w:lang w:eastAsia="en-AU"/>
              </w:rPr>
              <w:t>108 304</w:t>
            </w:r>
          </w:p>
        </w:tc>
      </w:tr>
    </w:tbl>
    <w:p w:rsidR="00BB6F1F" w:rsidRPr="00746768" w:rsidRDefault="00BB6F1F" w:rsidP="00204EB0">
      <w:pPr>
        <w:rPr>
          <w:bCs/>
          <w:lang w:val="en-US"/>
        </w:rPr>
      </w:pPr>
    </w:p>
    <w:tbl>
      <w:tblPr>
        <w:tblStyle w:val="DTFTable"/>
        <w:tblW w:w="14570" w:type="dxa"/>
        <w:tblInd w:w="45" w:type="dxa"/>
        <w:tblLayout w:type="fixed"/>
        <w:tblCellMar>
          <w:left w:w="45" w:type="dxa"/>
          <w:right w:w="45" w:type="dxa"/>
        </w:tblCellMar>
        <w:tblLook w:val="06E0" w:firstRow="1" w:lastRow="1" w:firstColumn="1" w:lastColumn="0" w:noHBand="1" w:noVBand="1"/>
      </w:tblPr>
      <w:tblGrid>
        <w:gridCol w:w="3318"/>
        <w:gridCol w:w="686"/>
        <w:gridCol w:w="1022"/>
        <w:gridCol w:w="909"/>
        <w:gridCol w:w="1064"/>
        <w:gridCol w:w="980"/>
        <w:gridCol w:w="1008"/>
        <w:gridCol w:w="1064"/>
        <w:gridCol w:w="1595"/>
        <w:gridCol w:w="828"/>
        <w:gridCol w:w="1274"/>
        <w:gridCol w:w="822"/>
      </w:tblGrid>
      <w:tr w:rsidR="001753D7" w:rsidRPr="001753D7" w:rsidTr="001753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shd w:val="solid" w:color="000000" w:fill="auto"/>
          </w:tcPr>
          <w:p w:rsidR="00BB6F1F" w:rsidRDefault="00BB6F1F" w:rsidP="00204EB0">
            <w:pPr>
              <w:autoSpaceDE w:val="0"/>
              <w:autoSpaceDN w:val="0"/>
              <w:adjustRightInd w:val="0"/>
              <w:spacing w:after="0"/>
              <w:rPr>
                <w:rFonts w:eastAsiaTheme="minorEastAsia" w:cs="Calibri"/>
                <w:iCs/>
                <w:color w:val="FFFFFF"/>
                <w:sz w:val="16"/>
                <w:szCs w:val="16"/>
                <w:lang w:eastAsia="en-AU"/>
              </w:rPr>
            </w:pPr>
            <w:r w:rsidRPr="001753D7">
              <w:rPr>
                <w:rFonts w:eastAsiaTheme="minorEastAsia" w:cs="Calibri"/>
                <w:iCs/>
                <w:color w:val="FFFFFF"/>
                <w:sz w:val="16"/>
                <w:szCs w:val="16"/>
                <w:lang w:eastAsia="en-AU"/>
              </w:rPr>
              <w:t>General government sector</w:t>
            </w:r>
          </w:p>
          <w:p w:rsidR="00A441A5" w:rsidRPr="001753D7" w:rsidRDefault="00A441A5" w:rsidP="00204EB0">
            <w:pPr>
              <w:autoSpaceDE w:val="0"/>
              <w:autoSpaceDN w:val="0"/>
              <w:adjustRightInd w:val="0"/>
              <w:spacing w:after="0"/>
              <w:rPr>
                <w:rFonts w:eastAsiaTheme="minorEastAsia" w:cs="Calibri"/>
                <w:iCs/>
                <w:color w:val="FFFFFF"/>
                <w:sz w:val="16"/>
                <w:szCs w:val="16"/>
                <w:lang w:eastAsia="en-AU"/>
              </w:rPr>
            </w:pPr>
          </w:p>
          <w:p w:rsidR="00BB6F1F" w:rsidRPr="001753D7" w:rsidRDefault="00BB6F1F" w:rsidP="00204EB0">
            <w:pPr>
              <w:keepLines w:val="0"/>
              <w:autoSpaceDE w:val="0"/>
              <w:autoSpaceDN w:val="0"/>
              <w:adjustRightInd w:val="0"/>
              <w:spacing w:after="0"/>
              <w:rPr>
                <w:rFonts w:eastAsiaTheme="minorEastAsia" w:cs="Calibri"/>
                <w:iCs/>
                <w:color w:val="FFFFFF"/>
                <w:sz w:val="16"/>
                <w:szCs w:val="16"/>
                <w:lang w:eastAsia="en-AU"/>
              </w:rPr>
            </w:pPr>
            <w:r w:rsidRPr="001753D7">
              <w:rPr>
                <w:rFonts w:eastAsiaTheme="minorEastAsia" w:cs="Calibri"/>
                <w:iCs/>
                <w:color w:val="FFFFFF"/>
                <w:sz w:val="16"/>
                <w:szCs w:val="16"/>
                <w:lang w:eastAsia="en-AU"/>
              </w:rPr>
              <w:t>2016</w:t>
            </w:r>
          </w:p>
        </w:tc>
        <w:tc>
          <w:tcPr>
            <w:tcW w:w="686" w:type="dxa"/>
            <w:tcBorders>
              <w:top w:val="nil"/>
              <w:left w:val="nil"/>
              <w:bottom w:val="nil"/>
              <w:right w:val="nil"/>
            </w:tcBorders>
            <w:shd w:val="solid" w:color="000000" w:fill="auto"/>
          </w:tcPr>
          <w:p w:rsidR="00BB6F1F" w:rsidRPr="001753D7"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753D7">
              <w:rPr>
                <w:rFonts w:eastAsiaTheme="minorEastAsia" w:cs="Calibri"/>
                <w:iCs/>
                <w:color w:val="FFFFFF"/>
                <w:sz w:val="16"/>
                <w:szCs w:val="16"/>
                <w:lang w:eastAsia="en-AU"/>
              </w:rPr>
              <w:t>Opening balance</w:t>
            </w:r>
          </w:p>
        </w:tc>
        <w:tc>
          <w:tcPr>
            <w:tcW w:w="1022" w:type="dxa"/>
            <w:tcBorders>
              <w:top w:val="nil"/>
              <w:left w:val="nil"/>
              <w:bottom w:val="nil"/>
              <w:right w:val="nil"/>
            </w:tcBorders>
            <w:shd w:val="solid" w:color="000000" w:fill="auto"/>
          </w:tcPr>
          <w:p w:rsidR="00BB6F1F" w:rsidRPr="001753D7"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753D7">
              <w:rPr>
                <w:rFonts w:eastAsiaTheme="minorEastAsia" w:cs="Calibri"/>
                <w:iCs/>
                <w:color w:val="FFFFFF"/>
                <w:sz w:val="16"/>
                <w:szCs w:val="16"/>
                <w:lang w:eastAsia="en-AU"/>
              </w:rPr>
              <w:t>Depreciation</w:t>
            </w:r>
          </w:p>
        </w:tc>
        <w:tc>
          <w:tcPr>
            <w:tcW w:w="909" w:type="dxa"/>
            <w:tcBorders>
              <w:top w:val="nil"/>
              <w:left w:val="nil"/>
              <w:bottom w:val="nil"/>
              <w:right w:val="nil"/>
            </w:tcBorders>
            <w:shd w:val="solid" w:color="000000" w:fill="auto"/>
          </w:tcPr>
          <w:p w:rsidR="00BB6F1F" w:rsidRPr="001753D7"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753D7">
              <w:rPr>
                <w:rFonts w:eastAsiaTheme="minorEastAsia" w:cs="Calibri"/>
                <w:iCs/>
                <w:color w:val="FFFFFF"/>
                <w:sz w:val="16"/>
                <w:szCs w:val="16"/>
                <w:lang w:eastAsia="en-AU"/>
              </w:rPr>
              <w:t>Impairment</w:t>
            </w:r>
          </w:p>
        </w:tc>
        <w:tc>
          <w:tcPr>
            <w:tcW w:w="1064" w:type="dxa"/>
            <w:tcBorders>
              <w:top w:val="nil"/>
              <w:left w:val="nil"/>
              <w:bottom w:val="nil"/>
              <w:right w:val="nil"/>
            </w:tcBorders>
            <w:shd w:val="solid" w:color="000000" w:fill="auto"/>
          </w:tcPr>
          <w:p w:rsidR="00BB6F1F" w:rsidRPr="001753D7"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753D7">
              <w:rPr>
                <w:rFonts w:eastAsiaTheme="minorEastAsia" w:cs="Calibri"/>
                <w:iCs/>
                <w:color w:val="FFFFFF"/>
                <w:sz w:val="16"/>
                <w:szCs w:val="16"/>
                <w:lang w:eastAsia="en-AU"/>
              </w:rPr>
              <w:t>Assets recognised for the first time</w:t>
            </w:r>
          </w:p>
        </w:tc>
        <w:tc>
          <w:tcPr>
            <w:tcW w:w="980" w:type="dxa"/>
            <w:tcBorders>
              <w:top w:val="nil"/>
              <w:left w:val="nil"/>
              <w:bottom w:val="nil"/>
              <w:right w:val="nil"/>
            </w:tcBorders>
            <w:shd w:val="solid" w:color="000000" w:fill="auto"/>
          </w:tcPr>
          <w:p w:rsidR="00BB6F1F" w:rsidRPr="001753D7"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753D7">
              <w:rPr>
                <w:rFonts w:eastAsiaTheme="minorEastAsia" w:cs="Calibri"/>
                <w:iCs/>
                <w:color w:val="FFFFFF"/>
                <w:sz w:val="16"/>
                <w:szCs w:val="16"/>
                <w:lang w:eastAsia="en-AU"/>
              </w:rPr>
              <w:t>Revaluation</w:t>
            </w:r>
          </w:p>
        </w:tc>
        <w:tc>
          <w:tcPr>
            <w:tcW w:w="1008" w:type="dxa"/>
            <w:tcBorders>
              <w:top w:val="nil"/>
              <w:left w:val="nil"/>
              <w:bottom w:val="nil"/>
              <w:right w:val="nil"/>
            </w:tcBorders>
            <w:shd w:val="solid" w:color="000000" w:fill="auto"/>
          </w:tcPr>
          <w:p w:rsidR="00BB6F1F" w:rsidRPr="001753D7"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vertAlign w:val="superscript"/>
                <w:lang w:eastAsia="en-AU"/>
              </w:rPr>
            </w:pPr>
            <w:r w:rsidRPr="001753D7">
              <w:rPr>
                <w:rFonts w:eastAsiaTheme="minorEastAsia" w:cs="Calibri"/>
                <w:iCs/>
                <w:color w:val="FFFFFF"/>
                <w:sz w:val="16"/>
                <w:szCs w:val="16"/>
                <w:lang w:eastAsia="en-AU"/>
              </w:rPr>
              <w:t xml:space="preserve">Acquisitions/ (Disposals) </w:t>
            </w:r>
            <w:r w:rsidRPr="001753D7">
              <w:rPr>
                <w:rFonts w:eastAsiaTheme="minorEastAsia" w:cs="Calibri"/>
                <w:iCs/>
                <w:color w:val="FFFFFF"/>
                <w:sz w:val="16"/>
                <w:szCs w:val="16"/>
                <w:vertAlign w:val="superscript"/>
                <w:lang w:eastAsia="en-AU"/>
              </w:rPr>
              <w:t>(a)</w:t>
            </w:r>
          </w:p>
        </w:tc>
        <w:tc>
          <w:tcPr>
            <w:tcW w:w="1064" w:type="dxa"/>
            <w:tcBorders>
              <w:top w:val="nil"/>
              <w:left w:val="nil"/>
              <w:bottom w:val="nil"/>
              <w:right w:val="nil"/>
            </w:tcBorders>
            <w:shd w:val="solid" w:color="000000" w:fill="auto"/>
          </w:tcPr>
          <w:p w:rsidR="00BB6F1F" w:rsidRPr="001753D7"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vertAlign w:val="superscript"/>
                <w:lang w:eastAsia="en-AU"/>
              </w:rPr>
            </w:pPr>
            <w:r w:rsidRPr="001753D7">
              <w:rPr>
                <w:rFonts w:eastAsiaTheme="minorEastAsia" w:cs="Calibri"/>
                <w:iCs/>
                <w:color w:val="FFFFFF"/>
                <w:sz w:val="16"/>
                <w:szCs w:val="16"/>
                <w:lang w:eastAsia="en-AU"/>
              </w:rPr>
              <w:t>Capitalisation of work-in -progress</w:t>
            </w:r>
            <w:r w:rsidRPr="001753D7">
              <w:rPr>
                <w:rFonts w:eastAsiaTheme="minorEastAsia" w:cs="Calibri"/>
                <w:iCs/>
                <w:color w:val="FFFFFF"/>
                <w:sz w:val="16"/>
                <w:szCs w:val="16"/>
                <w:vertAlign w:val="superscript"/>
                <w:lang w:eastAsia="en-AU"/>
              </w:rPr>
              <w:t>(a)</w:t>
            </w:r>
          </w:p>
        </w:tc>
        <w:tc>
          <w:tcPr>
            <w:tcW w:w="1595" w:type="dxa"/>
            <w:tcBorders>
              <w:top w:val="nil"/>
              <w:left w:val="nil"/>
              <w:bottom w:val="nil"/>
              <w:right w:val="nil"/>
            </w:tcBorders>
            <w:shd w:val="solid" w:color="000000" w:fill="auto"/>
          </w:tcPr>
          <w:p w:rsidR="00BB6F1F" w:rsidRPr="001753D7"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vertAlign w:val="superscript"/>
                <w:lang w:eastAsia="en-AU"/>
              </w:rPr>
            </w:pPr>
            <w:r w:rsidRPr="001753D7">
              <w:rPr>
                <w:rFonts w:eastAsiaTheme="minorEastAsia" w:cs="Calibri"/>
                <w:iCs/>
                <w:color w:val="FFFFFF"/>
                <w:sz w:val="16"/>
                <w:szCs w:val="16"/>
                <w:lang w:eastAsia="en-AU"/>
              </w:rPr>
              <w:t xml:space="preserve">Assets transferred between Government entities  </w:t>
            </w:r>
            <w:r w:rsidRPr="001753D7">
              <w:rPr>
                <w:rFonts w:eastAsiaTheme="minorEastAsia" w:cs="Calibri"/>
                <w:iCs/>
                <w:color w:val="FFFFFF"/>
                <w:sz w:val="16"/>
                <w:szCs w:val="16"/>
                <w:vertAlign w:val="superscript"/>
                <w:lang w:eastAsia="en-AU"/>
              </w:rPr>
              <w:t>(a)</w:t>
            </w:r>
          </w:p>
        </w:tc>
        <w:tc>
          <w:tcPr>
            <w:tcW w:w="828" w:type="dxa"/>
            <w:tcBorders>
              <w:top w:val="nil"/>
              <w:left w:val="nil"/>
              <w:bottom w:val="nil"/>
              <w:right w:val="nil"/>
            </w:tcBorders>
            <w:shd w:val="solid" w:color="000000" w:fill="auto"/>
          </w:tcPr>
          <w:p w:rsidR="00BB6F1F" w:rsidRPr="001753D7"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753D7">
              <w:rPr>
                <w:rFonts w:eastAsiaTheme="minorEastAsia" w:cs="Calibri"/>
                <w:iCs/>
                <w:color w:val="FFFFFF"/>
                <w:sz w:val="16"/>
                <w:szCs w:val="16"/>
                <w:lang w:eastAsia="en-AU"/>
              </w:rPr>
              <w:t>Transfers in/out of Level 3</w:t>
            </w:r>
          </w:p>
        </w:tc>
        <w:tc>
          <w:tcPr>
            <w:tcW w:w="1274" w:type="dxa"/>
            <w:tcBorders>
              <w:top w:val="nil"/>
              <w:left w:val="nil"/>
              <w:bottom w:val="nil"/>
              <w:right w:val="nil"/>
            </w:tcBorders>
            <w:shd w:val="solid" w:color="000000" w:fill="auto"/>
          </w:tcPr>
          <w:p w:rsidR="00BB6F1F" w:rsidRPr="001753D7"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vertAlign w:val="superscript"/>
                <w:lang w:eastAsia="en-AU"/>
              </w:rPr>
            </w:pPr>
            <w:r w:rsidRPr="001753D7">
              <w:rPr>
                <w:rFonts w:eastAsiaTheme="minorEastAsia" w:cs="Calibri"/>
                <w:iCs/>
                <w:color w:val="FFFFFF"/>
                <w:sz w:val="16"/>
                <w:szCs w:val="16"/>
                <w:lang w:eastAsia="en-AU"/>
              </w:rPr>
              <w:t xml:space="preserve">Reclassification </w:t>
            </w:r>
            <w:r w:rsidRPr="001753D7">
              <w:rPr>
                <w:rFonts w:eastAsiaTheme="minorEastAsia" w:cs="Calibri"/>
                <w:iCs/>
                <w:color w:val="FFFFFF"/>
                <w:sz w:val="16"/>
                <w:szCs w:val="16"/>
                <w:vertAlign w:val="superscript"/>
                <w:lang w:eastAsia="en-AU"/>
              </w:rPr>
              <w:t>(a)</w:t>
            </w:r>
          </w:p>
        </w:tc>
        <w:tc>
          <w:tcPr>
            <w:tcW w:w="822" w:type="dxa"/>
            <w:tcBorders>
              <w:top w:val="nil"/>
              <w:left w:val="nil"/>
              <w:bottom w:val="nil"/>
              <w:right w:val="nil"/>
            </w:tcBorders>
            <w:shd w:val="solid" w:color="000000" w:fill="auto"/>
          </w:tcPr>
          <w:p w:rsidR="00BB6F1F" w:rsidRPr="001753D7" w:rsidRDefault="00BB6F1F" w:rsidP="00204EB0">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1753D7">
              <w:rPr>
                <w:rFonts w:eastAsiaTheme="minorEastAsia" w:cs="Calibri"/>
                <w:iCs/>
                <w:color w:val="FFFFFF"/>
                <w:sz w:val="16"/>
                <w:szCs w:val="16"/>
                <w:lang w:eastAsia="en-AU"/>
              </w:rPr>
              <w:t>Closing balance</w:t>
            </w:r>
          </w:p>
        </w:tc>
      </w:tr>
      <w:tr w:rsidR="001753D7" w:rsidRPr="001753D7"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tcPr>
          <w:p w:rsidR="00BB6F1F" w:rsidRPr="001753D7" w:rsidRDefault="00BB6F1F" w:rsidP="00204EB0">
            <w:pPr>
              <w:keepLines w:val="0"/>
              <w:autoSpaceDE w:val="0"/>
              <w:autoSpaceDN w:val="0"/>
              <w:adjustRightInd w:val="0"/>
              <w:spacing w:after="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Buildings</w:t>
            </w:r>
          </w:p>
        </w:tc>
        <w:tc>
          <w:tcPr>
            <w:tcW w:w="686"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23 120</w:t>
            </w:r>
          </w:p>
        </w:tc>
        <w:tc>
          <w:tcPr>
            <w:tcW w:w="10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(990)</w:t>
            </w:r>
          </w:p>
        </w:tc>
        <w:tc>
          <w:tcPr>
            <w:tcW w:w="909"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8</w:t>
            </w:r>
          </w:p>
        </w:tc>
        <w:tc>
          <w:tcPr>
            <w:tcW w:w="980"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2 199</w:t>
            </w:r>
          </w:p>
        </w:tc>
        <w:tc>
          <w:tcPr>
            <w:tcW w:w="100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172</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925</w:t>
            </w:r>
          </w:p>
        </w:tc>
        <w:tc>
          <w:tcPr>
            <w:tcW w:w="1595"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w:t>
            </w:r>
          </w:p>
        </w:tc>
        <w:tc>
          <w:tcPr>
            <w:tcW w:w="82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17</w:t>
            </w:r>
          </w:p>
        </w:tc>
        <w:tc>
          <w:tcPr>
            <w:tcW w:w="127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20</w:t>
            </w:r>
          </w:p>
        </w:tc>
        <w:tc>
          <w:tcPr>
            <w:tcW w:w="8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25 471</w:t>
            </w:r>
          </w:p>
        </w:tc>
      </w:tr>
      <w:tr w:rsidR="001753D7" w:rsidRPr="001753D7"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tcPr>
          <w:p w:rsidR="00BB6F1F" w:rsidRPr="001753D7" w:rsidRDefault="00BB6F1F" w:rsidP="00204EB0">
            <w:pPr>
              <w:keepLines w:val="0"/>
              <w:autoSpaceDE w:val="0"/>
              <w:autoSpaceDN w:val="0"/>
              <w:adjustRightInd w:val="0"/>
              <w:spacing w:after="0"/>
              <w:rPr>
                <w:rFonts w:eastAsiaTheme="minorEastAsia" w:cs="Calibri"/>
                <w:color w:val="000000"/>
                <w:sz w:val="16"/>
                <w:szCs w:val="16"/>
                <w:lang w:eastAsia="en-AU"/>
              </w:rPr>
            </w:pPr>
            <w:r w:rsidRPr="001753D7">
              <w:rPr>
                <w:rFonts w:eastAsiaTheme="minorEastAsia" w:cs="Calibri"/>
                <w:color w:val="000000"/>
                <w:sz w:val="16"/>
                <w:szCs w:val="16"/>
                <w:lang w:eastAsia="en-AU"/>
              </w:rPr>
              <w:t xml:space="preserve">   Non-specialised buildings</w:t>
            </w:r>
          </w:p>
        </w:tc>
        <w:tc>
          <w:tcPr>
            <w:tcW w:w="686"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2 181</w:t>
            </w:r>
          </w:p>
        </w:tc>
        <w:tc>
          <w:tcPr>
            <w:tcW w:w="10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(80)</w:t>
            </w:r>
          </w:p>
        </w:tc>
        <w:tc>
          <w:tcPr>
            <w:tcW w:w="909"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980"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100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(757)</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1595"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82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127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(11)</w:t>
            </w:r>
          </w:p>
        </w:tc>
        <w:tc>
          <w:tcPr>
            <w:tcW w:w="8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1 334</w:t>
            </w:r>
          </w:p>
        </w:tc>
      </w:tr>
      <w:tr w:rsidR="001753D7" w:rsidRPr="001753D7"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tcPr>
          <w:p w:rsidR="00BB6F1F" w:rsidRPr="001753D7" w:rsidRDefault="00BB6F1F" w:rsidP="00204EB0">
            <w:pPr>
              <w:keepLines w:val="0"/>
              <w:autoSpaceDE w:val="0"/>
              <w:autoSpaceDN w:val="0"/>
              <w:adjustRightInd w:val="0"/>
              <w:spacing w:after="0"/>
              <w:rPr>
                <w:rFonts w:eastAsiaTheme="minorEastAsia" w:cs="Calibri"/>
                <w:color w:val="000000"/>
                <w:sz w:val="16"/>
                <w:szCs w:val="16"/>
                <w:lang w:eastAsia="en-AU"/>
              </w:rPr>
            </w:pPr>
            <w:r w:rsidRPr="001753D7">
              <w:rPr>
                <w:rFonts w:eastAsiaTheme="minorEastAsia" w:cs="Calibri"/>
                <w:color w:val="000000"/>
                <w:sz w:val="16"/>
                <w:szCs w:val="16"/>
                <w:lang w:eastAsia="en-AU"/>
              </w:rPr>
              <w:t xml:space="preserve">   Specialised buildings</w:t>
            </w:r>
          </w:p>
        </w:tc>
        <w:tc>
          <w:tcPr>
            <w:tcW w:w="686"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20 051</w:t>
            </w:r>
          </w:p>
        </w:tc>
        <w:tc>
          <w:tcPr>
            <w:tcW w:w="10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(879)</w:t>
            </w:r>
          </w:p>
        </w:tc>
        <w:tc>
          <w:tcPr>
            <w:tcW w:w="909"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8</w:t>
            </w:r>
          </w:p>
        </w:tc>
        <w:tc>
          <w:tcPr>
            <w:tcW w:w="980"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1 953</w:t>
            </w:r>
          </w:p>
        </w:tc>
        <w:tc>
          <w:tcPr>
            <w:tcW w:w="100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904</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925</w:t>
            </w:r>
          </w:p>
        </w:tc>
        <w:tc>
          <w:tcPr>
            <w:tcW w:w="1595"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82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(22)</w:t>
            </w:r>
          </w:p>
        </w:tc>
        <w:tc>
          <w:tcPr>
            <w:tcW w:w="127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34</w:t>
            </w:r>
          </w:p>
        </w:tc>
        <w:tc>
          <w:tcPr>
            <w:tcW w:w="8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22 975</w:t>
            </w:r>
          </w:p>
        </w:tc>
      </w:tr>
      <w:tr w:rsidR="001753D7" w:rsidRPr="001753D7"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tcPr>
          <w:p w:rsidR="00BB6F1F" w:rsidRPr="001753D7" w:rsidRDefault="00BB6F1F" w:rsidP="00204EB0">
            <w:pPr>
              <w:keepLines w:val="0"/>
              <w:autoSpaceDE w:val="0"/>
              <w:autoSpaceDN w:val="0"/>
              <w:adjustRightInd w:val="0"/>
              <w:spacing w:after="0"/>
              <w:rPr>
                <w:rFonts w:eastAsiaTheme="minorEastAsia" w:cs="Calibri"/>
                <w:color w:val="000000"/>
                <w:sz w:val="16"/>
                <w:szCs w:val="16"/>
                <w:lang w:eastAsia="en-AU"/>
              </w:rPr>
            </w:pPr>
            <w:r w:rsidRPr="001753D7">
              <w:rPr>
                <w:rFonts w:eastAsiaTheme="minorEastAsia" w:cs="Calibri"/>
                <w:color w:val="000000"/>
                <w:sz w:val="16"/>
                <w:szCs w:val="16"/>
                <w:lang w:eastAsia="en-AU"/>
              </w:rPr>
              <w:t xml:space="preserve">   Heritage buildings</w:t>
            </w:r>
          </w:p>
        </w:tc>
        <w:tc>
          <w:tcPr>
            <w:tcW w:w="686"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888</w:t>
            </w:r>
          </w:p>
        </w:tc>
        <w:tc>
          <w:tcPr>
            <w:tcW w:w="10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(31)</w:t>
            </w:r>
          </w:p>
        </w:tc>
        <w:tc>
          <w:tcPr>
            <w:tcW w:w="909"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980"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245</w:t>
            </w:r>
          </w:p>
        </w:tc>
        <w:tc>
          <w:tcPr>
            <w:tcW w:w="100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25</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1595"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82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39</w:t>
            </w:r>
          </w:p>
        </w:tc>
        <w:tc>
          <w:tcPr>
            <w:tcW w:w="127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(3)</w:t>
            </w:r>
          </w:p>
        </w:tc>
        <w:tc>
          <w:tcPr>
            <w:tcW w:w="8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1 162</w:t>
            </w:r>
          </w:p>
        </w:tc>
      </w:tr>
      <w:tr w:rsidR="001753D7" w:rsidRPr="001753D7"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tcPr>
          <w:p w:rsidR="00BB6F1F" w:rsidRPr="001753D7" w:rsidRDefault="00BB6F1F" w:rsidP="00204EB0">
            <w:pPr>
              <w:keepLines w:val="0"/>
              <w:autoSpaceDE w:val="0"/>
              <w:autoSpaceDN w:val="0"/>
              <w:adjustRightInd w:val="0"/>
              <w:spacing w:after="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Land and national parks</w:t>
            </w:r>
          </w:p>
        </w:tc>
        <w:tc>
          <w:tcPr>
            <w:tcW w:w="686"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39 447</w:t>
            </w:r>
          </w:p>
        </w:tc>
        <w:tc>
          <w:tcPr>
            <w:tcW w:w="10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w:t>
            </w:r>
          </w:p>
        </w:tc>
        <w:tc>
          <w:tcPr>
            <w:tcW w:w="909"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(51)</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51</w:t>
            </w:r>
          </w:p>
        </w:tc>
        <w:tc>
          <w:tcPr>
            <w:tcW w:w="980"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3 906</w:t>
            </w:r>
          </w:p>
        </w:tc>
        <w:tc>
          <w:tcPr>
            <w:tcW w:w="100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(147)</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20</w:t>
            </w:r>
          </w:p>
        </w:tc>
        <w:tc>
          <w:tcPr>
            <w:tcW w:w="1595"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w:t>
            </w:r>
          </w:p>
        </w:tc>
        <w:tc>
          <w:tcPr>
            <w:tcW w:w="82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200</w:t>
            </w:r>
          </w:p>
        </w:tc>
        <w:tc>
          <w:tcPr>
            <w:tcW w:w="1274" w:type="dxa"/>
            <w:tcBorders>
              <w:top w:val="nil"/>
              <w:left w:val="nil"/>
              <w:bottom w:val="nil"/>
              <w:right w:val="nil"/>
            </w:tcBorders>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(9)</w:t>
            </w:r>
          </w:p>
        </w:tc>
        <w:tc>
          <w:tcPr>
            <w:tcW w:w="8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43 417</w:t>
            </w:r>
          </w:p>
        </w:tc>
      </w:tr>
      <w:tr w:rsidR="001753D7" w:rsidRPr="001753D7"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tcPr>
          <w:p w:rsidR="00BB6F1F" w:rsidRPr="001753D7" w:rsidRDefault="00BB6F1F" w:rsidP="00204EB0">
            <w:pPr>
              <w:keepLines w:val="0"/>
              <w:autoSpaceDE w:val="0"/>
              <w:autoSpaceDN w:val="0"/>
              <w:adjustRightInd w:val="0"/>
              <w:spacing w:after="0"/>
              <w:rPr>
                <w:rFonts w:eastAsiaTheme="minorEastAsia" w:cs="Calibri"/>
                <w:color w:val="000000"/>
                <w:sz w:val="16"/>
                <w:szCs w:val="16"/>
                <w:lang w:eastAsia="en-AU"/>
              </w:rPr>
            </w:pPr>
            <w:r w:rsidRPr="001753D7">
              <w:rPr>
                <w:rFonts w:eastAsiaTheme="minorEastAsia" w:cs="Calibri"/>
                <w:color w:val="000000"/>
                <w:sz w:val="16"/>
                <w:szCs w:val="16"/>
                <w:lang w:eastAsia="en-AU"/>
              </w:rPr>
              <w:t xml:space="preserve">   Non-specialised land</w:t>
            </w:r>
          </w:p>
        </w:tc>
        <w:tc>
          <w:tcPr>
            <w:tcW w:w="686"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1 893</w:t>
            </w:r>
          </w:p>
        </w:tc>
        <w:tc>
          <w:tcPr>
            <w:tcW w:w="10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909"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980"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49</w:t>
            </w:r>
          </w:p>
        </w:tc>
        <w:tc>
          <w:tcPr>
            <w:tcW w:w="100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(300)</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1595"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82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1274" w:type="dxa"/>
            <w:tcBorders>
              <w:top w:val="nil"/>
              <w:left w:val="nil"/>
              <w:bottom w:val="nil"/>
              <w:right w:val="nil"/>
            </w:tcBorders>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(17)</w:t>
            </w:r>
          </w:p>
        </w:tc>
        <w:tc>
          <w:tcPr>
            <w:tcW w:w="8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1 624</w:t>
            </w:r>
          </w:p>
        </w:tc>
      </w:tr>
      <w:tr w:rsidR="001753D7" w:rsidRPr="001753D7"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tcPr>
          <w:p w:rsidR="00BB6F1F" w:rsidRPr="001753D7" w:rsidRDefault="00BB6F1F" w:rsidP="00204EB0">
            <w:pPr>
              <w:keepLines w:val="0"/>
              <w:autoSpaceDE w:val="0"/>
              <w:autoSpaceDN w:val="0"/>
              <w:adjustRightInd w:val="0"/>
              <w:spacing w:after="0"/>
              <w:rPr>
                <w:rFonts w:eastAsiaTheme="minorEastAsia" w:cs="Calibri"/>
                <w:color w:val="000000"/>
                <w:sz w:val="16"/>
                <w:szCs w:val="16"/>
                <w:lang w:eastAsia="en-AU"/>
              </w:rPr>
            </w:pPr>
            <w:r w:rsidRPr="001753D7">
              <w:rPr>
                <w:rFonts w:eastAsiaTheme="minorEastAsia" w:cs="Calibri"/>
                <w:color w:val="000000"/>
                <w:sz w:val="16"/>
                <w:szCs w:val="16"/>
                <w:lang w:eastAsia="en-AU"/>
              </w:rPr>
              <w:t xml:space="preserve">   Specialised land</w:t>
            </w:r>
          </w:p>
        </w:tc>
        <w:tc>
          <w:tcPr>
            <w:tcW w:w="686"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18 691</w:t>
            </w:r>
          </w:p>
        </w:tc>
        <w:tc>
          <w:tcPr>
            <w:tcW w:w="10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909"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(51)</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51</w:t>
            </w:r>
          </w:p>
        </w:tc>
        <w:tc>
          <w:tcPr>
            <w:tcW w:w="980"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3 886</w:t>
            </w:r>
          </w:p>
        </w:tc>
        <w:tc>
          <w:tcPr>
            <w:tcW w:w="100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149</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20</w:t>
            </w:r>
          </w:p>
        </w:tc>
        <w:tc>
          <w:tcPr>
            <w:tcW w:w="1595"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82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200</w:t>
            </w:r>
          </w:p>
        </w:tc>
        <w:tc>
          <w:tcPr>
            <w:tcW w:w="1274" w:type="dxa"/>
            <w:tcBorders>
              <w:top w:val="nil"/>
              <w:left w:val="nil"/>
              <w:bottom w:val="nil"/>
              <w:right w:val="nil"/>
            </w:tcBorders>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(2)</w:t>
            </w:r>
          </w:p>
        </w:tc>
        <w:tc>
          <w:tcPr>
            <w:tcW w:w="8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22 945</w:t>
            </w:r>
          </w:p>
        </w:tc>
      </w:tr>
      <w:tr w:rsidR="001753D7" w:rsidRPr="001753D7"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tcPr>
          <w:p w:rsidR="00BB6F1F" w:rsidRPr="001753D7" w:rsidRDefault="00BB6F1F" w:rsidP="00204EB0">
            <w:pPr>
              <w:keepLines w:val="0"/>
              <w:autoSpaceDE w:val="0"/>
              <w:autoSpaceDN w:val="0"/>
              <w:adjustRightInd w:val="0"/>
              <w:spacing w:after="0"/>
              <w:rPr>
                <w:rFonts w:eastAsiaTheme="minorEastAsia" w:cs="Calibri"/>
                <w:color w:val="000000"/>
                <w:sz w:val="16"/>
                <w:szCs w:val="16"/>
                <w:lang w:eastAsia="en-AU"/>
              </w:rPr>
            </w:pPr>
            <w:r w:rsidRPr="001753D7">
              <w:rPr>
                <w:rFonts w:eastAsiaTheme="minorEastAsia" w:cs="Calibri"/>
                <w:color w:val="000000"/>
                <w:sz w:val="16"/>
                <w:szCs w:val="16"/>
                <w:lang w:eastAsia="en-AU"/>
              </w:rPr>
              <w:t xml:space="preserve">   Land under roads</w:t>
            </w:r>
          </w:p>
        </w:tc>
        <w:tc>
          <w:tcPr>
            <w:tcW w:w="686"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17 801</w:t>
            </w:r>
          </w:p>
        </w:tc>
        <w:tc>
          <w:tcPr>
            <w:tcW w:w="10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909"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980"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100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1595"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82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127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10</w:t>
            </w:r>
          </w:p>
        </w:tc>
        <w:tc>
          <w:tcPr>
            <w:tcW w:w="8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17 811</w:t>
            </w:r>
          </w:p>
        </w:tc>
      </w:tr>
      <w:tr w:rsidR="001753D7" w:rsidRPr="001753D7"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tcPr>
          <w:p w:rsidR="00BB6F1F" w:rsidRPr="001753D7" w:rsidRDefault="00BB6F1F" w:rsidP="00204EB0">
            <w:pPr>
              <w:keepLines w:val="0"/>
              <w:autoSpaceDE w:val="0"/>
              <w:autoSpaceDN w:val="0"/>
              <w:adjustRightInd w:val="0"/>
              <w:spacing w:after="0"/>
              <w:rPr>
                <w:rFonts w:eastAsiaTheme="minorEastAsia" w:cs="Calibri"/>
                <w:color w:val="000000"/>
                <w:sz w:val="16"/>
                <w:szCs w:val="16"/>
                <w:lang w:eastAsia="en-AU"/>
              </w:rPr>
            </w:pPr>
            <w:r w:rsidRPr="001753D7">
              <w:rPr>
                <w:rFonts w:eastAsiaTheme="minorEastAsia" w:cs="Calibri"/>
                <w:color w:val="000000"/>
                <w:sz w:val="16"/>
                <w:szCs w:val="16"/>
                <w:lang w:eastAsia="en-AU"/>
              </w:rPr>
              <w:t xml:space="preserve">   National parks and other </w:t>
            </w:r>
            <w:r w:rsidR="00204EB0">
              <w:rPr>
                <w:rFonts w:eastAsiaTheme="minorEastAsia" w:cs="Calibri"/>
                <w:color w:val="000000"/>
                <w:sz w:val="16"/>
                <w:szCs w:val="16"/>
                <w:lang w:eastAsia="en-AU"/>
              </w:rPr>
              <w:t>‘</w:t>
            </w:r>
            <w:r w:rsidRPr="001753D7">
              <w:rPr>
                <w:rFonts w:eastAsiaTheme="minorEastAsia" w:cs="Calibri"/>
                <w:color w:val="000000"/>
                <w:sz w:val="16"/>
                <w:szCs w:val="16"/>
                <w:lang w:eastAsia="en-AU"/>
              </w:rPr>
              <w:t>land only</w:t>
            </w:r>
            <w:r w:rsidR="00204EB0">
              <w:rPr>
                <w:rFonts w:eastAsiaTheme="minorEastAsia" w:cs="Calibri"/>
                <w:color w:val="000000"/>
                <w:sz w:val="16"/>
                <w:szCs w:val="16"/>
                <w:lang w:eastAsia="en-AU"/>
              </w:rPr>
              <w:t>’</w:t>
            </w:r>
            <w:r w:rsidRPr="001753D7">
              <w:rPr>
                <w:rFonts w:eastAsiaTheme="minorEastAsia" w:cs="Calibri"/>
                <w:color w:val="000000"/>
                <w:sz w:val="16"/>
                <w:szCs w:val="16"/>
                <w:lang w:eastAsia="en-AU"/>
              </w:rPr>
              <w:t xml:space="preserve"> holdings</w:t>
            </w:r>
          </w:p>
        </w:tc>
        <w:tc>
          <w:tcPr>
            <w:tcW w:w="686"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1 062</w:t>
            </w:r>
          </w:p>
        </w:tc>
        <w:tc>
          <w:tcPr>
            <w:tcW w:w="10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909"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980"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(29)</w:t>
            </w:r>
          </w:p>
        </w:tc>
        <w:tc>
          <w:tcPr>
            <w:tcW w:w="100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4</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1595"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82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127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8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1 036</w:t>
            </w:r>
          </w:p>
        </w:tc>
      </w:tr>
      <w:tr w:rsidR="001753D7" w:rsidRPr="001753D7"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tcPr>
          <w:p w:rsidR="00BB6F1F" w:rsidRPr="001753D7" w:rsidRDefault="00BB6F1F" w:rsidP="00204EB0">
            <w:pPr>
              <w:keepLines w:val="0"/>
              <w:autoSpaceDE w:val="0"/>
              <w:autoSpaceDN w:val="0"/>
              <w:adjustRightInd w:val="0"/>
              <w:spacing w:after="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Plant, equipment, vehicles and infrastructure systems</w:t>
            </w:r>
          </w:p>
        </w:tc>
        <w:tc>
          <w:tcPr>
            <w:tcW w:w="686"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3 123</w:t>
            </w:r>
          </w:p>
        </w:tc>
        <w:tc>
          <w:tcPr>
            <w:tcW w:w="10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(451)</w:t>
            </w:r>
          </w:p>
        </w:tc>
        <w:tc>
          <w:tcPr>
            <w:tcW w:w="909"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19</w:t>
            </w:r>
          </w:p>
        </w:tc>
        <w:tc>
          <w:tcPr>
            <w:tcW w:w="980"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45</w:t>
            </w:r>
          </w:p>
        </w:tc>
        <w:tc>
          <w:tcPr>
            <w:tcW w:w="100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121</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76</w:t>
            </w:r>
          </w:p>
        </w:tc>
        <w:tc>
          <w:tcPr>
            <w:tcW w:w="1595"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w:t>
            </w:r>
          </w:p>
        </w:tc>
        <w:tc>
          <w:tcPr>
            <w:tcW w:w="82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68</w:t>
            </w:r>
          </w:p>
        </w:tc>
        <w:tc>
          <w:tcPr>
            <w:tcW w:w="127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(48)</w:t>
            </w:r>
          </w:p>
        </w:tc>
        <w:tc>
          <w:tcPr>
            <w:tcW w:w="8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2 953</w:t>
            </w:r>
          </w:p>
        </w:tc>
      </w:tr>
      <w:tr w:rsidR="001753D7" w:rsidRPr="001753D7"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tcPr>
          <w:p w:rsidR="00BB6F1F" w:rsidRPr="001753D7" w:rsidRDefault="00BB6F1F" w:rsidP="00204EB0">
            <w:pPr>
              <w:keepLines w:val="0"/>
              <w:autoSpaceDE w:val="0"/>
              <w:autoSpaceDN w:val="0"/>
              <w:adjustRightInd w:val="0"/>
              <w:spacing w:after="0"/>
              <w:rPr>
                <w:rFonts w:eastAsiaTheme="minorEastAsia" w:cs="Calibri"/>
                <w:color w:val="000000"/>
                <w:sz w:val="16"/>
                <w:szCs w:val="16"/>
                <w:lang w:eastAsia="en-AU"/>
              </w:rPr>
            </w:pPr>
            <w:r w:rsidRPr="001753D7">
              <w:rPr>
                <w:rFonts w:eastAsiaTheme="minorEastAsia" w:cs="Calibri"/>
                <w:color w:val="000000"/>
                <w:sz w:val="16"/>
                <w:szCs w:val="16"/>
                <w:lang w:eastAsia="en-AU"/>
              </w:rPr>
              <w:t xml:space="preserve">   Infrastructure systems</w:t>
            </w:r>
          </w:p>
        </w:tc>
        <w:tc>
          <w:tcPr>
            <w:tcW w:w="686"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1 094</w:t>
            </w:r>
          </w:p>
        </w:tc>
        <w:tc>
          <w:tcPr>
            <w:tcW w:w="10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(53)</w:t>
            </w:r>
          </w:p>
        </w:tc>
        <w:tc>
          <w:tcPr>
            <w:tcW w:w="909"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980"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58</w:t>
            </w:r>
          </w:p>
        </w:tc>
        <w:tc>
          <w:tcPr>
            <w:tcW w:w="100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56</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1595"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82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26</w:t>
            </w:r>
          </w:p>
        </w:tc>
        <w:tc>
          <w:tcPr>
            <w:tcW w:w="127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4</w:t>
            </w:r>
          </w:p>
        </w:tc>
        <w:tc>
          <w:tcPr>
            <w:tcW w:w="8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1 186</w:t>
            </w:r>
          </w:p>
        </w:tc>
      </w:tr>
      <w:tr w:rsidR="001753D7" w:rsidRPr="001753D7"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tcPr>
          <w:p w:rsidR="00BB6F1F" w:rsidRPr="001753D7" w:rsidRDefault="00BB6F1F" w:rsidP="00204EB0">
            <w:pPr>
              <w:keepLines w:val="0"/>
              <w:autoSpaceDE w:val="0"/>
              <w:autoSpaceDN w:val="0"/>
              <w:adjustRightInd w:val="0"/>
              <w:spacing w:after="0"/>
              <w:rPr>
                <w:rFonts w:eastAsiaTheme="minorEastAsia" w:cs="Calibri"/>
                <w:color w:val="000000"/>
                <w:sz w:val="16"/>
                <w:szCs w:val="16"/>
                <w:lang w:eastAsia="en-AU"/>
              </w:rPr>
            </w:pPr>
            <w:r w:rsidRPr="001753D7">
              <w:rPr>
                <w:rFonts w:eastAsiaTheme="minorEastAsia" w:cs="Calibri"/>
                <w:color w:val="000000"/>
                <w:sz w:val="16"/>
                <w:szCs w:val="16"/>
                <w:lang w:eastAsia="en-AU"/>
              </w:rPr>
              <w:t xml:space="preserve">   Plant, equipment and vehicles</w:t>
            </w:r>
          </w:p>
        </w:tc>
        <w:tc>
          <w:tcPr>
            <w:tcW w:w="686"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2 029</w:t>
            </w:r>
          </w:p>
        </w:tc>
        <w:tc>
          <w:tcPr>
            <w:tcW w:w="10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(398)</w:t>
            </w:r>
          </w:p>
        </w:tc>
        <w:tc>
          <w:tcPr>
            <w:tcW w:w="909"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19</w:t>
            </w:r>
          </w:p>
        </w:tc>
        <w:tc>
          <w:tcPr>
            <w:tcW w:w="980"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(13)</w:t>
            </w:r>
          </w:p>
        </w:tc>
        <w:tc>
          <w:tcPr>
            <w:tcW w:w="100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65</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76</w:t>
            </w:r>
          </w:p>
        </w:tc>
        <w:tc>
          <w:tcPr>
            <w:tcW w:w="1595"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w:t>
            </w:r>
          </w:p>
        </w:tc>
        <w:tc>
          <w:tcPr>
            <w:tcW w:w="82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42</w:t>
            </w:r>
          </w:p>
        </w:tc>
        <w:tc>
          <w:tcPr>
            <w:tcW w:w="127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(53)</w:t>
            </w:r>
          </w:p>
        </w:tc>
        <w:tc>
          <w:tcPr>
            <w:tcW w:w="8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1753D7">
              <w:rPr>
                <w:rFonts w:eastAsiaTheme="minorEastAsia" w:cs="Calibri"/>
                <w:color w:val="000000"/>
                <w:sz w:val="16"/>
                <w:szCs w:val="16"/>
                <w:lang w:eastAsia="en-AU"/>
              </w:rPr>
              <w:t>1 766</w:t>
            </w:r>
          </w:p>
        </w:tc>
      </w:tr>
      <w:tr w:rsidR="001753D7" w:rsidRPr="001753D7"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tcPr>
          <w:p w:rsidR="00BB6F1F" w:rsidRPr="001753D7" w:rsidRDefault="00BB6F1F" w:rsidP="00204EB0">
            <w:pPr>
              <w:keepLines w:val="0"/>
              <w:autoSpaceDE w:val="0"/>
              <w:autoSpaceDN w:val="0"/>
              <w:adjustRightInd w:val="0"/>
              <w:spacing w:after="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Roads, road infrastructure and earthworks</w:t>
            </w:r>
          </w:p>
        </w:tc>
        <w:tc>
          <w:tcPr>
            <w:tcW w:w="686"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26 798</w:t>
            </w:r>
          </w:p>
        </w:tc>
        <w:tc>
          <w:tcPr>
            <w:tcW w:w="10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(606)</w:t>
            </w:r>
          </w:p>
        </w:tc>
        <w:tc>
          <w:tcPr>
            <w:tcW w:w="909"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(48)</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w:t>
            </w:r>
          </w:p>
        </w:tc>
        <w:tc>
          <w:tcPr>
            <w:tcW w:w="980"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(203)</w:t>
            </w:r>
          </w:p>
        </w:tc>
        <w:tc>
          <w:tcPr>
            <w:tcW w:w="100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383</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782</w:t>
            </w:r>
          </w:p>
        </w:tc>
        <w:tc>
          <w:tcPr>
            <w:tcW w:w="1595"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w:t>
            </w:r>
          </w:p>
        </w:tc>
        <w:tc>
          <w:tcPr>
            <w:tcW w:w="82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w:t>
            </w:r>
          </w:p>
        </w:tc>
        <w:tc>
          <w:tcPr>
            <w:tcW w:w="127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w:t>
            </w:r>
          </w:p>
        </w:tc>
        <w:tc>
          <w:tcPr>
            <w:tcW w:w="8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27 106</w:t>
            </w:r>
          </w:p>
        </w:tc>
      </w:tr>
      <w:tr w:rsidR="001753D7" w:rsidRPr="001753D7" w:rsidTr="001753D7">
        <w:tc>
          <w:tcPr>
            <w:cnfStyle w:val="001000000000" w:firstRow="0" w:lastRow="0" w:firstColumn="1" w:lastColumn="0" w:oddVBand="0" w:evenVBand="0" w:oddHBand="0" w:evenHBand="0" w:firstRowFirstColumn="0" w:firstRowLastColumn="0" w:lastRowFirstColumn="0" w:lastRowLastColumn="0"/>
            <w:tcW w:w="331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Cultural assets</w:t>
            </w:r>
          </w:p>
        </w:tc>
        <w:tc>
          <w:tcPr>
            <w:tcW w:w="686"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2 122</w:t>
            </w:r>
          </w:p>
        </w:tc>
        <w:tc>
          <w:tcPr>
            <w:tcW w:w="10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(12)</w:t>
            </w:r>
          </w:p>
        </w:tc>
        <w:tc>
          <w:tcPr>
            <w:tcW w:w="909"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w:t>
            </w:r>
          </w:p>
        </w:tc>
        <w:tc>
          <w:tcPr>
            <w:tcW w:w="980"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(86)</w:t>
            </w:r>
          </w:p>
        </w:tc>
        <w:tc>
          <w:tcPr>
            <w:tcW w:w="100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2</w:t>
            </w:r>
          </w:p>
        </w:tc>
        <w:tc>
          <w:tcPr>
            <w:tcW w:w="106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w:t>
            </w:r>
          </w:p>
        </w:tc>
        <w:tc>
          <w:tcPr>
            <w:tcW w:w="1595"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w:t>
            </w:r>
          </w:p>
        </w:tc>
        <w:tc>
          <w:tcPr>
            <w:tcW w:w="828"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1 557</w:t>
            </w:r>
          </w:p>
        </w:tc>
        <w:tc>
          <w:tcPr>
            <w:tcW w:w="1274"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48</w:t>
            </w:r>
          </w:p>
        </w:tc>
        <w:tc>
          <w:tcPr>
            <w:tcW w:w="822" w:type="dxa"/>
            <w:tcBorders>
              <w:top w:val="nil"/>
              <w:left w:val="nil"/>
              <w:bottom w:val="nil"/>
              <w:right w:val="nil"/>
            </w:tcBorders>
            <w:shd w:val="solid" w:color="FFFFFF" w:fill="auto"/>
          </w:tcPr>
          <w:p w:rsidR="00BB6F1F" w:rsidRPr="001753D7" w:rsidRDefault="00BB6F1F" w:rsidP="00204EB0">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1753D7">
              <w:rPr>
                <w:rFonts w:eastAsiaTheme="minorEastAsia" w:cs="Calibri"/>
                <w:b/>
                <w:bCs/>
                <w:color w:val="000000"/>
                <w:sz w:val="16"/>
                <w:szCs w:val="16"/>
                <w:lang w:eastAsia="en-AU"/>
              </w:rPr>
              <w:t>3 632</w:t>
            </w:r>
          </w:p>
        </w:tc>
      </w:tr>
      <w:tr w:rsidR="001753D7" w:rsidRPr="001753D7" w:rsidTr="001753D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8" w:type="dxa"/>
            <w:tcBorders>
              <w:top w:val="single" w:sz="6" w:space="0" w:color="auto"/>
              <w:bottom w:val="single" w:sz="12" w:space="0" w:color="auto"/>
            </w:tcBorders>
          </w:tcPr>
          <w:p w:rsidR="00BB6F1F" w:rsidRPr="001753D7" w:rsidRDefault="00BB6F1F" w:rsidP="00204EB0">
            <w:pPr>
              <w:keepLines w:val="0"/>
              <w:autoSpaceDE w:val="0"/>
              <w:autoSpaceDN w:val="0"/>
              <w:adjustRightInd w:val="0"/>
              <w:spacing w:after="0"/>
              <w:rPr>
                <w:rFonts w:eastAsiaTheme="minorEastAsia" w:cs="Calibri"/>
                <w:bCs/>
                <w:color w:val="000000"/>
                <w:sz w:val="16"/>
                <w:szCs w:val="16"/>
                <w:lang w:eastAsia="en-AU"/>
              </w:rPr>
            </w:pPr>
            <w:r w:rsidRPr="001753D7">
              <w:rPr>
                <w:rFonts w:eastAsiaTheme="minorEastAsia" w:cs="Calibri"/>
                <w:bCs/>
                <w:color w:val="000000"/>
                <w:sz w:val="16"/>
                <w:szCs w:val="16"/>
                <w:lang w:eastAsia="en-AU"/>
              </w:rPr>
              <w:t>Total</w:t>
            </w:r>
          </w:p>
        </w:tc>
        <w:tc>
          <w:tcPr>
            <w:tcW w:w="686" w:type="dxa"/>
            <w:tcBorders>
              <w:top w:val="single" w:sz="6" w:space="0" w:color="auto"/>
              <w:bottom w:val="single" w:sz="12" w:space="0" w:color="auto"/>
            </w:tcBorders>
            <w:shd w:val="solid" w:color="FFFFFF" w:fill="auto"/>
          </w:tcPr>
          <w:p w:rsidR="00BB6F1F" w:rsidRPr="001753D7"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1753D7">
              <w:rPr>
                <w:rFonts w:eastAsiaTheme="minorEastAsia" w:cs="Calibri"/>
                <w:bCs/>
                <w:color w:val="000000"/>
                <w:sz w:val="16"/>
                <w:szCs w:val="16"/>
                <w:lang w:eastAsia="en-AU"/>
              </w:rPr>
              <w:t>94 611</w:t>
            </w:r>
          </w:p>
        </w:tc>
        <w:tc>
          <w:tcPr>
            <w:tcW w:w="1022" w:type="dxa"/>
            <w:tcBorders>
              <w:top w:val="single" w:sz="6" w:space="0" w:color="auto"/>
              <w:bottom w:val="single" w:sz="12" w:space="0" w:color="auto"/>
            </w:tcBorders>
            <w:shd w:val="solid" w:color="FFFFFF" w:fill="auto"/>
          </w:tcPr>
          <w:p w:rsidR="00BB6F1F" w:rsidRPr="001753D7"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1753D7">
              <w:rPr>
                <w:rFonts w:eastAsiaTheme="minorEastAsia" w:cs="Calibri"/>
                <w:bCs/>
                <w:color w:val="000000"/>
                <w:sz w:val="16"/>
                <w:szCs w:val="16"/>
                <w:lang w:eastAsia="en-AU"/>
              </w:rPr>
              <w:t>(2 058)</w:t>
            </w:r>
          </w:p>
        </w:tc>
        <w:tc>
          <w:tcPr>
            <w:tcW w:w="909" w:type="dxa"/>
            <w:tcBorders>
              <w:top w:val="single" w:sz="6" w:space="0" w:color="auto"/>
              <w:bottom w:val="single" w:sz="12" w:space="0" w:color="auto"/>
            </w:tcBorders>
            <w:shd w:val="solid" w:color="FFFFFF" w:fill="auto"/>
          </w:tcPr>
          <w:p w:rsidR="00BB6F1F" w:rsidRPr="001753D7"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1753D7">
              <w:rPr>
                <w:rFonts w:eastAsiaTheme="minorEastAsia" w:cs="Calibri"/>
                <w:bCs/>
                <w:color w:val="000000"/>
                <w:sz w:val="16"/>
                <w:szCs w:val="16"/>
                <w:lang w:eastAsia="en-AU"/>
              </w:rPr>
              <w:t>(99)</w:t>
            </w:r>
          </w:p>
        </w:tc>
        <w:tc>
          <w:tcPr>
            <w:tcW w:w="1064" w:type="dxa"/>
            <w:tcBorders>
              <w:top w:val="single" w:sz="6" w:space="0" w:color="auto"/>
              <w:bottom w:val="single" w:sz="12" w:space="0" w:color="auto"/>
            </w:tcBorders>
            <w:shd w:val="solid" w:color="FFFFFF" w:fill="auto"/>
          </w:tcPr>
          <w:p w:rsidR="00BB6F1F" w:rsidRPr="001753D7"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1753D7">
              <w:rPr>
                <w:rFonts w:eastAsiaTheme="minorEastAsia" w:cs="Calibri"/>
                <w:bCs/>
                <w:color w:val="000000"/>
                <w:sz w:val="16"/>
                <w:szCs w:val="16"/>
                <w:lang w:eastAsia="en-AU"/>
              </w:rPr>
              <w:t>77</w:t>
            </w:r>
          </w:p>
        </w:tc>
        <w:tc>
          <w:tcPr>
            <w:tcW w:w="980" w:type="dxa"/>
            <w:tcBorders>
              <w:top w:val="single" w:sz="6" w:space="0" w:color="auto"/>
              <w:bottom w:val="single" w:sz="12" w:space="0" w:color="auto"/>
            </w:tcBorders>
            <w:shd w:val="solid" w:color="FFFFFF" w:fill="auto"/>
          </w:tcPr>
          <w:p w:rsidR="00BB6F1F" w:rsidRPr="001753D7"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1753D7">
              <w:rPr>
                <w:rFonts w:eastAsiaTheme="minorEastAsia" w:cs="Calibri"/>
                <w:bCs/>
                <w:color w:val="000000"/>
                <w:sz w:val="16"/>
                <w:szCs w:val="16"/>
                <w:lang w:eastAsia="en-AU"/>
              </w:rPr>
              <w:t>5 861</w:t>
            </w:r>
          </w:p>
        </w:tc>
        <w:tc>
          <w:tcPr>
            <w:tcW w:w="1008" w:type="dxa"/>
            <w:tcBorders>
              <w:top w:val="single" w:sz="6" w:space="0" w:color="auto"/>
              <w:bottom w:val="single" w:sz="12" w:space="0" w:color="auto"/>
            </w:tcBorders>
            <w:shd w:val="solid" w:color="FFFFFF" w:fill="auto"/>
          </w:tcPr>
          <w:p w:rsidR="00BB6F1F" w:rsidRPr="001753D7"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1753D7">
              <w:rPr>
                <w:rFonts w:eastAsiaTheme="minorEastAsia" w:cs="Calibri"/>
                <w:bCs/>
                <w:color w:val="000000"/>
                <w:sz w:val="16"/>
                <w:szCs w:val="16"/>
                <w:lang w:eastAsia="en-AU"/>
              </w:rPr>
              <w:t>532</w:t>
            </w:r>
          </w:p>
        </w:tc>
        <w:tc>
          <w:tcPr>
            <w:tcW w:w="1064" w:type="dxa"/>
            <w:tcBorders>
              <w:top w:val="single" w:sz="6" w:space="0" w:color="auto"/>
              <w:bottom w:val="single" w:sz="12" w:space="0" w:color="auto"/>
            </w:tcBorders>
            <w:shd w:val="solid" w:color="FFFFFF" w:fill="auto"/>
          </w:tcPr>
          <w:p w:rsidR="00BB6F1F" w:rsidRPr="001753D7"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1753D7">
              <w:rPr>
                <w:rFonts w:eastAsiaTheme="minorEastAsia" w:cs="Calibri"/>
                <w:bCs/>
                <w:color w:val="000000"/>
                <w:sz w:val="16"/>
                <w:szCs w:val="16"/>
                <w:lang w:eastAsia="en-AU"/>
              </w:rPr>
              <w:t>1 803</w:t>
            </w:r>
          </w:p>
        </w:tc>
        <w:tc>
          <w:tcPr>
            <w:tcW w:w="1595" w:type="dxa"/>
            <w:tcBorders>
              <w:top w:val="single" w:sz="6" w:space="0" w:color="auto"/>
              <w:bottom w:val="single" w:sz="12" w:space="0" w:color="auto"/>
            </w:tcBorders>
            <w:shd w:val="solid" w:color="FFFFFF" w:fill="auto"/>
          </w:tcPr>
          <w:p w:rsidR="00BB6F1F" w:rsidRPr="001753D7"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1753D7">
              <w:rPr>
                <w:rFonts w:eastAsiaTheme="minorEastAsia" w:cs="Calibri"/>
                <w:bCs/>
                <w:color w:val="000000"/>
                <w:sz w:val="16"/>
                <w:szCs w:val="16"/>
                <w:lang w:eastAsia="en-AU"/>
              </w:rPr>
              <w:t>..</w:t>
            </w:r>
          </w:p>
        </w:tc>
        <w:tc>
          <w:tcPr>
            <w:tcW w:w="828" w:type="dxa"/>
            <w:tcBorders>
              <w:top w:val="single" w:sz="6" w:space="0" w:color="auto"/>
              <w:bottom w:val="single" w:sz="12" w:space="0" w:color="auto"/>
            </w:tcBorders>
            <w:shd w:val="solid" w:color="FFFFFF" w:fill="auto"/>
          </w:tcPr>
          <w:p w:rsidR="00BB6F1F" w:rsidRPr="001753D7"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1753D7">
              <w:rPr>
                <w:rFonts w:eastAsiaTheme="minorEastAsia" w:cs="Calibri"/>
                <w:bCs/>
                <w:color w:val="000000"/>
                <w:sz w:val="16"/>
                <w:szCs w:val="16"/>
                <w:lang w:eastAsia="en-AU"/>
              </w:rPr>
              <w:t>1 843</w:t>
            </w:r>
          </w:p>
        </w:tc>
        <w:tc>
          <w:tcPr>
            <w:tcW w:w="1274" w:type="dxa"/>
            <w:tcBorders>
              <w:top w:val="single" w:sz="6" w:space="0" w:color="auto"/>
              <w:bottom w:val="single" w:sz="12" w:space="0" w:color="auto"/>
            </w:tcBorders>
            <w:shd w:val="solid" w:color="FFFFFF" w:fill="auto"/>
          </w:tcPr>
          <w:p w:rsidR="00BB6F1F" w:rsidRPr="001753D7"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1753D7">
              <w:rPr>
                <w:rFonts w:eastAsiaTheme="minorEastAsia" w:cs="Calibri"/>
                <w:bCs/>
                <w:color w:val="000000"/>
                <w:sz w:val="16"/>
                <w:szCs w:val="16"/>
                <w:lang w:eastAsia="en-AU"/>
              </w:rPr>
              <w:t>10</w:t>
            </w:r>
          </w:p>
        </w:tc>
        <w:tc>
          <w:tcPr>
            <w:tcW w:w="822" w:type="dxa"/>
            <w:tcBorders>
              <w:top w:val="single" w:sz="6" w:space="0" w:color="auto"/>
              <w:bottom w:val="single" w:sz="12" w:space="0" w:color="auto"/>
            </w:tcBorders>
            <w:shd w:val="solid" w:color="FFFFFF" w:fill="auto"/>
          </w:tcPr>
          <w:p w:rsidR="00BB6F1F" w:rsidRPr="001753D7" w:rsidRDefault="00BB6F1F" w:rsidP="00204EB0">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1753D7">
              <w:rPr>
                <w:rFonts w:eastAsiaTheme="minorEastAsia" w:cs="Calibri"/>
                <w:bCs/>
                <w:color w:val="000000"/>
                <w:sz w:val="16"/>
                <w:szCs w:val="16"/>
                <w:lang w:eastAsia="en-AU"/>
              </w:rPr>
              <w:t>102 579</w:t>
            </w:r>
          </w:p>
        </w:tc>
      </w:tr>
    </w:tbl>
    <w:p w:rsidR="00BB6F1F" w:rsidRDefault="00BB6F1F" w:rsidP="00AC68FF">
      <w:pPr>
        <w:pStyle w:val="Note"/>
      </w:pPr>
      <w:r>
        <w:t>Note:</w:t>
      </w:r>
    </w:p>
    <w:p w:rsidR="00BB6F1F" w:rsidRDefault="00BB6F1F" w:rsidP="00AC68FF">
      <w:pPr>
        <w:pStyle w:val="Note"/>
      </w:pPr>
      <w:r>
        <w:t>(a)</w:t>
      </w:r>
      <w:r>
        <w:tab/>
      </w:r>
      <w:r w:rsidRPr="00AF5DF9">
        <w:t xml:space="preserve">June 2016 comparative figures have been </w:t>
      </w:r>
      <w:r>
        <w:t>restated to more accurately reflect the nature of transactions.</w:t>
      </w:r>
      <w:r w:rsidRPr="00AF5DF9">
        <w:t xml:space="preserve">  </w:t>
      </w:r>
    </w:p>
    <w:p w:rsidR="00BB6F1F" w:rsidRDefault="00BB6F1F" w:rsidP="00AC68FF">
      <w:pPr>
        <w:sectPr w:rsidR="00BB6F1F" w:rsidSect="00AC68FF">
          <w:headerReference w:type="even" r:id="rId115"/>
          <w:headerReference w:type="default" r:id="rId116"/>
          <w:footerReference w:type="even" r:id="rId117"/>
          <w:footerReference w:type="default" r:id="rId118"/>
          <w:pgSz w:w="16839" w:h="11907" w:orient="landscape" w:code="9"/>
          <w:pgMar w:top="1134" w:right="1134" w:bottom="1134" w:left="1134" w:header="624" w:footer="567" w:gutter="0"/>
          <w:cols w:sep="1" w:space="567"/>
          <w:docGrid w:linePitch="360"/>
        </w:sectPr>
      </w:pPr>
    </w:p>
    <w:p w:rsidR="00BB6F1F" w:rsidRDefault="00BB6F1F" w:rsidP="00AC68FF">
      <w:pPr>
        <w:pStyle w:val="Heading30"/>
        <w:spacing w:before="0"/>
      </w:pPr>
      <w:r>
        <w:lastRenderedPageBreak/>
        <w:t>Description of valuation techniques and significant unobservable inputs to Level 3 fair value measurements</w:t>
      </w:r>
    </w:p>
    <w:p w:rsidR="00BB6F1F" w:rsidRDefault="00BB6F1F" w:rsidP="00AC68FF">
      <w:r>
        <w:t xml:space="preserve">The State measures all non-financial physical assets initially at cost and subsequently </w:t>
      </w:r>
      <w:proofErr w:type="spellStart"/>
      <w:r>
        <w:t>revalues</w:t>
      </w:r>
      <w:proofErr w:type="spellEnd"/>
      <w:r>
        <w:t xml:space="preserve"> the assets at fair value less accumulated depreciation and impairment. The disclosure below provides additional information about the Level 3 measurements (fair value measurements using significant unobservable inputs).</w:t>
      </w:r>
    </w:p>
    <w:p w:rsidR="00BB6F1F" w:rsidRDefault="00BB6F1F" w:rsidP="00AC68FF">
      <w:r>
        <w:t xml:space="preserve">The Victorian not-for-profit public sector entities hold their recurring non-financial assets measured at Level 3 primarily for service potential rather than their ability to generate net cash inflows, which is the case with the Victorian not-for-profit public sector entities. </w:t>
      </w:r>
    </w:p>
    <w:p w:rsidR="00BB6F1F" w:rsidRDefault="00BB6F1F" w:rsidP="00AC68FF">
      <w:r>
        <w:lastRenderedPageBreak/>
        <w:t xml:space="preserve">The Government’s designated entities as for profit in accordance with FRD 108C </w:t>
      </w:r>
      <w:r w:rsidRPr="00356D9A">
        <w:rPr>
          <w:i/>
        </w:rPr>
        <w:t>Classification of entities as for profit</w:t>
      </w:r>
      <w:r>
        <w:t>, are considered to be primarily held to generate future net cash flows.</w:t>
      </w:r>
    </w:p>
    <w:p w:rsidR="00BB6F1F" w:rsidRDefault="00BB6F1F" w:rsidP="00AC68FF">
      <w:r>
        <w:t>See below the respective fair value disclosures for not-for-profit and for profit public sector entities. The disclosures refer to the significant asset balances within each of the different Level 3 asset classes. These assets are measured at the end of the reporting period using inputs not based on observable market data. The sensitivity of the unobservable input to fair value has been assessed and a significant increase or decrease in the significant unobservable input will result in significant higher or lower valuation of the underlying asset.</w:t>
      </w:r>
    </w:p>
    <w:p w:rsidR="00BB6F1F" w:rsidRDefault="00BB6F1F" w:rsidP="00AC68FF">
      <w:pPr>
        <w:pStyle w:val="TableHeading"/>
        <w:sectPr w:rsidR="00BB6F1F" w:rsidSect="00AC68FF">
          <w:headerReference w:type="even" r:id="rId119"/>
          <w:headerReference w:type="default" r:id="rId120"/>
          <w:footerReference w:type="even" r:id="rId121"/>
          <w:footerReference w:type="default" r:id="rId122"/>
          <w:pgSz w:w="11907" w:h="16839" w:code="9"/>
          <w:pgMar w:top="1134" w:right="1134" w:bottom="1134" w:left="1134" w:header="624" w:footer="567" w:gutter="0"/>
          <w:cols w:num="2" w:space="709"/>
          <w:docGrid w:linePitch="360"/>
        </w:sectPr>
      </w:pPr>
    </w:p>
    <w:p w:rsidR="00BB6F1F" w:rsidRDefault="00BB6F1F">
      <w:pPr>
        <w:keepLines w:val="0"/>
        <w:rPr>
          <w:rFonts w:asciiTheme="majorHAnsi" w:hAnsiTheme="majorHAnsi"/>
          <w:b/>
          <w:sz w:val="20"/>
          <w:szCs w:val="20"/>
        </w:rPr>
      </w:pPr>
      <w:r>
        <w:lastRenderedPageBreak/>
        <w:br w:type="page"/>
      </w:r>
    </w:p>
    <w:p w:rsidR="00BB6F1F" w:rsidRDefault="00BB6F1F" w:rsidP="00AC68FF">
      <w:pPr>
        <w:pStyle w:val="TableHeading"/>
      </w:pPr>
      <w:r w:rsidRPr="00BA1D53">
        <w:lastRenderedPageBreak/>
        <w:t>Fair value disclosure for assets held primarily for service potential</w:t>
      </w:r>
    </w:p>
    <w:tbl>
      <w:tblPr>
        <w:tblStyle w:val="DTFTextTable"/>
        <w:tblW w:w="9638" w:type="dxa"/>
        <w:tblLayout w:type="fixed"/>
        <w:tblLook w:val="0620" w:firstRow="1" w:lastRow="0" w:firstColumn="0" w:lastColumn="0" w:noHBand="1" w:noVBand="1"/>
      </w:tblPr>
      <w:tblGrid>
        <w:gridCol w:w="3572"/>
        <w:gridCol w:w="2852"/>
        <w:gridCol w:w="3214"/>
      </w:tblGrid>
      <w:tr w:rsidR="00BB6F1F" w:rsidRPr="00092971" w:rsidTr="00AC68FF">
        <w:trPr>
          <w:cnfStyle w:val="100000000000" w:firstRow="1" w:lastRow="0" w:firstColumn="0" w:lastColumn="0" w:oddVBand="0" w:evenVBand="0" w:oddHBand="0" w:evenHBand="0" w:firstRowFirstColumn="0" w:firstRowLastColumn="0" w:lastRowFirstColumn="0" w:lastRowLastColumn="0"/>
        </w:trPr>
        <w:tc>
          <w:tcPr>
            <w:tcW w:w="3572" w:type="dxa"/>
          </w:tcPr>
          <w:p w:rsidR="00BB6F1F" w:rsidRPr="00092971" w:rsidRDefault="00BB6F1F" w:rsidP="00AC68FF">
            <w:pPr>
              <w:spacing w:before="60" w:after="60"/>
              <w:rPr>
                <w:color w:val="FFFFFF"/>
              </w:rPr>
            </w:pPr>
            <w:r w:rsidRPr="00092971">
              <w:rPr>
                <w:color w:val="FFFFFF"/>
              </w:rPr>
              <w:t>Asset class</w:t>
            </w:r>
          </w:p>
        </w:tc>
        <w:tc>
          <w:tcPr>
            <w:tcW w:w="2852" w:type="dxa"/>
          </w:tcPr>
          <w:p w:rsidR="00BB6F1F" w:rsidRPr="00092971" w:rsidRDefault="00BB6F1F" w:rsidP="00AC68FF">
            <w:pPr>
              <w:spacing w:before="60" w:after="60"/>
              <w:rPr>
                <w:color w:val="FFFFFF"/>
              </w:rPr>
            </w:pPr>
            <w:r w:rsidRPr="00092971">
              <w:rPr>
                <w:color w:val="FFFFFF"/>
              </w:rPr>
              <w:t>Valuation technique</w:t>
            </w:r>
          </w:p>
        </w:tc>
        <w:tc>
          <w:tcPr>
            <w:tcW w:w="3214" w:type="dxa"/>
          </w:tcPr>
          <w:p w:rsidR="00BB6F1F" w:rsidRPr="00092971" w:rsidRDefault="00BB6F1F" w:rsidP="00AC68FF">
            <w:pPr>
              <w:spacing w:before="60" w:after="60"/>
              <w:rPr>
                <w:color w:val="FFFFFF"/>
              </w:rPr>
            </w:pPr>
            <w:r w:rsidRPr="00092971">
              <w:rPr>
                <w:color w:val="FFFFFF"/>
              </w:rPr>
              <w:t>Significant unobservable input</w:t>
            </w:r>
          </w:p>
        </w:tc>
      </w:tr>
      <w:tr w:rsidR="00BB6F1F" w:rsidRPr="00092971" w:rsidTr="00AC68FF">
        <w:tc>
          <w:tcPr>
            <w:tcW w:w="9638" w:type="dxa"/>
            <w:gridSpan w:val="3"/>
            <w:shd w:val="clear" w:color="auto" w:fill="EBEBEB" w:themeFill="background2"/>
          </w:tcPr>
          <w:p w:rsidR="00BB6F1F" w:rsidRPr="00092971" w:rsidRDefault="00BB6F1F" w:rsidP="00AC68FF">
            <w:pPr>
              <w:spacing w:before="60" w:after="60"/>
              <w:ind w:left="170" w:hanging="170"/>
              <w:rPr>
                <w:b/>
                <w:color w:val="000000"/>
              </w:rPr>
            </w:pPr>
            <w:r w:rsidRPr="00092971">
              <w:rPr>
                <w:b/>
                <w:color w:val="000000"/>
              </w:rPr>
              <w:t>Buildings</w:t>
            </w:r>
          </w:p>
        </w:tc>
      </w:tr>
      <w:tr w:rsidR="00BB6F1F" w:rsidRPr="00092971" w:rsidTr="00AC68FF">
        <w:tc>
          <w:tcPr>
            <w:tcW w:w="3572" w:type="dxa"/>
          </w:tcPr>
          <w:p w:rsidR="00BB6F1F" w:rsidRPr="00092971" w:rsidRDefault="00BB6F1F" w:rsidP="00AC68FF">
            <w:pPr>
              <w:spacing w:before="60" w:after="60"/>
              <w:ind w:left="170" w:hanging="170"/>
              <w:rPr>
                <w:color w:val="000000"/>
              </w:rPr>
            </w:pPr>
            <w:r w:rsidRPr="00092971">
              <w:rPr>
                <w:color w:val="000000"/>
              </w:rPr>
              <w:t>Non-specialised buildings</w:t>
            </w:r>
          </w:p>
        </w:tc>
        <w:tc>
          <w:tcPr>
            <w:tcW w:w="2852" w:type="dxa"/>
          </w:tcPr>
          <w:p w:rsidR="00BB6F1F" w:rsidRPr="00092971" w:rsidRDefault="00BB6F1F" w:rsidP="00AC68FF">
            <w:pPr>
              <w:spacing w:before="60" w:after="60"/>
              <w:ind w:left="170" w:hanging="170"/>
              <w:rPr>
                <w:color w:val="000000"/>
              </w:rPr>
            </w:pPr>
            <w:r w:rsidRPr="00092971">
              <w:rPr>
                <w:color w:val="000000"/>
              </w:rPr>
              <w:t>Depreciated replacement cost</w:t>
            </w:r>
          </w:p>
        </w:tc>
        <w:tc>
          <w:tcPr>
            <w:tcW w:w="3214" w:type="dxa"/>
          </w:tcPr>
          <w:p w:rsidR="00BB6F1F" w:rsidRDefault="00BB6F1F" w:rsidP="00AC68FF">
            <w:pPr>
              <w:spacing w:before="60" w:after="60"/>
              <w:ind w:left="170" w:hanging="170"/>
              <w:rPr>
                <w:color w:val="000000"/>
              </w:rPr>
            </w:pPr>
            <w:r>
              <w:rPr>
                <w:color w:val="000000"/>
              </w:rPr>
              <w:t>Direct cost per square metre</w:t>
            </w:r>
          </w:p>
          <w:p w:rsidR="00BB6F1F" w:rsidRPr="00092971" w:rsidRDefault="00BB6F1F" w:rsidP="00AC68FF">
            <w:pPr>
              <w:spacing w:before="60" w:after="60"/>
              <w:ind w:left="170" w:hanging="170"/>
              <w:rPr>
                <w:color w:val="000000"/>
              </w:rPr>
            </w:pPr>
            <w:r>
              <w:rPr>
                <w:color w:val="000000"/>
              </w:rPr>
              <w:t>Useful life</w:t>
            </w:r>
          </w:p>
        </w:tc>
      </w:tr>
      <w:tr w:rsidR="00BB6F1F" w:rsidRPr="00092971" w:rsidTr="00AC68FF">
        <w:tc>
          <w:tcPr>
            <w:tcW w:w="3572" w:type="dxa"/>
          </w:tcPr>
          <w:p w:rsidR="00BB6F1F" w:rsidRPr="00092971" w:rsidRDefault="00BB6F1F" w:rsidP="00AC68FF">
            <w:pPr>
              <w:spacing w:before="60" w:after="60"/>
              <w:ind w:left="170" w:hanging="170"/>
              <w:rPr>
                <w:color w:val="000000"/>
              </w:rPr>
            </w:pPr>
            <w:r w:rsidRPr="00092971">
              <w:rPr>
                <w:color w:val="000000"/>
              </w:rPr>
              <w:t>Specialised buildings</w:t>
            </w:r>
          </w:p>
        </w:tc>
        <w:tc>
          <w:tcPr>
            <w:tcW w:w="2852" w:type="dxa"/>
          </w:tcPr>
          <w:p w:rsidR="00BB6F1F" w:rsidRPr="00092971" w:rsidRDefault="00BB6F1F" w:rsidP="00AC68FF">
            <w:pPr>
              <w:spacing w:before="60" w:after="60"/>
              <w:ind w:left="170" w:hanging="170"/>
              <w:rPr>
                <w:color w:val="000000"/>
              </w:rPr>
            </w:pPr>
            <w:r w:rsidRPr="00092971">
              <w:rPr>
                <w:color w:val="000000"/>
              </w:rPr>
              <w:t>Depreciated replacement cost</w:t>
            </w:r>
          </w:p>
        </w:tc>
        <w:tc>
          <w:tcPr>
            <w:tcW w:w="3214" w:type="dxa"/>
          </w:tcPr>
          <w:p w:rsidR="00BB6F1F" w:rsidRDefault="00BB6F1F" w:rsidP="00AC68FF">
            <w:pPr>
              <w:spacing w:before="60" w:after="60"/>
              <w:ind w:left="170" w:hanging="170"/>
              <w:rPr>
                <w:color w:val="000000"/>
              </w:rPr>
            </w:pPr>
            <w:r>
              <w:rPr>
                <w:color w:val="000000"/>
              </w:rPr>
              <w:t>Direct cost per square metre</w:t>
            </w:r>
          </w:p>
          <w:p w:rsidR="00BB6F1F" w:rsidRPr="00092971" w:rsidRDefault="00BB6F1F" w:rsidP="00AC68FF">
            <w:pPr>
              <w:spacing w:before="60" w:after="60"/>
              <w:ind w:left="170" w:hanging="170"/>
              <w:rPr>
                <w:color w:val="000000"/>
              </w:rPr>
            </w:pPr>
            <w:r>
              <w:rPr>
                <w:color w:val="000000"/>
              </w:rPr>
              <w:t>Useful life</w:t>
            </w:r>
          </w:p>
        </w:tc>
      </w:tr>
      <w:tr w:rsidR="00BB6F1F" w:rsidRPr="00092971" w:rsidTr="00AC68FF">
        <w:tc>
          <w:tcPr>
            <w:tcW w:w="3572" w:type="dxa"/>
          </w:tcPr>
          <w:p w:rsidR="00BB6F1F" w:rsidRPr="00092971" w:rsidRDefault="00BB6F1F" w:rsidP="00AC68FF">
            <w:pPr>
              <w:spacing w:before="60" w:after="60"/>
              <w:ind w:left="170" w:hanging="170"/>
              <w:rPr>
                <w:color w:val="000000"/>
              </w:rPr>
            </w:pPr>
            <w:r w:rsidRPr="00092971">
              <w:rPr>
                <w:color w:val="000000"/>
              </w:rPr>
              <w:t>Heritage buildings</w:t>
            </w:r>
          </w:p>
        </w:tc>
        <w:tc>
          <w:tcPr>
            <w:tcW w:w="2852" w:type="dxa"/>
          </w:tcPr>
          <w:p w:rsidR="00BB6F1F" w:rsidRPr="00092971" w:rsidRDefault="00BB6F1F" w:rsidP="00AC68FF">
            <w:pPr>
              <w:spacing w:before="60" w:after="60"/>
              <w:ind w:left="170" w:hanging="170"/>
              <w:rPr>
                <w:color w:val="000000"/>
              </w:rPr>
            </w:pPr>
            <w:r w:rsidRPr="00092971">
              <w:rPr>
                <w:color w:val="000000"/>
              </w:rPr>
              <w:t>Depreciated replacement cost</w:t>
            </w:r>
          </w:p>
        </w:tc>
        <w:tc>
          <w:tcPr>
            <w:tcW w:w="3214" w:type="dxa"/>
          </w:tcPr>
          <w:p w:rsidR="00BB6F1F" w:rsidRDefault="00BB6F1F" w:rsidP="00AC68FF">
            <w:pPr>
              <w:spacing w:before="60" w:after="60"/>
              <w:ind w:left="170" w:hanging="170"/>
              <w:rPr>
                <w:color w:val="000000"/>
              </w:rPr>
            </w:pPr>
            <w:r>
              <w:rPr>
                <w:color w:val="000000"/>
              </w:rPr>
              <w:t xml:space="preserve">Community service obligation (CSO) adjustment </w:t>
            </w:r>
            <w:r w:rsidRPr="00332A88">
              <w:rPr>
                <w:color w:val="000000"/>
                <w:vertAlign w:val="superscript"/>
              </w:rPr>
              <w:t>(a)</w:t>
            </w:r>
          </w:p>
          <w:p w:rsidR="00BB6F1F" w:rsidRDefault="00BB6F1F" w:rsidP="00AC68FF">
            <w:pPr>
              <w:spacing w:before="60" w:after="60"/>
              <w:ind w:left="170" w:hanging="170"/>
              <w:rPr>
                <w:color w:val="000000"/>
              </w:rPr>
            </w:pPr>
            <w:r>
              <w:rPr>
                <w:color w:val="000000"/>
              </w:rPr>
              <w:t>Direct cost per square metre</w:t>
            </w:r>
          </w:p>
          <w:p w:rsidR="00BB6F1F" w:rsidRPr="00092971" w:rsidRDefault="00BB6F1F" w:rsidP="00AC68FF">
            <w:pPr>
              <w:spacing w:before="60" w:after="60"/>
              <w:ind w:left="170" w:hanging="170"/>
              <w:rPr>
                <w:color w:val="000000"/>
              </w:rPr>
            </w:pPr>
            <w:r>
              <w:rPr>
                <w:color w:val="000000"/>
              </w:rPr>
              <w:t>Useful life</w:t>
            </w:r>
          </w:p>
        </w:tc>
      </w:tr>
      <w:tr w:rsidR="00BB6F1F" w:rsidRPr="00092971" w:rsidTr="00AC68FF">
        <w:tc>
          <w:tcPr>
            <w:tcW w:w="9638" w:type="dxa"/>
            <w:gridSpan w:val="3"/>
            <w:shd w:val="clear" w:color="auto" w:fill="EBEBEB" w:themeFill="background2"/>
          </w:tcPr>
          <w:p w:rsidR="00BB6F1F" w:rsidRPr="00092971" w:rsidRDefault="00BB6F1F" w:rsidP="00AC68FF">
            <w:pPr>
              <w:spacing w:before="60" w:after="60"/>
              <w:ind w:left="170" w:hanging="170"/>
              <w:rPr>
                <w:b/>
                <w:color w:val="000000"/>
              </w:rPr>
            </w:pPr>
            <w:r w:rsidRPr="00092971">
              <w:rPr>
                <w:b/>
                <w:color w:val="000000"/>
              </w:rPr>
              <w:t>Land and national parks</w:t>
            </w:r>
          </w:p>
        </w:tc>
      </w:tr>
      <w:tr w:rsidR="00BB6F1F" w:rsidRPr="00092971" w:rsidTr="00AC68FF">
        <w:tc>
          <w:tcPr>
            <w:tcW w:w="3572" w:type="dxa"/>
          </w:tcPr>
          <w:p w:rsidR="00BB6F1F" w:rsidRPr="00092971" w:rsidRDefault="00BB6F1F" w:rsidP="00AC68FF">
            <w:pPr>
              <w:spacing w:before="60" w:after="60"/>
              <w:ind w:left="170" w:hanging="170"/>
              <w:rPr>
                <w:color w:val="000000"/>
              </w:rPr>
            </w:pPr>
            <w:r w:rsidRPr="00092971">
              <w:rPr>
                <w:color w:val="000000"/>
              </w:rPr>
              <w:t>Non-specialised land</w:t>
            </w:r>
          </w:p>
        </w:tc>
        <w:tc>
          <w:tcPr>
            <w:tcW w:w="2852" w:type="dxa"/>
          </w:tcPr>
          <w:p w:rsidR="00BB6F1F" w:rsidRPr="00092971" w:rsidRDefault="00BB6F1F" w:rsidP="00AC68FF">
            <w:pPr>
              <w:spacing w:before="60" w:after="60"/>
              <w:ind w:left="170" w:hanging="170"/>
              <w:rPr>
                <w:color w:val="000000"/>
              </w:rPr>
            </w:pPr>
            <w:r w:rsidRPr="00092971">
              <w:rPr>
                <w:color w:val="000000"/>
              </w:rPr>
              <w:t>Market approach</w:t>
            </w:r>
          </w:p>
        </w:tc>
        <w:tc>
          <w:tcPr>
            <w:tcW w:w="3214" w:type="dxa"/>
          </w:tcPr>
          <w:p w:rsidR="00BB6F1F" w:rsidRPr="00092971" w:rsidRDefault="00BB6F1F" w:rsidP="00AC68FF">
            <w:pPr>
              <w:spacing w:before="60" w:after="60"/>
              <w:ind w:left="170" w:hanging="170"/>
              <w:rPr>
                <w:color w:val="000000"/>
              </w:rPr>
            </w:pPr>
            <w:r w:rsidRPr="00092971">
              <w:rPr>
                <w:color w:val="000000"/>
              </w:rPr>
              <w:t xml:space="preserve">CSO adjustment </w:t>
            </w:r>
            <w:r w:rsidRPr="00092971">
              <w:rPr>
                <w:color w:val="000000"/>
                <w:vertAlign w:val="superscript"/>
              </w:rPr>
              <w:t>(a)</w:t>
            </w:r>
          </w:p>
        </w:tc>
      </w:tr>
      <w:tr w:rsidR="00BB6F1F" w:rsidRPr="00092971" w:rsidTr="00AC68FF">
        <w:tc>
          <w:tcPr>
            <w:tcW w:w="3572" w:type="dxa"/>
          </w:tcPr>
          <w:p w:rsidR="00BB6F1F" w:rsidRPr="00092971" w:rsidRDefault="00BB6F1F" w:rsidP="00AC68FF">
            <w:pPr>
              <w:spacing w:before="60" w:after="60"/>
              <w:ind w:left="170" w:hanging="170"/>
              <w:rPr>
                <w:color w:val="000000"/>
              </w:rPr>
            </w:pPr>
            <w:r w:rsidRPr="00092971">
              <w:rPr>
                <w:color w:val="000000"/>
              </w:rPr>
              <w:t>Specialised land</w:t>
            </w:r>
          </w:p>
        </w:tc>
        <w:tc>
          <w:tcPr>
            <w:tcW w:w="2852" w:type="dxa"/>
          </w:tcPr>
          <w:p w:rsidR="00BB6F1F" w:rsidRPr="00092971" w:rsidRDefault="00BB6F1F" w:rsidP="00AC68FF">
            <w:pPr>
              <w:spacing w:before="60" w:after="60"/>
              <w:ind w:left="170" w:hanging="170"/>
              <w:rPr>
                <w:color w:val="000000"/>
              </w:rPr>
            </w:pPr>
            <w:r w:rsidRPr="00092971">
              <w:rPr>
                <w:color w:val="000000"/>
              </w:rPr>
              <w:t>Market approach</w:t>
            </w:r>
          </w:p>
        </w:tc>
        <w:tc>
          <w:tcPr>
            <w:tcW w:w="3214" w:type="dxa"/>
          </w:tcPr>
          <w:p w:rsidR="00BB6F1F" w:rsidRPr="00092971" w:rsidRDefault="00BB6F1F" w:rsidP="00AC68FF">
            <w:pPr>
              <w:spacing w:before="60" w:after="60"/>
              <w:ind w:left="170" w:hanging="170"/>
              <w:rPr>
                <w:color w:val="000000"/>
              </w:rPr>
            </w:pPr>
            <w:r w:rsidRPr="00092971">
              <w:rPr>
                <w:color w:val="000000"/>
              </w:rPr>
              <w:t xml:space="preserve">CSO adjustment </w:t>
            </w:r>
            <w:r w:rsidRPr="00092971">
              <w:rPr>
                <w:color w:val="000000"/>
                <w:vertAlign w:val="superscript"/>
              </w:rPr>
              <w:t>(a)</w:t>
            </w:r>
          </w:p>
        </w:tc>
      </w:tr>
      <w:tr w:rsidR="00BB6F1F" w:rsidRPr="00092971" w:rsidTr="00AC68FF">
        <w:tc>
          <w:tcPr>
            <w:tcW w:w="3572" w:type="dxa"/>
          </w:tcPr>
          <w:p w:rsidR="00BB6F1F" w:rsidRPr="00092971" w:rsidRDefault="00BB6F1F" w:rsidP="00AC68FF">
            <w:pPr>
              <w:spacing w:before="60" w:after="60"/>
              <w:ind w:left="170" w:hanging="170"/>
              <w:rPr>
                <w:color w:val="000000"/>
              </w:rPr>
            </w:pPr>
            <w:r w:rsidRPr="00092971">
              <w:rPr>
                <w:color w:val="000000"/>
              </w:rPr>
              <w:t>Land under roads</w:t>
            </w:r>
          </w:p>
        </w:tc>
        <w:tc>
          <w:tcPr>
            <w:tcW w:w="2852" w:type="dxa"/>
          </w:tcPr>
          <w:p w:rsidR="00BB6F1F" w:rsidRPr="00092971" w:rsidRDefault="00BB6F1F" w:rsidP="00AC68FF">
            <w:pPr>
              <w:spacing w:before="60" w:after="60"/>
              <w:ind w:left="170" w:hanging="170"/>
              <w:rPr>
                <w:color w:val="000000"/>
              </w:rPr>
            </w:pPr>
            <w:r w:rsidRPr="00092971">
              <w:rPr>
                <w:color w:val="000000"/>
              </w:rPr>
              <w:t>Market approach</w:t>
            </w:r>
          </w:p>
        </w:tc>
        <w:tc>
          <w:tcPr>
            <w:tcW w:w="3214" w:type="dxa"/>
          </w:tcPr>
          <w:p w:rsidR="00BB6F1F" w:rsidRPr="00607AF6" w:rsidRDefault="00BB6F1F" w:rsidP="00AC68FF">
            <w:pPr>
              <w:spacing w:before="60" w:after="60"/>
              <w:ind w:left="170" w:hanging="170"/>
              <w:rPr>
                <w:color w:val="000000"/>
                <w:vertAlign w:val="superscript"/>
              </w:rPr>
            </w:pPr>
            <w:r w:rsidRPr="00092971">
              <w:rPr>
                <w:color w:val="000000"/>
              </w:rPr>
              <w:t xml:space="preserve">CSO adjustment </w:t>
            </w:r>
            <w:r w:rsidRPr="00092971">
              <w:rPr>
                <w:color w:val="000000"/>
                <w:vertAlign w:val="superscript"/>
              </w:rPr>
              <w:t>(a)</w:t>
            </w:r>
          </w:p>
        </w:tc>
      </w:tr>
      <w:tr w:rsidR="00BB6F1F" w:rsidRPr="00092971" w:rsidTr="00AC68FF">
        <w:tc>
          <w:tcPr>
            <w:tcW w:w="3572" w:type="dxa"/>
          </w:tcPr>
          <w:p w:rsidR="00BB6F1F" w:rsidRPr="00092971" w:rsidRDefault="00BB6F1F" w:rsidP="00AC68FF">
            <w:pPr>
              <w:spacing w:before="60" w:after="60"/>
              <w:ind w:left="170" w:hanging="170"/>
              <w:rPr>
                <w:color w:val="000000"/>
              </w:rPr>
            </w:pPr>
            <w:r w:rsidRPr="00092971">
              <w:rPr>
                <w:color w:val="000000"/>
              </w:rPr>
              <w:t>National parks</w:t>
            </w:r>
          </w:p>
        </w:tc>
        <w:tc>
          <w:tcPr>
            <w:tcW w:w="2852" w:type="dxa"/>
          </w:tcPr>
          <w:p w:rsidR="00BB6F1F" w:rsidRPr="00092971" w:rsidRDefault="00BB6F1F" w:rsidP="00AC68FF">
            <w:pPr>
              <w:spacing w:before="60" w:after="60"/>
              <w:ind w:left="170" w:hanging="170"/>
              <w:rPr>
                <w:color w:val="000000"/>
              </w:rPr>
            </w:pPr>
            <w:r w:rsidRPr="00092971">
              <w:rPr>
                <w:color w:val="000000"/>
              </w:rPr>
              <w:t>Market approach</w:t>
            </w:r>
          </w:p>
        </w:tc>
        <w:tc>
          <w:tcPr>
            <w:tcW w:w="3214" w:type="dxa"/>
          </w:tcPr>
          <w:p w:rsidR="00BB6F1F" w:rsidRPr="00092971" w:rsidRDefault="00BB6F1F" w:rsidP="00AC68FF">
            <w:pPr>
              <w:spacing w:before="60" w:after="60"/>
              <w:ind w:left="170" w:hanging="170"/>
              <w:rPr>
                <w:color w:val="000000"/>
              </w:rPr>
            </w:pPr>
            <w:r w:rsidRPr="00092971">
              <w:rPr>
                <w:color w:val="000000"/>
              </w:rPr>
              <w:t xml:space="preserve">CSO adjustment </w:t>
            </w:r>
            <w:r w:rsidRPr="00092971">
              <w:rPr>
                <w:color w:val="000000"/>
                <w:vertAlign w:val="superscript"/>
              </w:rPr>
              <w:t>(a)</w:t>
            </w:r>
          </w:p>
        </w:tc>
      </w:tr>
      <w:tr w:rsidR="00BB6F1F" w:rsidRPr="00092971" w:rsidTr="00AC68FF">
        <w:tc>
          <w:tcPr>
            <w:tcW w:w="9638" w:type="dxa"/>
            <w:gridSpan w:val="3"/>
            <w:shd w:val="clear" w:color="auto" w:fill="EBEBEB" w:themeFill="background2"/>
          </w:tcPr>
          <w:p w:rsidR="00BB6F1F" w:rsidRPr="00092971" w:rsidRDefault="00BB6F1F" w:rsidP="00AC68FF">
            <w:pPr>
              <w:spacing w:before="60" w:after="60"/>
              <w:ind w:left="170" w:hanging="170"/>
              <w:rPr>
                <w:b/>
                <w:color w:val="000000"/>
              </w:rPr>
            </w:pPr>
            <w:r w:rsidRPr="00092971">
              <w:rPr>
                <w:b/>
                <w:color w:val="000000"/>
              </w:rPr>
              <w:t>Plant, equipment, vehicles and infrastructure systems</w:t>
            </w:r>
          </w:p>
        </w:tc>
      </w:tr>
      <w:tr w:rsidR="00BB6F1F" w:rsidRPr="00092971" w:rsidTr="00AC68FF">
        <w:tc>
          <w:tcPr>
            <w:tcW w:w="3572" w:type="dxa"/>
          </w:tcPr>
          <w:p w:rsidR="00BB6F1F" w:rsidRPr="00092971" w:rsidRDefault="00BB6F1F" w:rsidP="00AC68FF">
            <w:pPr>
              <w:spacing w:before="60" w:after="60"/>
              <w:ind w:left="170" w:hanging="170"/>
              <w:rPr>
                <w:color w:val="000000"/>
              </w:rPr>
            </w:pPr>
            <w:r w:rsidRPr="00092971">
              <w:rPr>
                <w:color w:val="000000"/>
              </w:rPr>
              <w:t>Infrastructure systems and rolling stock</w:t>
            </w:r>
          </w:p>
        </w:tc>
        <w:tc>
          <w:tcPr>
            <w:tcW w:w="2852" w:type="dxa"/>
          </w:tcPr>
          <w:p w:rsidR="00BB6F1F" w:rsidRPr="00092971" w:rsidRDefault="00BB6F1F" w:rsidP="00A441A5">
            <w:pPr>
              <w:spacing w:before="60" w:after="60"/>
              <w:ind w:left="170" w:hanging="170"/>
              <w:rPr>
                <w:color w:val="000000"/>
              </w:rPr>
            </w:pPr>
            <w:r w:rsidRPr="00092971">
              <w:rPr>
                <w:color w:val="000000"/>
              </w:rPr>
              <w:t>Depreciated replacement cost</w:t>
            </w:r>
          </w:p>
        </w:tc>
        <w:tc>
          <w:tcPr>
            <w:tcW w:w="3214" w:type="dxa"/>
          </w:tcPr>
          <w:p w:rsidR="00BB6F1F" w:rsidRPr="00092971" w:rsidRDefault="00BB6F1F" w:rsidP="00AC68FF">
            <w:pPr>
              <w:spacing w:before="60" w:after="60"/>
              <w:ind w:left="170" w:hanging="170"/>
              <w:rPr>
                <w:color w:val="000000"/>
              </w:rPr>
            </w:pPr>
            <w:r w:rsidRPr="00092971">
              <w:rPr>
                <w:color w:val="000000"/>
              </w:rPr>
              <w:t>Cost:</w:t>
            </w:r>
          </w:p>
          <w:p w:rsidR="00BB6F1F" w:rsidRPr="00092971" w:rsidRDefault="00BB6F1F" w:rsidP="00AC68FF">
            <w:pPr>
              <w:spacing w:before="60" w:after="60"/>
              <w:ind w:left="170" w:hanging="170"/>
              <w:rPr>
                <w:color w:val="000000"/>
              </w:rPr>
            </w:pPr>
            <w:r w:rsidRPr="00092971">
              <w:rPr>
                <w:color w:val="000000"/>
              </w:rPr>
              <w:t xml:space="preserve">   per square metre</w:t>
            </w:r>
          </w:p>
          <w:p w:rsidR="00BB6F1F" w:rsidRPr="00092971" w:rsidRDefault="00BB6F1F" w:rsidP="00AC68FF">
            <w:pPr>
              <w:spacing w:before="60" w:after="60"/>
              <w:ind w:left="170" w:hanging="170"/>
              <w:rPr>
                <w:color w:val="000000"/>
              </w:rPr>
            </w:pPr>
            <w:r>
              <w:rPr>
                <w:color w:val="000000"/>
              </w:rPr>
              <w:t xml:space="preserve">   per unit</w:t>
            </w:r>
          </w:p>
          <w:p w:rsidR="00BB6F1F" w:rsidRPr="00092971" w:rsidRDefault="00BB6F1F" w:rsidP="00AC68FF">
            <w:pPr>
              <w:spacing w:before="60" w:after="60"/>
              <w:ind w:left="170" w:hanging="170"/>
              <w:rPr>
                <w:color w:val="000000"/>
              </w:rPr>
            </w:pPr>
            <w:r w:rsidRPr="00092971">
              <w:rPr>
                <w:color w:val="000000"/>
              </w:rPr>
              <w:t>Useful life</w:t>
            </w:r>
          </w:p>
          <w:p w:rsidR="00BB6F1F" w:rsidRPr="00092971" w:rsidRDefault="00BB6F1F" w:rsidP="00AC68FF">
            <w:pPr>
              <w:spacing w:before="60" w:after="60"/>
              <w:ind w:left="170" w:hanging="170"/>
              <w:rPr>
                <w:color w:val="000000"/>
              </w:rPr>
            </w:pPr>
            <w:r w:rsidRPr="00092971">
              <w:rPr>
                <w:color w:val="000000"/>
              </w:rPr>
              <w:t xml:space="preserve">Qualitative attractiveness </w:t>
            </w:r>
            <w:r w:rsidRPr="00092971">
              <w:rPr>
                <w:color w:val="000000"/>
                <w:vertAlign w:val="superscript"/>
              </w:rPr>
              <w:t>(b)</w:t>
            </w:r>
          </w:p>
        </w:tc>
      </w:tr>
      <w:tr w:rsidR="00BB6F1F" w:rsidRPr="00092971" w:rsidTr="00AC68FF">
        <w:tc>
          <w:tcPr>
            <w:tcW w:w="3572" w:type="dxa"/>
          </w:tcPr>
          <w:p w:rsidR="00BB6F1F" w:rsidRPr="00092971" w:rsidRDefault="00BB6F1F" w:rsidP="00AC68FF">
            <w:pPr>
              <w:spacing w:before="60" w:after="60"/>
              <w:ind w:left="170" w:hanging="170"/>
              <w:rPr>
                <w:color w:val="000000"/>
              </w:rPr>
            </w:pPr>
            <w:r w:rsidRPr="00092971">
              <w:rPr>
                <w:color w:val="000000"/>
              </w:rPr>
              <w:t>Plant, equipment and vehicles</w:t>
            </w:r>
          </w:p>
        </w:tc>
        <w:tc>
          <w:tcPr>
            <w:tcW w:w="2852" w:type="dxa"/>
          </w:tcPr>
          <w:p w:rsidR="00BB6F1F" w:rsidRPr="00092971" w:rsidRDefault="00BB6F1F" w:rsidP="00A441A5">
            <w:pPr>
              <w:spacing w:before="60" w:after="60"/>
              <w:ind w:left="170" w:hanging="170"/>
              <w:rPr>
                <w:color w:val="000000"/>
              </w:rPr>
            </w:pPr>
            <w:r w:rsidRPr="00092971">
              <w:rPr>
                <w:color w:val="000000"/>
              </w:rPr>
              <w:t>Depreciated replacement cost</w:t>
            </w:r>
          </w:p>
        </w:tc>
        <w:tc>
          <w:tcPr>
            <w:tcW w:w="3214" w:type="dxa"/>
          </w:tcPr>
          <w:p w:rsidR="00BB6F1F" w:rsidRPr="00092971" w:rsidRDefault="00BB6F1F" w:rsidP="00AC68FF">
            <w:pPr>
              <w:spacing w:before="60" w:after="60"/>
              <w:ind w:left="170" w:hanging="170"/>
              <w:rPr>
                <w:color w:val="000000"/>
              </w:rPr>
            </w:pPr>
            <w:r w:rsidRPr="00092971">
              <w:rPr>
                <w:color w:val="000000"/>
              </w:rPr>
              <w:t>Cost per unit</w:t>
            </w:r>
          </w:p>
          <w:p w:rsidR="00BB6F1F" w:rsidRPr="00092971" w:rsidRDefault="00BB6F1F" w:rsidP="00AC68FF">
            <w:pPr>
              <w:spacing w:before="60" w:after="60"/>
              <w:ind w:left="170" w:hanging="170"/>
              <w:rPr>
                <w:color w:val="000000"/>
              </w:rPr>
            </w:pPr>
            <w:r w:rsidRPr="00092971">
              <w:rPr>
                <w:color w:val="000000"/>
              </w:rPr>
              <w:t>Useful life</w:t>
            </w:r>
          </w:p>
        </w:tc>
      </w:tr>
      <w:tr w:rsidR="00BB6F1F" w:rsidRPr="00092971" w:rsidTr="00AC68FF">
        <w:tc>
          <w:tcPr>
            <w:tcW w:w="9638" w:type="dxa"/>
            <w:gridSpan w:val="3"/>
            <w:shd w:val="clear" w:color="auto" w:fill="EBEBEB" w:themeFill="background2"/>
          </w:tcPr>
          <w:p w:rsidR="00BB6F1F" w:rsidRPr="00092971" w:rsidRDefault="00BB6F1F" w:rsidP="00AC68FF">
            <w:pPr>
              <w:spacing w:before="60" w:after="60"/>
              <w:ind w:left="170" w:hanging="170"/>
              <w:rPr>
                <w:b/>
                <w:color w:val="000000"/>
              </w:rPr>
            </w:pPr>
            <w:r w:rsidRPr="00092971">
              <w:rPr>
                <w:b/>
                <w:color w:val="000000"/>
              </w:rPr>
              <w:t>Roads and roads infrastructure</w:t>
            </w:r>
          </w:p>
        </w:tc>
      </w:tr>
      <w:tr w:rsidR="00BB6F1F" w:rsidRPr="00092971" w:rsidTr="00AC68FF">
        <w:tc>
          <w:tcPr>
            <w:tcW w:w="3572" w:type="dxa"/>
          </w:tcPr>
          <w:p w:rsidR="00BB6F1F" w:rsidRPr="00092971" w:rsidRDefault="00BB6F1F" w:rsidP="00AC68FF">
            <w:pPr>
              <w:spacing w:before="60" w:after="60"/>
              <w:ind w:left="170" w:hanging="170"/>
              <w:rPr>
                <w:color w:val="000000"/>
              </w:rPr>
            </w:pPr>
            <w:r w:rsidRPr="00092971">
              <w:rPr>
                <w:color w:val="000000"/>
              </w:rPr>
              <w:t>Roads and roads infrastructure</w:t>
            </w:r>
          </w:p>
        </w:tc>
        <w:tc>
          <w:tcPr>
            <w:tcW w:w="2852" w:type="dxa"/>
          </w:tcPr>
          <w:p w:rsidR="00BB6F1F" w:rsidRPr="00092971" w:rsidRDefault="00BB6F1F" w:rsidP="00AC68FF">
            <w:pPr>
              <w:spacing w:before="60" w:after="60"/>
              <w:ind w:left="170" w:hanging="170"/>
              <w:rPr>
                <w:color w:val="000000"/>
              </w:rPr>
            </w:pPr>
            <w:r w:rsidRPr="00092971">
              <w:rPr>
                <w:color w:val="000000"/>
              </w:rPr>
              <w:t>Depreciated replacement cost</w:t>
            </w:r>
          </w:p>
        </w:tc>
        <w:tc>
          <w:tcPr>
            <w:tcW w:w="3214" w:type="dxa"/>
          </w:tcPr>
          <w:p w:rsidR="00BB6F1F" w:rsidRPr="00092971" w:rsidRDefault="00BB6F1F" w:rsidP="00AC68FF">
            <w:pPr>
              <w:spacing w:before="60" w:after="60"/>
              <w:ind w:left="170" w:hanging="170"/>
              <w:rPr>
                <w:color w:val="000000"/>
              </w:rPr>
            </w:pPr>
            <w:r>
              <w:rPr>
                <w:color w:val="000000"/>
              </w:rPr>
              <w:t xml:space="preserve">Cost </w:t>
            </w:r>
            <w:r w:rsidRPr="00092971">
              <w:rPr>
                <w:color w:val="000000"/>
              </w:rPr>
              <w:t>per kilometre lane</w:t>
            </w:r>
          </w:p>
          <w:p w:rsidR="00BB6F1F" w:rsidRPr="00092971" w:rsidRDefault="00BB6F1F" w:rsidP="00AC68FF">
            <w:pPr>
              <w:spacing w:before="60" w:after="60"/>
              <w:ind w:left="170" w:hanging="170"/>
              <w:rPr>
                <w:color w:val="000000"/>
              </w:rPr>
            </w:pPr>
            <w:r w:rsidRPr="00092971">
              <w:rPr>
                <w:color w:val="000000"/>
              </w:rPr>
              <w:t>Useful life</w:t>
            </w:r>
          </w:p>
        </w:tc>
      </w:tr>
      <w:tr w:rsidR="00BB6F1F" w:rsidRPr="00092971" w:rsidTr="00AC68FF">
        <w:tc>
          <w:tcPr>
            <w:tcW w:w="3572" w:type="dxa"/>
          </w:tcPr>
          <w:p w:rsidR="00BB6F1F" w:rsidRPr="00092971" w:rsidRDefault="00BB6F1F" w:rsidP="00AC68FF">
            <w:pPr>
              <w:spacing w:before="60" w:after="60"/>
              <w:ind w:left="170" w:hanging="170"/>
              <w:rPr>
                <w:color w:val="000000"/>
              </w:rPr>
            </w:pPr>
            <w:r w:rsidRPr="00092971">
              <w:rPr>
                <w:color w:val="000000"/>
              </w:rPr>
              <w:t>Earthworks</w:t>
            </w:r>
          </w:p>
        </w:tc>
        <w:tc>
          <w:tcPr>
            <w:tcW w:w="2852" w:type="dxa"/>
          </w:tcPr>
          <w:p w:rsidR="00BB6F1F" w:rsidRPr="00092971" w:rsidRDefault="00BB6F1F" w:rsidP="00AC68FF">
            <w:pPr>
              <w:spacing w:before="60" w:after="60"/>
              <w:ind w:left="170" w:hanging="170"/>
              <w:rPr>
                <w:color w:val="000000"/>
              </w:rPr>
            </w:pPr>
            <w:r w:rsidRPr="00092971">
              <w:rPr>
                <w:color w:val="000000"/>
              </w:rPr>
              <w:t>Depreciated replacement cost</w:t>
            </w:r>
          </w:p>
        </w:tc>
        <w:tc>
          <w:tcPr>
            <w:tcW w:w="3214" w:type="dxa"/>
          </w:tcPr>
          <w:p w:rsidR="00BB6F1F" w:rsidRPr="00092971" w:rsidRDefault="00BB6F1F" w:rsidP="00AC68FF">
            <w:pPr>
              <w:spacing w:before="60" w:after="60"/>
              <w:ind w:left="170" w:hanging="170"/>
              <w:rPr>
                <w:color w:val="000000"/>
              </w:rPr>
            </w:pPr>
            <w:r w:rsidRPr="00092971">
              <w:rPr>
                <w:color w:val="000000"/>
              </w:rPr>
              <w:t>Cost per kilometre</w:t>
            </w:r>
          </w:p>
        </w:tc>
      </w:tr>
      <w:tr w:rsidR="00BB6F1F" w:rsidRPr="00092971" w:rsidTr="00AC68FF">
        <w:tc>
          <w:tcPr>
            <w:tcW w:w="9638" w:type="dxa"/>
            <w:gridSpan w:val="3"/>
            <w:shd w:val="clear" w:color="auto" w:fill="EBEBEB" w:themeFill="background2"/>
          </w:tcPr>
          <w:p w:rsidR="00BB6F1F" w:rsidRPr="00092971" w:rsidRDefault="00BB6F1F" w:rsidP="00AC68FF">
            <w:pPr>
              <w:spacing w:before="60" w:after="60"/>
              <w:ind w:left="170" w:hanging="170"/>
              <w:rPr>
                <w:b/>
                <w:color w:val="000000"/>
              </w:rPr>
            </w:pPr>
            <w:r w:rsidRPr="00092971">
              <w:rPr>
                <w:b/>
                <w:color w:val="000000"/>
              </w:rPr>
              <w:t>Cultural assets</w:t>
            </w:r>
          </w:p>
        </w:tc>
      </w:tr>
      <w:tr w:rsidR="00BB6F1F" w:rsidRPr="00092971" w:rsidTr="00AC68FF">
        <w:tc>
          <w:tcPr>
            <w:tcW w:w="3572" w:type="dxa"/>
          </w:tcPr>
          <w:p w:rsidR="00BB6F1F" w:rsidRPr="00092971" w:rsidRDefault="00BB6F1F" w:rsidP="00AC68FF">
            <w:pPr>
              <w:spacing w:before="60" w:after="60"/>
              <w:ind w:left="170" w:hanging="170"/>
              <w:rPr>
                <w:color w:val="000000"/>
              </w:rPr>
            </w:pPr>
            <w:r w:rsidRPr="00092971">
              <w:rPr>
                <w:color w:val="000000"/>
              </w:rPr>
              <w:t>Cultural assets</w:t>
            </w:r>
          </w:p>
        </w:tc>
        <w:tc>
          <w:tcPr>
            <w:tcW w:w="2852" w:type="dxa"/>
          </w:tcPr>
          <w:p w:rsidR="00BB6F1F" w:rsidRPr="00092971" w:rsidRDefault="00BB6F1F" w:rsidP="00AC68FF">
            <w:pPr>
              <w:spacing w:before="60" w:after="60"/>
              <w:ind w:left="170" w:hanging="170"/>
              <w:rPr>
                <w:color w:val="000000"/>
              </w:rPr>
            </w:pPr>
            <w:r w:rsidRPr="00092971">
              <w:rPr>
                <w:color w:val="000000"/>
              </w:rPr>
              <w:t>Depreciated replacement cost</w:t>
            </w:r>
          </w:p>
        </w:tc>
        <w:tc>
          <w:tcPr>
            <w:tcW w:w="3214" w:type="dxa"/>
          </w:tcPr>
          <w:p w:rsidR="00BB6F1F" w:rsidRPr="00607AF6" w:rsidRDefault="00BB6F1F" w:rsidP="00AC68FF">
            <w:pPr>
              <w:spacing w:before="60" w:after="60"/>
              <w:ind w:left="170" w:hanging="170"/>
              <w:rPr>
                <w:color w:val="000000"/>
              </w:rPr>
            </w:pPr>
            <w:r w:rsidRPr="00607AF6">
              <w:rPr>
                <w:color w:val="000000"/>
              </w:rPr>
              <w:t>Market price</w:t>
            </w:r>
          </w:p>
          <w:p w:rsidR="00BB6F1F" w:rsidRPr="00607AF6" w:rsidRDefault="00BB6F1F" w:rsidP="00AC68FF">
            <w:pPr>
              <w:spacing w:before="60" w:after="60"/>
              <w:ind w:left="170" w:hanging="170"/>
              <w:rPr>
                <w:color w:val="000000"/>
              </w:rPr>
            </w:pPr>
            <w:r w:rsidRPr="00607AF6">
              <w:rPr>
                <w:color w:val="000000"/>
              </w:rPr>
              <w:t>Useful life</w:t>
            </w:r>
          </w:p>
          <w:p w:rsidR="00BB6F1F" w:rsidRPr="00607AF6" w:rsidRDefault="00BB6F1F" w:rsidP="00AC68FF">
            <w:pPr>
              <w:spacing w:before="60" w:after="60"/>
              <w:ind w:left="170" w:hanging="170"/>
              <w:rPr>
                <w:color w:val="000000"/>
              </w:rPr>
            </w:pPr>
            <w:r w:rsidRPr="00607AF6">
              <w:rPr>
                <w:color w:val="000000"/>
              </w:rPr>
              <w:t>Direct cost per unit</w:t>
            </w:r>
          </w:p>
          <w:p w:rsidR="00BB6F1F" w:rsidRPr="00092971" w:rsidRDefault="00BB6F1F" w:rsidP="00AC68FF">
            <w:pPr>
              <w:spacing w:before="60" w:after="60"/>
              <w:ind w:left="170" w:hanging="170"/>
              <w:rPr>
                <w:color w:val="000000"/>
              </w:rPr>
            </w:pPr>
            <w:r w:rsidRPr="00607AF6">
              <w:rPr>
                <w:color w:val="000000"/>
              </w:rPr>
              <w:t>Professional judgement</w:t>
            </w:r>
          </w:p>
        </w:tc>
      </w:tr>
    </w:tbl>
    <w:p w:rsidR="00BB6F1F" w:rsidRDefault="00BB6F1F" w:rsidP="00AC68FF">
      <w:pPr>
        <w:pStyle w:val="Note"/>
      </w:pPr>
      <w:r>
        <w:t>Notes:</w:t>
      </w:r>
    </w:p>
    <w:p w:rsidR="00BB6F1F" w:rsidRDefault="00BB6F1F" w:rsidP="00AC68FF">
      <w:pPr>
        <w:pStyle w:val="Note"/>
      </w:pPr>
      <w:r>
        <w:t xml:space="preserve">(a) </w:t>
      </w:r>
      <w:r>
        <w:tab/>
        <w:t xml:space="preserve">The CSO adjustment reflects the specialised nature of the asset being valued through a market approach. The CSO adjustment is a reflection of the </w:t>
      </w:r>
      <w:proofErr w:type="spellStart"/>
      <w:r>
        <w:t>valuer’s</w:t>
      </w:r>
      <w:proofErr w:type="spellEnd"/>
      <w:r>
        <w:t xml:space="preserve">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rsidR="00BB6F1F" w:rsidRDefault="00BB6F1F" w:rsidP="00AC68FF">
      <w:pPr>
        <w:pStyle w:val="Note"/>
      </w:pPr>
      <w:r>
        <w:t xml:space="preserve">(b) </w:t>
      </w:r>
      <w:r>
        <w:tab/>
        <w:t>Applicable to the valuation of rolling stock.</w:t>
      </w:r>
    </w:p>
    <w:p w:rsidR="00BB6F1F" w:rsidRDefault="00BB6F1F">
      <w:pPr>
        <w:keepLines w:val="0"/>
      </w:pPr>
      <w:r>
        <w:br w:type="page"/>
      </w:r>
    </w:p>
    <w:p w:rsidR="00BB6F1F" w:rsidRDefault="00BB6F1F" w:rsidP="00AC68FF">
      <w:pPr>
        <w:pStyle w:val="TableHeading"/>
      </w:pPr>
      <w:r w:rsidRPr="00BA1D53">
        <w:lastRenderedPageBreak/>
        <w:t>Fair value disclosure for assets held primarily for generating net cash inflows</w:t>
      </w:r>
    </w:p>
    <w:tbl>
      <w:tblPr>
        <w:tblStyle w:val="DTFTextTable"/>
        <w:tblW w:w="9636" w:type="dxa"/>
        <w:tblLayout w:type="fixed"/>
        <w:tblLook w:val="0620" w:firstRow="1" w:lastRow="0" w:firstColumn="0" w:lastColumn="0" w:noHBand="1" w:noVBand="1"/>
      </w:tblPr>
      <w:tblGrid>
        <w:gridCol w:w="2409"/>
        <w:gridCol w:w="2409"/>
        <w:gridCol w:w="2724"/>
        <w:gridCol w:w="2094"/>
      </w:tblGrid>
      <w:tr w:rsidR="00BB6F1F" w:rsidRPr="00092971" w:rsidTr="00A441A5">
        <w:trPr>
          <w:cnfStyle w:val="100000000000" w:firstRow="1" w:lastRow="0" w:firstColumn="0" w:lastColumn="0" w:oddVBand="0" w:evenVBand="0" w:oddHBand="0" w:evenHBand="0" w:firstRowFirstColumn="0" w:firstRowLastColumn="0" w:lastRowFirstColumn="0" w:lastRowLastColumn="0"/>
        </w:trPr>
        <w:tc>
          <w:tcPr>
            <w:tcW w:w="2409" w:type="dxa"/>
          </w:tcPr>
          <w:p w:rsidR="00BB6F1F" w:rsidRPr="00092971" w:rsidRDefault="00BB6F1F" w:rsidP="00AC68FF">
            <w:pPr>
              <w:spacing w:before="60" w:after="60"/>
              <w:rPr>
                <w:color w:val="FFFFFF"/>
              </w:rPr>
            </w:pPr>
            <w:r w:rsidRPr="00092971">
              <w:rPr>
                <w:color w:val="FFFFFF"/>
              </w:rPr>
              <w:t>Asset class</w:t>
            </w:r>
          </w:p>
        </w:tc>
        <w:tc>
          <w:tcPr>
            <w:tcW w:w="2409" w:type="dxa"/>
          </w:tcPr>
          <w:p w:rsidR="00BB6F1F" w:rsidRPr="00092971" w:rsidRDefault="00BB6F1F" w:rsidP="00AC68FF">
            <w:pPr>
              <w:spacing w:before="60" w:after="60"/>
              <w:rPr>
                <w:color w:val="FFFFFF"/>
              </w:rPr>
            </w:pPr>
            <w:r w:rsidRPr="00092971">
              <w:rPr>
                <w:color w:val="FFFFFF"/>
              </w:rPr>
              <w:t>Valuation technique</w:t>
            </w:r>
          </w:p>
        </w:tc>
        <w:tc>
          <w:tcPr>
            <w:tcW w:w="2724" w:type="dxa"/>
          </w:tcPr>
          <w:p w:rsidR="00BB6F1F" w:rsidRPr="00092971" w:rsidRDefault="00BB6F1F" w:rsidP="006A6D19">
            <w:pPr>
              <w:spacing w:before="60" w:after="60"/>
              <w:rPr>
                <w:color w:val="FFFFFF"/>
              </w:rPr>
            </w:pPr>
            <w:r w:rsidRPr="00092971">
              <w:rPr>
                <w:color w:val="FFFFFF"/>
              </w:rPr>
              <w:t xml:space="preserve">Significant </w:t>
            </w:r>
            <w:r w:rsidR="006A6D19">
              <w:rPr>
                <w:color w:val="FFFFFF"/>
              </w:rPr>
              <w:br/>
            </w:r>
            <w:r w:rsidRPr="00092971">
              <w:rPr>
                <w:color w:val="FFFFFF"/>
              </w:rPr>
              <w:t>unobservable input</w:t>
            </w:r>
          </w:p>
        </w:tc>
        <w:tc>
          <w:tcPr>
            <w:tcW w:w="2094" w:type="dxa"/>
          </w:tcPr>
          <w:p w:rsidR="00BB6F1F" w:rsidRPr="00092971" w:rsidRDefault="00BB6F1F" w:rsidP="00AC68FF">
            <w:pPr>
              <w:spacing w:before="60" w:after="60"/>
              <w:rPr>
                <w:color w:val="FFFFFF"/>
              </w:rPr>
            </w:pPr>
            <w:r w:rsidRPr="00092971">
              <w:rPr>
                <w:color w:val="FFFFFF"/>
              </w:rPr>
              <w:t>Range</w:t>
            </w:r>
          </w:p>
        </w:tc>
      </w:tr>
      <w:tr w:rsidR="00BB6F1F" w:rsidRPr="00092971" w:rsidTr="00AC68FF">
        <w:tc>
          <w:tcPr>
            <w:tcW w:w="9636" w:type="dxa"/>
            <w:gridSpan w:val="4"/>
            <w:shd w:val="clear" w:color="auto" w:fill="EBEBEB" w:themeFill="background2"/>
          </w:tcPr>
          <w:p w:rsidR="00BB6F1F" w:rsidRPr="00092971" w:rsidRDefault="00BB6F1F" w:rsidP="00AC68FF">
            <w:pPr>
              <w:spacing w:before="60" w:after="60"/>
              <w:ind w:left="170" w:hanging="170"/>
              <w:rPr>
                <w:b/>
                <w:color w:val="000000"/>
              </w:rPr>
            </w:pPr>
            <w:r w:rsidRPr="00092971">
              <w:rPr>
                <w:b/>
                <w:color w:val="000000"/>
              </w:rPr>
              <w:t>Buildings</w:t>
            </w:r>
          </w:p>
        </w:tc>
      </w:tr>
      <w:tr w:rsidR="00BB6F1F" w:rsidRPr="00092971" w:rsidTr="00A441A5">
        <w:tc>
          <w:tcPr>
            <w:tcW w:w="2409" w:type="dxa"/>
          </w:tcPr>
          <w:p w:rsidR="00BB6F1F" w:rsidRPr="00092971" w:rsidRDefault="00BB6F1F" w:rsidP="00AC68FF">
            <w:pPr>
              <w:spacing w:before="60" w:after="60"/>
              <w:ind w:left="170" w:hanging="170"/>
              <w:rPr>
                <w:color w:val="000000"/>
              </w:rPr>
            </w:pPr>
            <w:r w:rsidRPr="00092971">
              <w:rPr>
                <w:color w:val="000000"/>
              </w:rPr>
              <w:t>Metropolitan water corporations</w:t>
            </w:r>
          </w:p>
        </w:tc>
        <w:tc>
          <w:tcPr>
            <w:tcW w:w="2409" w:type="dxa"/>
          </w:tcPr>
          <w:p w:rsidR="00BB6F1F" w:rsidRPr="00092971" w:rsidRDefault="00BB6F1F" w:rsidP="00AC68FF">
            <w:pPr>
              <w:spacing w:before="60" w:after="60"/>
              <w:ind w:left="170" w:hanging="170"/>
              <w:rPr>
                <w:color w:val="000000"/>
              </w:rPr>
            </w:pPr>
            <w:r w:rsidRPr="00092971">
              <w:rPr>
                <w:color w:val="000000"/>
              </w:rPr>
              <w:t>Depreciated replacement cost</w:t>
            </w:r>
          </w:p>
        </w:tc>
        <w:tc>
          <w:tcPr>
            <w:tcW w:w="2724" w:type="dxa"/>
          </w:tcPr>
          <w:p w:rsidR="00BB6F1F" w:rsidRPr="00092971" w:rsidRDefault="00BB6F1F" w:rsidP="00AC68FF">
            <w:pPr>
              <w:spacing w:before="60" w:after="60"/>
              <w:ind w:left="170" w:hanging="170"/>
              <w:rPr>
                <w:color w:val="000000"/>
              </w:rPr>
            </w:pPr>
            <w:r w:rsidRPr="00092971">
              <w:rPr>
                <w:color w:val="000000"/>
              </w:rPr>
              <w:t>Useful life</w:t>
            </w:r>
          </w:p>
          <w:p w:rsidR="00BB6F1F" w:rsidRPr="00092971" w:rsidRDefault="00BB6F1F" w:rsidP="00AC68FF">
            <w:pPr>
              <w:spacing w:before="60" w:after="60"/>
              <w:ind w:left="170" w:hanging="170"/>
              <w:rPr>
                <w:color w:val="000000"/>
              </w:rPr>
            </w:pPr>
            <w:r w:rsidRPr="00092971">
              <w:rPr>
                <w:color w:val="000000"/>
              </w:rPr>
              <w:t>Direct cost per square metre</w:t>
            </w:r>
          </w:p>
        </w:tc>
        <w:tc>
          <w:tcPr>
            <w:tcW w:w="2094" w:type="dxa"/>
          </w:tcPr>
          <w:p w:rsidR="00BB6F1F" w:rsidRPr="00092971" w:rsidRDefault="00BB6F1F" w:rsidP="00AC68FF">
            <w:pPr>
              <w:spacing w:before="60" w:after="60"/>
              <w:ind w:left="170" w:hanging="170"/>
              <w:rPr>
                <w:color w:val="000000"/>
              </w:rPr>
            </w:pPr>
            <w:r w:rsidRPr="00092971">
              <w:rPr>
                <w:color w:val="000000"/>
              </w:rPr>
              <w:t>5–150 years</w:t>
            </w:r>
          </w:p>
          <w:p w:rsidR="00BB6F1F" w:rsidRPr="00092971" w:rsidRDefault="00BB6F1F" w:rsidP="00AC68FF">
            <w:pPr>
              <w:spacing w:before="60" w:after="60"/>
              <w:ind w:left="170" w:hanging="170"/>
              <w:rPr>
                <w:color w:val="000000"/>
              </w:rPr>
            </w:pPr>
            <w:r>
              <w:rPr>
                <w:color w:val="000000"/>
              </w:rPr>
              <w:t>$20</w:t>
            </w:r>
            <w:r w:rsidRPr="00092971">
              <w:rPr>
                <w:color w:val="000000"/>
              </w:rPr>
              <w:t xml:space="preserve"> to $4 200</w:t>
            </w:r>
          </w:p>
        </w:tc>
      </w:tr>
      <w:tr w:rsidR="00BB6F1F" w:rsidRPr="00092971" w:rsidTr="00AC68FF">
        <w:tc>
          <w:tcPr>
            <w:tcW w:w="9636" w:type="dxa"/>
            <w:gridSpan w:val="4"/>
            <w:shd w:val="clear" w:color="auto" w:fill="EBEBEB" w:themeFill="background2"/>
          </w:tcPr>
          <w:p w:rsidR="00BB6F1F" w:rsidRPr="00092971" w:rsidRDefault="00BB6F1F" w:rsidP="00AC68FF">
            <w:pPr>
              <w:spacing w:before="60" w:after="60"/>
              <w:ind w:left="170" w:hanging="170"/>
              <w:rPr>
                <w:b/>
                <w:color w:val="000000"/>
              </w:rPr>
            </w:pPr>
            <w:r w:rsidRPr="00092971">
              <w:rPr>
                <w:b/>
                <w:color w:val="000000"/>
              </w:rPr>
              <w:t>Land</w:t>
            </w:r>
          </w:p>
        </w:tc>
      </w:tr>
      <w:tr w:rsidR="00BB6F1F" w:rsidRPr="00092971" w:rsidTr="00A441A5">
        <w:tc>
          <w:tcPr>
            <w:tcW w:w="2409" w:type="dxa"/>
          </w:tcPr>
          <w:p w:rsidR="00BB6F1F" w:rsidRPr="00092971" w:rsidRDefault="00BB6F1F" w:rsidP="00AC68FF">
            <w:pPr>
              <w:spacing w:before="60" w:after="60"/>
              <w:ind w:left="170" w:hanging="170"/>
              <w:rPr>
                <w:color w:val="000000"/>
              </w:rPr>
            </w:pPr>
            <w:r w:rsidRPr="00092971">
              <w:rPr>
                <w:color w:val="000000"/>
              </w:rPr>
              <w:t>Metropolitan water corporations</w:t>
            </w:r>
          </w:p>
        </w:tc>
        <w:tc>
          <w:tcPr>
            <w:tcW w:w="2409" w:type="dxa"/>
          </w:tcPr>
          <w:p w:rsidR="00BB6F1F" w:rsidRPr="00092971" w:rsidRDefault="00BB6F1F" w:rsidP="00AC68FF">
            <w:pPr>
              <w:spacing w:before="60" w:after="60"/>
              <w:ind w:left="170" w:hanging="170"/>
              <w:rPr>
                <w:color w:val="000000"/>
              </w:rPr>
            </w:pPr>
            <w:r w:rsidRPr="00092971">
              <w:rPr>
                <w:color w:val="000000"/>
              </w:rPr>
              <w:t>Market approach</w:t>
            </w:r>
          </w:p>
        </w:tc>
        <w:tc>
          <w:tcPr>
            <w:tcW w:w="2724" w:type="dxa"/>
          </w:tcPr>
          <w:p w:rsidR="00BB6F1F" w:rsidRPr="00092971" w:rsidRDefault="00BB6F1F" w:rsidP="00AC68FF">
            <w:pPr>
              <w:spacing w:before="60" w:after="60"/>
              <w:ind w:left="170" w:hanging="170"/>
              <w:rPr>
                <w:color w:val="000000"/>
              </w:rPr>
            </w:pPr>
            <w:r w:rsidRPr="00092971">
              <w:rPr>
                <w:color w:val="000000"/>
              </w:rPr>
              <w:t>CSO adjustment</w:t>
            </w:r>
            <w:r>
              <w:rPr>
                <w:color w:val="000000"/>
              </w:rPr>
              <w:t xml:space="preserve"> </w:t>
            </w:r>
            <w:r w:rsidRPr="00092971">
              <w:rPr>
                <w:color w:val="000000"/>
                <w:vertAlign w:val="superscript"/>
              </w:rPr>
              <w:t>(a)</w:t>
            </w:r>
          </w:p>
        </w:tc>
        <w:tc>
          <w:tcPr>
            <w:tcW w:w="2094" w:type="dxa"/>
          </w:tcPr>
          <w:p w:rsidR="00BB6F1F" w:rsidRPr="00092971" w:rsidRDefault="00BB6F1F" w:rsidP="00AC68FF">
            <w:pPr>
              <w:spacing w:before="60" w:after="60"/>
              <w:ind w:left="170" w:hanging="170"/>
              <w:rPr>
                <w:color w:val="000000"/>
              </w:rPr>
            </w:pPr>
            <w:r>
              <w:rPr>
                <w:color w:val="000000"/>
              </w:rPr>
              <w:t>7</w:t>
            </w:r>
            <w:r w:rsidRPr="00092971">
              <w:rPr>
                <w:color w:val="000000"/>
              </w:rPr>
              <w:t>–70%</w:t>
            </w:r>
          </w:p>
        </w:tc>
      </w:tr>
      <w:tr w:rsidR="00BB6F1F" w:rsidRPr="00092971" w:rsidTr="00AC68FF">
        <w:tc>
          <w:tcPr>
            <w:tcW w:w="9636" w:type="dxa"/>
            <w:gridSpan w:val="4"/>
            <w:shd w:val="clear" w:color="auto" w:fill="EBEBEB" w:themeFill="background2"/>
          </w:tcPr>
          <w:p w:rsidR="00BB6F1F" w:rsidRPr="00092971" w:rsidRDefault="00BB6F1F" w:rsidP="00AC68FF">
            <w:pPr>
              <w:spacing w:before="60" w:after="60"/>
              <w:ind w:left="170" w:hanging="170"/>
              <w:rPr>
                <w:b/>
                <w:color w:val="000000"/>
              </w:rPr>
            </w:pPr>
            <w:r w:rsidRPr="00092971">
              <w:rPr>
                <w:b/>
                <w:color w:val="000000"/>
              </w:rPr>
              <w:t>Channels</w:t>
            </w:r>
          </w:p>
        </w:tc>
      </w:tr>
      <w:tr w:rsidR="00BB6F1F" w:rsidRPr="00092971" w:rsidTr="00A441A5">
        <w:tc>
          <w:tcPr>
            <w:tcW w:w="2409" w:type="dxa"/>
          </w:tcPr>
          <w:p w:rsidR="00BB6F1F" w:rsidRPr="00092971" w:rsidRDefault="00BB6F1F" w:rsidP="00AC68FF">
            <w:pPr>
              <w:spacing w:before="60" w:after="60"/>
              <w:ind w:left="170" w:hanging="170"/>
              <w:rPr>
                <w:color w:val="000000"/>
              </w:rPr>
            </w:pPr>
            <w:r w:rsidRPr="00092971">
              <w:rPr>
                <w:color w:val="000000"/>
              </w:rPr>
              <w:t>Ports</w:t>
            </w:r>
          </w:p>
        </w:tc>
        <w:tc>
          <w:tcPr>
            <w:tcW w:w="2409" w:type="dxa"/>
          </w:tcPr>
          <w:p w:rsidR="00BB6F1F" w:rsidRPr="00092971" w:rsidRDefault="00BB6F1F" w:rsidP="00AC68FF">
            <w:pPr>
              <w:spacing w:before="60" w:after="60"/>
              <w:ind w:left="170" w:hanging="170"/>
              <w:rPr>
                <w:color w:val="000000"/>
              </w:rPr>
            </w:pPr>
            <w:r w:rsidRPr="00092971">
              <w:rPr>
                <w:color w:val="000000"/>
              </w:rPr>
              <w:t>Discounted cash flow method (income approach)</w:t>
            </w:r>
          </w:p>
        </w:tc>
        <w:tc>
          <w:tcPr>
            <w:tcW w:w="2724" w:type="dxa"/>
          </w:tcPr>
          <w:p w:rsidR="00BB6F1F" w:rsidRPr="00092971" w:rsidRDefault="00BB6F1F" w:rsidP="00AC68FF">
            <w:pPr>
              <w:spacing w:before="60" w:after="60"/>
              <w:ind w:left="170" w:hanging="170"/>
              <w:rPr>
                <w:color w:val="000000"/>
              </w:rPr>
            </w:pPr>
            <w:r w:rsidRPr="00092971">
              <w:rPr>
                <w:color w:val="000000"/>
              </w:rPr>
              <w:t xml:space="preserve">Discount rates </w:t>
            </w:r>
            <w:r w:rsidRPr="00092971">
              <w:rPr>
                <w:color w:val="000000"/>
                <w:vertAlign w:val="superscript"/>
              </w:rPr>
              <w:t>(b)</w:t>
            </w:r>
          </w:p>
        </w:tc>
        <w:tc>
          <w:tcPr>
            <w:tcW w:w="2094" w:type="dxa"/>
          </w:tcPr>
          <w:p w:rsidR="00BB6F1F" w:rsidRPr="00092971" w:rsidRDefault="00BB6F1F" w:rsidP="00AC68FF">
            <w:pPr>
              <w:spacing w:before="60" w:after="60"/>
              <w:ind w:left="170" w:hanging="170"/>
              <w:rPr>
                <w:color w:val="000000"/>
              </w:rPr>
            </w:pPr>
            <w:r w:rsidRPr="00092971">
              <w:rPr>
                <w:color w:val="000000"/>
              </w:rPr>
              <w:t>8.60%</w:t>
            </w:r>
          </w:p>
        </w:tc>
      </w:tr>
      <w:tr w:rsidR="00BB6F1F" w:rsidRPr="00092971" w:rsidTr="00AC68FF">
        <w:tc>
          <w:tcPr>
            <w:tcW w:w="9636" w:type="dxa"/>
            <w:gridSpan w:val="4"/>
            <w:shd w:val="clear" w:color="auto" w:fill="EBEBEB" w:themeFill="background2"/>
          </w:tcPr>
          <w:p w:rsidR="00BB6F1F" w:rsidRPr="00092971" w:rsidRDefault="00BB6F1F" w:rsidP="00AC68FF">
            <w:pPr>
              <w:spacing w:before="60" w:after="60"/>
              <w:ind w:left="170" w:hanging="170"/>
              <w:rPr>
                <w:b/>
                <w:color w:val="000000"/>
              </w:rPr>
            </w:pPr>
            <w:r w:rsidRPr="00092971">
              <w:rPr>
                <w:b/>
                <w:color w:val="000000"/>
              </w:rPr>
              <w:t>Infrastructure</w:t>
            </w:r>
          </w:p>
        </w:tc>
      </w:tr>
      <w:tr w:rsidR="00BB6F1F" w:rsidRPr="00092971" w:rsidTr="00A441A5">
        <w:tc>
          <w:tcPr>
            <w:tcW w:w="2409" w:type="dxa"/>
          </w:tcPr>
          <w:p w:rsidR="00BB6F1F" w:rsidRPr="00092971" w:rsidRDefault="00BB6F1F" w:rsidP="00AC68FF">
            <w:pPr>
              <w:spacing w:before="60" w:after="60"/>
              <w:ind w:left="170" w:hanging="170"/>
              <w:rPr>
                <w:color w:val="000000"/>
              </w:rPr>
            </w:pPr>
            <w:r w:rsidRPr="00092971">
              <w:rPr>
                <w:color w:val="000000"/>
              </w:rPr>
              <w:t>Ports</w:t>
            </w:r>
          </w:p>
        </w:tc>
        <w:tc>
          <w:tcPr>
            <w:tcW w:w="2409" w:type="dxa"/>
          </w:tcPr>
          <w:p w:rsidR="00BB6F1F" w:rsidRPr="00092971" w:rsidRDefault="00BB6F1F" w:rsidP="00AC68FF">
            <w:pPr>
              <w:spacing w:before="60" w:after="60"/>
              <w:ind w:left="170" w:hanging="170"/>
              <w:rPr>
                <w:color w:val="000000"/>
              </w:rPr>
            </w:pPr>
            <w:r w:rsidRPr="00092971">
              <w:rPr>
                <w:color w:val="000000"/>
              </w:rPr>
              <w:t>Depreciated replacement cost</w:t>
            </w:r>
          </w:p>
        </w:tc>
        <w:tc>
          <w:tcPr>
            <w:tcW w:w="2724" w:type="dxa"/>
          </w:tcPr>
          <w:p w:rsidR="00BB6F1F" w:rsidRPr="00092971" w:rsidRDefault="00BB6F1F" w:rsidP="00AC68FF">
            <w:pPr>
              <w:spacing w:before="60" w:after="60"/>
              <w:ind w:left="170" w:hanging="170"/>
              <w:rPr>
                <w:color w:val="000000"/>
              </w:rPr>
            </w:pPr>
            <w:r w:rsidRPr="00092971">
              <w:rPr>
                <w:color w:val="000000"/>
              </w:rPr>
              <w:t>Cost per unit</w:t>
            </w:r>
          </w:p>
        </w:tc>
        <w:tc>
          <w:tcPr>
            <w:tcW w:w="2094" w:type="dxa"/>
          </w:tcPr>
          <w:p w:rsidR="00BB6F1F" w:rsidRPr="00092971" w:rsidRDefault="00BB6F1F" w:rsidP="00AC68FF">
            <w:pPr>
              <w:spacing w:before="60" w:after="60"/>
              <w:ind w:left="170" w:hanging="170"/>
              <w:rPr>
                <w:color w:val="000000"/>
              </w:rPr>
            </w:pPr>
            <w:r w:rsidRPr="00092971">
              <w:rPr>
                <w:color w:val="000000"/>
              </w:rPr>
              <w:t>$33 700 to $4 831 000</w:t>
            </w:r>
          </w:p>
        </w:tc>
      </w:tr>
      <w:tr w:rsidR="00BB6F1F" w:rsidRPr="00092971" w:rsidTr="00A441A5">
        <w:tc>
          <w:tcPr>
            <w:tcW w:w="2409" w:type="dxa"/>
          </w:tcPr>
          <w:p w:rsidR="00BB6F1F" w:rsidRPr="00092971" w:rsidRDefault="00BB6F1F" w:rsidP="00AC68FF">
            <w:pPr>
              <w:spacing w:before="60" w:after="60"/>
              <w:ind w:left="170" w:hanging="170"/>
              <w:rPr>
                <w:color w:val="000000"/>
              </w:rPr>
            </w:pPr>
            <w:r w:rsidRPr="00092971">
              <w:rPr>
                <w:color w:val="000000"/>
              </w:rPr>
              <w:t>Metropolitan water corporations</w:t>
            </w:r>
          </w:p>
        </w:tc>
        <w:tc>
          <w:tcPr>
            <w:tcW w:w="2409" w:type="dxa"/>
          </w:tcPr>
          <w:p w:rsidR="00BB6F1F" w:rsidRPr="00092971" w:rsidRDefault="00BB6F1F" w:rsidP="00AC68FF">
            <w:pPr>
              <w:spacing w:before="60" w:after="60"/>
              <w:ind w:left="170" w:hanging="170"/>
              <w:rPr>
                <w:color w:val="000000"/>
              </w:rPr>
            </w:pPr>
            <w:r w:rsidRPr="00092971">
              <w:rPr>
                <w:color w:val="000000"/>
              </w:rPr>
              <w:t>Discounted cash flow method (income approach)</w:t>
            </w:r>
          </w:p>
        </w:tc>
        <w:tc>
          <w:tcPr>
            <w:tcW w:w="2724" w:type="dxa"/>
          </w:tcPr>
          <w:p w:rsidR="00BB6F1F" w:rsidRPr="00092971" w:rsidRDefault="00BB6F1F" w:rsidP="00AC68FF">
            <w:pPr>
              <w:spacing w:before="60" w:after="60"/>
              <w:ind w:left="170" w:hanging="170"/>
              <w:rPr>
                <w:color w:val="000000"/>
              </w:rPr>
            </w:pPr>
            <w:r w:rsidRPr="00092971">
              <w:rPr>
                <w:color w:val="000000"/>
              </w:rPr>
              <w:t xml:space="preserve">Discount rates </w:t>
            </w:r>
            <w:r w:rsidRPr="00092971">
              <w:rPr>
                <w:color w:val="000000"/>
                <w:vertAlign w:val="superscript"/>
              </w:rPr>
              <w:t>(b)</w:t>
            </w:r>
          </w:p>
        </w:tc>
        <w:tc>
          <w:tcPr>
            <w:tcW w:w="2094" w:type="dxa"/>
          </w:tcPr>
          <w:p w:rsidR="00BB6F1F" w:rsidRPr="00092971" w:rsidRDefault="00BB6F1F" w:rsidP="00AC68FF">
            <w:pPr>
              <w:spacing w:before="60" w:after="60"/>
              <w:ind w:left="170" w:hanging="170"/>
              <w:rPr>
                <w:color w:val="000000"/>
              </w:rPr>
            </w:pPr>
            <w:r>
              <w:rPr>
                <w:color w:val="000000"/>
              </w:rPr>
              <w:t>5.3–6.</w:t>
            </w:r>
            <w:r w:rsidRPr="00092971">
              <w:rPr>
                <w:color w:val="000000"/>
              </w:rPr>
              <w:t>0%</w:t>
            </w:r>
          </w:p>
        </w:tc>
      </w:tr>
      <w:tr w:rsidR="00BB6F1F" w:rsidRPr="00092971" w:rsidTr="00A441A5">
        <w:tc>
          <w:tcPr>
            <w:tcW w:w="2409" w:type="dxa"/>
          </w:tcPr>
          <w:p w:rsidR="00BB6F1F" w:rsidRPr="00092971" w:rsidRDefault="00BB6F1F" w:rsidP="00AC68FF">
            <w:pPr>
              <w:spacing w:before="60" w:after="60"/>
              <w:ind w:left="170" w:hanging="170"/>
              <w:rPr>
                <w:color w:val="000000"/>
              </w:rPr>
            </w:pPr>
            <w:r w:rsidRPr="00092971">
              <w:rPr>
                <w:color w:val="000000"/>
              </w:rPr>
              <w:t xml:space="preserve"> </w:t>
            </w:r>
          </w:p>
        </w:tc>
        <w:tc>
          <w:tcPr>
            <w:tcW w:w="2409" w:type="dxa"/>
          </w:tcPr>
          <w:p w:rsidR="00BB6F1F" w:rsidRPr="00092971" w:rsidRDefault="00BB6F1F" w:rsidP="00AC68FF">
            <w:pPr>
              <w:spacing w:before="60" w:after="60"/>
              <w:ind w:left="170" w:hanging="170"/>
              <w:rPr>
                <w:color w:val="000000"/>
              </w:rPr>
            </w:pPr>
            <w:r w:rsidRPr="00092971">
              <w:rPr>
                <w:color w:val="000000"/>
              </w:rPr>
              <w:t xml:space="preserve"> </w:t>
            </w:r>
          </w:p>
        </w:tc>
        <w:tc>
          <w:tcPr>
            <w:tcW w:w="2724" w:type="dxa"/>
          </w:tcPr>
          <w:p w:rsidR="00BB6F1F" w:rsidRPr="00092971" w:rsidRDefault="00BB6F1F" w:rsidP="00AC68FF">
            <w:pPr>
              <w:spacing w:before="60" w:after="60"/>
              <w:ind w:left="170" w:hanging="170"/>
              <w:rPr>
                <w:color w:val="000000"/>
              </w:rPr>
            </w:pPr>
            <w:r w:rsidRPr="00092971">
              <w:rPr>
                <w:color w:val="000000"/>
              </w:rPr>
              <w:t xml:space="preserve">Inflation rate </w:t>
            </w:r>
            <w:r w:rsidRPr="00092971">
              <w:rPr>
                <w:color w:val="000000"/>
                <w:vertAlign w:val="superscript"/>
              </w:rPr>
              <w:t>(b)</w:t>
            </w:r>
          </w:p>
        </w:tc>
        <w:tc>
          <w:tcPr>
            <w:tcW w:w="2094" w:type="dxa"/>
          </w:tcPr>
          <w:p w:rsidR="00BB6F1F" w:rsidRPr="00092971" w:rsidRDefault="00BB6F1F" w:rsidP="00AC68FF">
            <w:pPr>
              <w:spacing w:before="60" w:after="60"/>
              <w:ind w:left="170" w:hanging="170"/>
              <w:rPr>
                <w:color w:val="000000"/>
              </w:rPr>
            </w:pPr>
            <w:r>
              <w:rPr>
                <w:color w:val="000000"/>
              </w:rPr>
              <w:t>2.5–3.</w:t>
            </w:r>
            <w:r w:rsidRPr="00092971">
              <w:rPr>
                <w:color w:val="000000"/>
              </w:rPr>
              <w:t>5%</w:t>
            </w:r>
          </w:p>
        </w:tc>
      </w:tr>
      <w:tr w:rsidR="00BB6F1F" w:rsidRPr="00092971" w:rsidTr="00A441A5">
        <w:tc>
          <w:tcPr>
            <w:tcW w:w="2409" w:type="dxa"/>
          </w:tcPr>
          <w:p w:rsidR="00BB6F1F" w:rsidRPr="00092971" w:rsidRDefault="00BB6F1F" w:rsidP="00AC68FF">
            <w:pPr>
              <w:spacing w:before="60" w:after="60"/>
              <w:ind w:left="170" w:hanging="170"/>
              <w:rPr>
                <w:color w:val="000000"/>
              </w:rPr>
            </w:pPr>
            <w:r w:rsidRPr="00092971">
              <w:rPr>
                <w:color w:val="000000"/>
              </w:rPr>
              <w:t xml:space="preserve"> </w:t>
            </w:r>
          </w:p>
        </w:tc>
        <w:tc>
          <w:tcPr>
            <w:tcW w:w="2409" w:type="dxa"/>
          </w:tcPr>
          <w:p w:rsidR="00BB6F1F" w:rsidRPr="00092971" w:rsidRDefault="00BB6F1F" w:rsidP="00AC68FF">
            <w:pPr>
              <w:spacing w:before="60" w:after="60"/>
              <w:ind w:left="170" w:hanging="170"/>
              <w:rPr>
                <w:color w:val="000000"/>
              </w:rPr>
            </w:pPr>
            <w:r w:rsidRPr="00092971">
              <w:rPr>
                <w:color w:val="000000"/>
              </w:rPr>
              <w:t xml:space="preserve"> </w:t>
            </w:r>
          </w:p>
        </w:tc>
        <w:tc>
          <w:tcPr>
            <w:tcW w:w="2724" w:type="dxa"/>
          </w:tcPr>
          <w:p w:rsidR="00BB6F1F" w:rsidRPr="00092971" w:rsidRDefault="00BB6F1F" w:rsidP="00AC68FF">
            <w:pPr>
              <w:spacing w:before="60" w:after="60"/>
              <w:ind w:left="170" w:hanging="170"/>
              <w:rPr>
                <w:color w:val="000000"/>
              </w:rPr>
            </w:pPr>
            <w:r w:rsidRPr="00092971">
              <w:rPr>
                <w:color w:val="000000"/>
              </w:rPr>
              <w:t>Terminal value growth rate</w:t>
            </w:r>
          </w:p>
        </w:tc>
        <w:tc>
          <w:tcPr>
            <w:tcW w:w="2094" w:type="dxa"/>
          </w:tcPr>
          <w:p w:rsidR="00BB6F1F" w:rsidRPr="00092971" w:rsidRDefault="00BB6F1F" w:rsidP="00AC68FF">
            <w:pPr>
              <w:spacing w:before="60" w:after="60"/>
              <w:ind w:left="170" w:hanging="170"/>
              <w:rPr>
                <w:color w:val="000000"/>
              </w:rPr>
            </w:pPr>
            <w:r>
              <w:rPr>
                <w:color w:val="000000"/>
              </w:rPr>
              <w:t>2.5-4.0</w:t>
            </w:r>
            <w:r w:rsidRPr="00092971">
              <w:rPr>
                <w:color w:val="000000"/>
              </w:rPr>
              <w:t>%</w:t>
            </w:r>
          </w:p>
        </w:tc>
      </w:tr>
      <w:tr w:rsidR="00BB6F1F" w:rsidRPr="00092971" w:rsidTr="00A441A5">
        <w:tc>
          <w:tcPr>
            <w:tcW w:w="2409" w:type="dxa"/>
          </w:tcPr>
          <w:p w:rsidR="00BB6F1F" w:rsidRPr="00092971" w:rsidRDefault="00BB6F1F" w:rsidP="00AC68FF">
            <w:pPr>
              <w:spacing w:before="60" w:after="60"/>
              <w:ind w:left="170" w:hanging="170"/>
              <w:rPr>
                <w:color w:val="000000"/>
              </w:rPr>
            </w:pPr>
            <w:r w:rsidRPr="00092971">
              <w:rPr>
                <w:color w:val="000000"/>
              </w:rPr>
              <w:t xml:space="preserve"> </w:t>
            </w:r>
          </w:p>
        </w:tc>
        <w:tc>
          <w:tcPr>
            <w:tcW w:w="2409" w:type="dxa"/>
          </w:tcPr>
          <w:p w:rsidR="00BB6F1F" w:rsidRPr="00092971" w:rsidRDefault="00BB6F1F" w:rsidP="00AC68FF">
            <w:pPr>
              <w:spacing w:before="60" w:after="60"/>
              <w:ind w:left="170" w:hanging="170"/>
              <w:rPr>
                <w:color w:val="000000"/>
              </w:rPr>
            </w:pPr>
            <w:r w:rsidRPr="00092971">
              <w:rPr>
                <w:color w:val="000000"/>
              </w:rPr>
              <w:t xml:space="preserve"> </w:t>
            </w:r>
          </w:p>
        </w:tc>
        <w:tc>
          <w:tcPr>
            <w:tcW w:w="2724" w:type="dxa"/>
          </w:tcPr>
          <w:p w:rsidR="00BB6F1F" w:rsidRPr="00092971" w:rsidRDefault="00BB6F1F" w:rsidP="00AC68FF">
            <w:pPr>
              <w:spacing w:before="60" w:after="60"/>
              <w:ind w:left="170" w:hanging="170"/>
              <w:rPr>
                <w:color w:val="000000"/>
              </w:rPr>
            </w:pPr>
            <w:r w:rsidRPr="00092971">
              <w:rPr>
                <w:color w:val="000000"/>
              </w:rPr>
              <w:t>Useful life</w:t>
            </w:r>
          </w:p>
        </w:tc>
        <w:tc>
          <w:tcPr>
            <w:tcW w:w="2094" w:type="dxa"/>
          </w:tcPr>
          <w:p w:rsidR="00BB6F1F" w:rsidRPr="00092971" w:rsidRDefault="00BB6F1F" w:rsidP="00AC68FF">
            <w:pPr>
              <w:spacing w:before="60" w:after="60"/>
              <w:ind w:left="170" w:hanging="170"/>
              <w:rPr>
                <w:color w:val="000000"/>
              </w:rPr>
            </w:pPr>
            <w:r w:rsidRPr="00092971">
              <w:rPr>
                <w:color w:val="000000"/>
              </w:rPr>
              <w:t>3–200 years</w:t>
            </w:r>
          </w:p>
        </w:tc>
      </w:tr>
      <w:tr w:rsidR="00BB6F1F" w:rsidRPr="00092971" w:rsidTr="00AC68FF">
        <w:tc>
          <w:tcPr>
            <w:tcW w:w="9636" w:type="dxa"/>
            <w:gridSpan w:val="4"/>
            <w:shd w:val="clear" w:color="auto" w:fill="EBEBEB" w:themeFill="background2"/>
          </w:tcPr>
          <w:p w:rsidR="00BB6F1F" w:rsidRPr="00092971" w:rsidRDefault="00BB6F1F" w:rsidP="00AC68FF">
            <w:pPr>
              <w:spacing w:before="60" w:after="60"/>
              <w:ind w:left="170" w:hanging="170"/>
              <w:rPr>
                <w:b/>
                <w:color w:val="000000"/>
              </w:rPr>
            </w:pPr>
            <w:r w:rsidRPr="00092971">
              <w:rPr>
                <w:b/>
                <w:color w:val="000000"/>
              </w:rPr>
              <w:t>Plant, equipment and vehicles</w:t>
            </w:r>
          </w:p>
        </w:tc>
      </w:tr>
      <w:tr w:rsidR="00BB6F1F" w:rsidRPr="00092971" w:rsidTr="00A441A5">
        <w:tc>
          <w:tcPr>
            <w:tcW w:w="2409" w:type="dxa"/>
          </w:tcPr>
          <w:p w:rsidR="00BB6F1F" w:rsidRPr="00092971" w:rsidRDefault="00BB6F1F" w:rsidP="00AC68FF">
            <w:pPr>
              <w:spacing w:before="60" w:after="60"/>
              <w:ind w:left="170" w:hanging="170"/>
              <w:rPr>
                <w:color w:val="000000"/>
              </w:rPr>
            </w:pPr>
            <w:r w:rsidRPr="00092971">
              <w:rPr>
                <w:color w:val="000000"/>
              </w:rPr>
              <w:t>Plant, equipment and vehicles</w:t>
            </w:r>
          </w:p>
        </w:tc>
        <w:tc>
          <w:tcPr>
            <w:tcW w:w="2409" w:type="dxa"/>
          </w:tcPr>
          <w:p w:rsidR="00BB6F1F" w:rsidRPr="00092971" w:rsidRDefault="00BB6F1F" w:rsidP="00AC68FF">
            <w:pPr>
              <w:spacing w:before="60" w:after="60"/>
              <w:ind w:left="170" w:hanging="170"/>
              <w:rPr>
                <w:color w:val="000000"/>
              </w:rPr>
            </w:pPr>
            <w:r w:rsidRPr="00092971">
              <w:rPr>
                <w:color w:val="000000"/>
              </w:rPr>
              <w:t>Depreciated replacement cost</w:t>
            </w:r>
          </w:p>
        </w:tc>
        <w:tc>
          <w:tcPr>
            <w:tcW w:w="2724" w:type="dxa"/>
          </w:tcPr>
          <w:p w:rsidR="00BB6F1F" w:rsidRPr="00092971" w:rsidRDefault="00BB6F1F" w:rsidP="00AC68FF">
            <w:pPr>
              <w:spacing w:before="60" w:after="60"/>
              <w:ind w:left="170" w:hanging="170"/>
              <w:rPr>
                <w:color w:val="000000"/>
              </w:rPr>
            </w:pPr>
            <w:r w:rsidRPr="00092971">
              <w:rPr>
                <w:color w:val="000000"/>
              </w:rPr>
              <w:t>Useful life</w:t>
            </w:r>
          </w:p>
          <w:p w:rsidR="00BB6F1F" w:rsidRPr="00092971" w:rsidRDefault="00BB6F1F" w:rsidP="00AC68FF">
            <w:pPr>
              <w:spacing w:before="60" w:after="60"/>
              <w:ind w:left="170" w:hanging="170"/>
              <w:rPr>
                <w:color w:val="000000"/>
              </w:rPr>
            </w:pPr>
            <w:r w:rsidRPr="00092971">
              <w:rPr>
                <w:color w:val="000000"/>
              </w:rPr>
              <w:t>Cost per unit</w:t>
            </w:r>
          </w:p>
        </w:tc>
        <w:tc>
          <w:tcPr>
            <w:tcW w:w="2094" w:type="dxa"/>
          </w:tcPr>
          <w:p w:rsidR="00BB6F1F" w:rsidRPr="00607AF6" w:rsidRDefault="00BB6F1F" w:rsidP="00AC68FF">
            <w:pPr>
              <w:spacing w:before="60" w:after="60"/>
              <w:ind w:left="170" w:hanging="170"/>
              <w:rPr>
                <w:color w:val="000000"/>
              </w:rPr>
            </w:pPr>
            <w:r w:rsidRPr="00607AF6">
              <w:rPr>
                <w:color w:val="000000"/>
              </w:rPr>
              <w:t>1–50 years</w:t>
            </w:r>
          </w:p>
          <w:p w:rsidR="00BB6F1F" w:rsidRPr="00092971" w:rsidRDefault="00BB6F1F" w:rsidP="00AC68FF">
            <w:pPr>
              <w:spacing w:before="60" w:after="60"/>
              <w:ind w:left="170" w:hanging="170"/>
              <w:rPr>
                <w:color w:val="000000"/>
              </w:rPr>
            </w:pPr>
            <w:r>
              <w:rPr>
                <w:color w:val="000000"/>
              </w:rPr>
              <w:t>$100 to $1,200,000</w:t>
            </w:r>
          </w:p>
        </w:tc>
      </w:tr>
    </w:tbl>
    <w:p w:rsidR="00BB6F1F" w:rsidRDefault="00BB6F1F" w:rsidP="00AC68FF">
      <w:pPr>
        <w:pStyle w:val="Note"/>
      </w:pPr>
      <w:r>
        <w:t>Notes:</w:t>
      </w:r>
    </w:p>
    <w:p w:rsidR="00BB6F1F" w:rsidRDefault="00BB6F1F" w:rsidP="00AC68FF">
      <w:pPr>
        <w:pStyle w:val="Note"/>
      </w:pPr>
      <w:r>
        <w:t xml:space="preserve">(a) </w:t>
      </w:r>
      <w:r>
        <w:tab/>
        <w:t xml:space="preserve">The CSO adjustment reflects the specialised nature of the asset being valued through a market approach. </w:t>
      </w:r>
    </w:p>
    <w:p w:rsidR="00BB6F1F" w:rsidRDefault="00BB6F1F" w:rsidP="00AC68FF">
      <w:pPr>
        <w:pStyle w:val="Note"/>
      </w:pPr>
      <w:r>
        <w:tab/>
        <w:t xml:space="preserve">The CSO adjustment is a reflection of the </w:t>
      </w:r>
      <w:proofErr w:type="spellStart"/>
      <w:r>
        <w:t>valuer’s</w:t>
      </w:r>
      <w:proofErr w:type="spellEnd"/>
      <w:r>
        <w:t xml:space="preserve">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rsidR="00BB6F1F" w:rsidRDefault="00BB6F1F" w:rsidP="00AC68FF">
      <w:pPr>
        <w:pStyle w:val="Note"/>
      </w:pPr>
      <w:r>
        <w:t>(b)</w:t>
      </w:r>
      <w:r>
        <w:tab/>
        <w:t>Applicable to the valuation using the income approach.</w:t>
      </w:r>
    </w:p>
    <w:p w:rsidR="00BB6F1F" w:rsidRDefault="00BB6F1F" w:rsidP="00AC68FF">
      <w:pPr>
        <w:pStyle w:val="Heading30"/>
        <w:rPr>
          <w:highlight w:val="yellow"/>
        </w:rPr>
        <w:sectPr w:rsidR="00BB6F1F" w:rsidSect="00AC68FF">
          <w:type w:val="continuous"/>
          <w:pgSz w:w="11907" w:h="16839" w:code="9"/>
          <w:pgMar w:top="1134" w:right="1134" w:bottom="1134" w:left="1134" w:header="624" w:footer="567" w:gutter="0"/>
          <w:cols w:sep="1" w:space="567"/>
          <w:docGrid w:linePitch="360"/>
        </w:sectPr>
      </w:pPr>
    </w:p>
    <w:p w:rsidR="00BB6F1F" w:rsidRPr="008A0D75" w:rsidRDefault="00BB6F1F" w:rsidP="00AC68FF">
      <w:pPr>
        <w:pStyle w:val="Heading10"/>
        <w:rPr>
          <w:sz w:val="23"/>
          <w:szCs w:val="26"/>
        </w:rPr>
        <w:sectPr w:rsidR="00BB6F1F" w:rsidRPr="008A0D75" w:rsidSect="00AC68FF">
          <w:type w:val="continuous"/>
          <w:pgSz w:w="11907" w:h="16839" w:code="9"/>
          <w:pgMar w:top="1134" w:right="1134" w:bottom="1134" w:left="1134" w:header="624" w:footer="567" w:gutter="0"/>
          <w:cols w:sep="1" w:space="567"/>
          <w:docGrid w:linePitch="360"/>
        </w:sectPr>
      </w:pPr>
    </w:p>
    <w:p w:rsidR="00BB6F1F" w:rsidRDefault="00BB6F1F" w:rsidP="00BB6F1F">
      <w:pPr>
        <w:pStyle w:val="Heading1"/>
        <w:numPr>
          <w:ilvl w:val="0"/>
          <w:numId w:val="24"/>
        </w:numPr>
        <w:pBdr>
          <w:bottom w:val="none" w:sz="0" w:space="0" w:color="auto"/>
        </w:pBdr>
        <w:sectPr w:rsidR="00BB6F1F" w:rsidSect="00AC68FF">
          <w:headerReference w:type="default" r:id="rId123"/>
          <w:pgSz w:w="11907" w:h="16839" w:code="9"/>
          <w:pgMar w:top="1134" w:right="1134" w:bottom="1134" w:left="1134" w:header="624" w:footer="567" w:gutter="0"/>
          <w:cols w:sep="1" w:space="567"/>
          <w:docGrid w:linePitch="360"/>
        </w:sectPr>
      </w:pPr>
      <w:bookmarkStart w:id="58" w:name="_Toc492985879"/>
      <w:bookmarkStart w:id="59" w:name="Section_08"/>
      <w:bookmarkEnd w:id="52"/>
      <w:r>
        <w:lastRenderedPageBreak/>
        <w:t>Comparison against budget and the public account</w:t>
      </w:r>
      <w:bookmarkEnd w:id="58"/>
    </w:p>
    <w:p w:rsidR="00BB6F1F" w:rsidRDefault="00BB6F1F" w:rsidP="00AC68FF">
      <w:pPr>
        <w:pStyle w:val="Heading30"/>
      </w:pPr>
      <w:r>
        <w:lastRenderedPageBreak/>
        <w:t xml:space="preserve">Introduction </w:t>
      </w:r>
    </w:p>
    <w:p w:rsidR="00BB6F1F" w:rsidRDefault="00BB6F1F" w:rsidP="00AC68FF">
      <w:r>
        <w:t>This section presents a summary of the original and revised published budget estimates for the Victorian general government sector and explains material variances between the estimates and actual outcomes as presented in these financial statements.</w:t>
      </w:r>
    </w:p>
    <w:p w:rsidR="00BB6F1F" w:rsidRDefault="00BB6F1F" w:rsidP="00AC68FF">
      <w:r>
        <w:t xml:space="preserve">It also provides disclosure of information in respect of the Public Account, in accordance with the requirement of the </w:t>
      </w:r>
      <w:r w:rsidRPr="006C4A7E">
        <w:rPr>
          <w:i/>
        </w:rPr>
        <w:t>Financial Management Act</w:t>
      </w:r>
      <w:r>
        <w:rPr>
          <w:i/>
        </w:rPr>
        <w:t>, No. 18 of </w:t>
      </w:r>
      <w:r w:rsidRPr="006C4A7E">
        <w:rPr>
          <w:i/>
        </w:rPr>
        <w:t>1994</w:t>
      </w:r>
      <w:r>
        <w:t xml:space="preserve"> (FMA).</w:t>
      </w:r>
    </w:p>
    <w:p w:rsidR="00BB6F1F" w:rsidRDefault="00BB6F1F" w:rsidP="00AC68FF">
      <w:pPr>
        <w:pStyle w:val="Heading30"/>
      </w:pPr>
      <w:r>
        <w:br w:type="column"/>
      </w:r>
      <w:r>
        <w:lastRenderedPageBreak/>
        <w:t>Structure</w:t>
      </w:r>
    </w:p>
    <w:p w:rsidR="00BB6F1F" w:rsidRDefault="00BB6F1F">
      <w:pPr>
        <w:pStyle w:val="TOC9"/>
        <w:rPr>
          <w:rFonts w:eastAsiaTheme="minorEastAsia"/>
          <w:noProof/>
          <w:spacing w:val="0"/>
          <w:lang w:eastAsia="en-AU"/>
        </w:rPr>
      </w:pPr>
      <w:r>
        <w:fldChar w:fldCharType="begin"/>
      </w:r>
      <w:r>
        <w:instrText xml:space="preserve"> TOC \h \z \t "Heading 2 (#),9" \b Section_08 \* MERGEFORMAT </w:instrText>
      </w:r>
      <w:r>
        <w:fldChar w:fldCharType="separate"/>
      </w:r>
      <w:hyperlink w:anchor="_Toc492984917" w:history="1">
        <w:r w:rsidRPr="00BA7624">
          <w:rPr>
            <w:rStyle w:val="Hyperlink"/>
            <w:noProof/>
          </w:rPr>
          <w:t>8.1</w:t>
        </w:r>
        <w:r>
          <w:rPr>
            <w:rFonts w:eastAsiaTheme="minorEastAsia"/>
            <w:noProof/>
            <w:spacing w:val="0"/>
            <w:lang w:eastAsia="en-AU"/>
          </w:rPr>
          <w:tab/>
        </w:r>
        <w:r w:rsidRPr="00BA7624">
          <w:rPr>
            <w:rStyle w:val="Hyperlink"/>
            <w:noProof/>
          </w:rPr>
          <w:t>Explanations of material variances between budget and actual outcomes</w:t>
        </w:r>
        <w:r>
          <w:rPr>
            <w:noProof/>
            <w:webHidden/>
          </w:rPr>
          <w:tab/>
        </w:r>
        <w:r>
          <w:rPr>
            <w:noProof/>
            <w:webHidden/>
          </w:rPr>
          <w:fldChar w:fldCharType="begin"/>
        </w:r>
        <w:r>
          <w:rPr>
            <w:noProof/>
            <w:webHidden/>
          </w:rPr>
          <w:instrText xml:space="preserve"> PAGEREF _Toc492984917 \h </w:instrText>
        </w:r>
        <w:r>
          <w:rPr>
            <w:noProof/>
            <w:webHidden/>
          </w:rPr>
        </w:r>
        <w:r>
          <w:rPr>
            <w:noProof/>
            <w:webHidden/>
          </w:rPr>
          <w:fldChar w:fldCharType="separate"/>
        </w:r>
        <w:r w:rsidR="002C7F26">
          <w:rPr>
            <w:noProof/>
            <w:webHidden/>
          </w:rPr>
          <w:t>107</w:t>
        </w:r>
        <w:r>
          <w:rPr>
            <w:noProof/>
            <w:webHidden/>
          </w:rPr>
          <w:fldChar w:fldCharType="end"/>
        </w:r>
      </w:hyperlink>
    </w:p>
    <w:p w:rsidR="00BB6F1F" w:rsidRDefault="00E73501">
      <w:pPr>
        <w:pStyle w:val="TOC9"/>
        <w:rPr>
          <w:rFonts w:eastAsiaTheme="minorEastAsia"/>
          <w:noProof/>
          <w:spacing w:val="0"/>
          <w:lang w:eastAsia="en-AU"/>
        </w:rPr>
      </w:pPr>
      <w:hyperlink w:anchor="_Toc492984918" w:history="1">
        <w:r w:rsidR="00BB6F1F" w:rsidRPr="00BA7624">
          <w:rPr>
            <w:rStyle w:val="Hyperlink"/>
            <w:noProof/>
          </w:rPr>
          <w:t>8.2</w:t>
        </w:r>
        <w:r w:rsidR="00BB6F1F">
          <w:rPr>
            <w:rFonts w:eastAsiaTheme="minorEastAsia"/>
            <w:noProof/>
            <w:spacing w:val="0"/>
            <w:lang w:eastAsia="en-AU"/>
          </w:rPr>
          <w:tab/>
        </w:r>
        <w:r w:rsidR="00BB6F1F" w:rsidRPr="00BA7624">
          <w:rPr>
            <w:rStyle w:val="Hyperlink"/>
            <w:noProof/>
          </w:rPr>
          <w:t>Public Account disclosures</w:t>
        </w:r>
        <w:r w:rsidR="00BB6F1F">
          <w:rPr>
            <w:noProof/>
            <w:webHidden/>
          </w:rPr>
          <w:tab/>
        </w:r>
        <w:r w:rsidR="00BB6F1F">
          <w:rPr>
            <w:noProof/>
            <w:webHidden/>
          </w:rPr>
          <w:fldChar w:fldCharType="begin"/>
        </w:r>
        <w:r w:rsidR="00BB6F1F">
          <w:rPr>
            <w:noProof/>
            <w:webHidden/>
          </w:rPr>
          <w:instrText xml:space="preserve"> PAGEREF _Toc492984918 \h </w:instrText>
        </w:r>
        <w:r w:rsidR="00BB6F1F">
          <w:rPr>
            <w:noProof/>
            <w:webHidden/>
          </w:rPr>
        </w:r>
        <w:r w:rsidR="00BB6F1F">
          <w:rPr>
            <w:noProof/>
            <w:webHidden/>
          </w:rPr>
          <w:fldChar w:fldCharType="separate"/>
        </w:r>
        <w:r w:rsidR="002C7F26">
          <w:rPr>
            <w:noProof/>
            <w:webHidden/>
          </w:rPr>
          <w:t>116</w:t>
        </w:r>
        <w:r w:rsidR="00BB6F1F">
          <w:rPr>
            <w:noProof/>
            <w:webHidden/>
          </w:rPr>
          <w:fldChar w:fldCharType="end"/>
        </w:r>
      </w:hyperlink>
    </w:p>
    <w:p w:rsidR="00BB6F1F" w:rsidRDefault="00BB6F1F" w:rsidP="00AC68FF">
      <w:r>
        <w:fldChar w:fldCharType="end"/>
      </w:r>
    </w:p>
    <w:p w:rsidR="00BB6F1F" w:rsidRDefault="00BB6F1F" w:rsidP="00AC68FF">
      <w:pPr>
        <w:sectPr w:rsidR="00BB6F1F" w:rsidSect="00AC68FF">
          <w:type w:val="continuous"/>
          <w:pgSz w:w="11907" w:h="16839" w:code="9"/>
          <w:pgMar w:top="1134" w:right="1134" w:bottom="1134" w:left="1134" w:header="624" w:footer="567" w:gutter="0"/>
          <w:cols w:num="2" w:space="567"/>
          <w:docGrid w:linePitch="360"/>
        </w:sectPr>
      </w:pPr>
    </w:p>
    <w:p w:rsidR="00BB6F1F" w:rsidRDefault="00BB6F1F" w:rsidP="00AC68FF"/>
    <w:p w:rsidR="00BB6F1F" w:rsidRDefault="00BB6F1F" w:rsidP="00AC68FF">
      <w:pPr>
        <w:sectPr w:rsidR="00BB6F1F" w:rsidSect="00AC68FF">
          <w:type w:val="continuous"/>
          <w:pgSz w:w="11907" w:h="16839" w:code="9"/>
          <w:pgMar w:top="1134" w:right="1134" w:bottom="1134" w:left="1134" w:header="624" w:footer="567" w:gutter="0"/>
          <w:cols w:space="567"/>
          <w:docGrid w:linePitch="360"/>
        </w:sectPr>
      </w:pPr>
    </w:p>
    <w:p w:rsidR="00BB6F1F" w:rsidRDefault="00BB6F1F" w:rsidP="006A6D19">
      <w:pPr>
        <w:pStyle w:val="Heading2"/>
        <w:numPr>
          <w:ilvl w:val="1"/>
          <w:numId w:val="24"/>
        </w:numPr>
        <w:spacing w:before="120"/>
      </w:pPr>
      <w:bookmarkStart w:id="60" w:name="_Toc492984917"/>
      <w:r>
        <w:lastRenderedPageBreak/>
        <w:t>Explanations of material variances between budget and actual outcomes</w:t>
      </w:r>
      <w:bookmarkEnd w:id="60"/>
    </w:p>
    <w:p w:rsidR="00BB6F1F" w:rsidRDefault="00BB6F1F" w:rsidP="00AC68FF">
      <w:r>
        <w:t xml:space="preserve">The tables and notes that follow explain material variances between the general government sector original budget as published in Chapter 1 of 2017-18 Budget Paper No. 5 </w:t>
      </w:r>
      <w:r w:rsidRPr="00BA1D53">
        <w:rPr>
          <w:i/>
        </w:rPr>
        <w:t>Statement of Finances</w:t>
      </w:r>
      <w:r>
        <w:t xml:space="preserve"> and actual outcomes. </w:t>
      </w:r>
    </w:p>
    <w:p w:rsidR="00BB6F1F" w:rsidRDefault="00BB6F1F" w:rsidP="00AC68FF">
      <w:r>
        <w:t xml:space="preserve">The tables also include the revised budget estimates as published in Appendix B of 2017-18 Budget Paper No. 5 </w:t>
      </w:r>
      <w:r w:rsidRPr="00BA1D53">
        <w:rPr>
          <w:i/>
        </w:rPr>
        <w:t>Statement of Finances</w:t>
      </w:r>
      <w:r>
        <w:t>.</w:t>
      </w:r>
    </w:p>
    <w:p w:rsidR="00BB6F1F" w:rsidRDefault="00BB6F1F" w:rsidP="00AC68FF">
      <w:pPr>
        <w:spacing w:before="240"/>
      </w:pPr>
      <w:r>
        <w:lastRenderedPageBreak/>
        <w:t>The original budget data is sourced from the estimated financial statements, which were reviewed by the Auditor-General, but not subject to an audit.</w:t>
      </w:r>
    </w:p>
    <w:p w:rsidR="00BB6F1F" w:rsidRDefault="00BB6F1F" w:rsidP="00AC68FF">
      <w:r>
        <w:t xml:space="preserve">For the general government sector comprehensive operating statement, variances are considered to be material where the variance exceeds the greater of 10 per cent of the original budget estimates or $20 million. In regard to the other statements, high level explanations of major variances in the key aggregates, where material, have been provided. </w:t>
      </w:r>
    </w:p>
    <w:p w:rsidR="00BB6F1F" w:rsidRDefault="00BB6F1F" w:rsidP="00AC68FF"/>
    <w:p w:rsidR="00BB6F1F" w:rsidRDefault="00BB6F1F" w:rsidP="00AC68FF">
      <w:pPr>
        <w:pStyle w:val="TableHeading"/>
        <w:sectPr w:rsidR="00BB6F1F" w:rsidSect="00AC68FF">
          <w:type w:val="continuous"/>
          <w:pgSz w:w="11907" w:h="16839" w:code="9"/>
          <w:pgMar w:top="1134" w:right="1134" w:bottom="1134" w:left="1134" w:header="624" w:footer="567" w:gutter="0"/>
          <w:cols w:num="2" w:space="567"/>
          <w:docGrid w:linePitch="360"/>
        </w:sectPr>
      </w:pPr>
    </w:p>
    <w:p w:rsidR="00BB6F1F" w:rsidRDefault="00BB6F1F">
      <w:pPr>
        <w:keepLines w:val="0"/>
        <w:rPr>
          <w:rFonts w:asciiTheme="majorHAnsi" w:hAnsiTheme="majorHAnsi"/>
          <w:b/>
          <w:sz w:val="20"/>
          <w:szCs w:val="20"/>
        </w:rPr>
      </w:pPr>
      <w:r>
        <w:lastRenderedPageBreak/>
        <w:br w:type="page"/>
      </w:r>
    </w:p>
    <w:p w:rsidR="00BB6F1F" w:rsidRPr="00EC2897" w:rsidRDefault="00BB6F1F" w:rsidP="00AC68FF">
      <w:pPr>
        <w:pStyle w:val="TableHeading"/>
        <w:rPr>
          <w:bCs/>
          <w:lang w:val="en-US"/>
        </w:rPr>
      </w:pPr>
      <w:r>
        <w:lastRenderedPageBreak/>
        <w:t>Consolidated comprehensive operating statement for the financial year ending 30 June</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3827"/>
        <w:gridCol w:w="567"/>
        <w:gridCol w:w="850"/>
        <w:gridCol w:w="850"/>
        <w:gridCol w:w="709"/>
        <w:gridCol w:w="850"/>
        <w:gridCol w:w="567"/>
        <w:gridCol w:w="850"/>
        <w:gridCol w:w="567"/>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iCs/>
                <w:color w:val="FFFFFF"/>
                <w:szCs w:val="16"/>
                <w:lang w:eastAsia="en-AU"/>
              </w:rPr>
            </w:pPr>
            <w:r w:rsidRPr="00EC2897">
              <w:rPr>
                <w:rFonts w:eastAsiaTheme="minorEastAsia" w:cs="Calibri"/>
                <w:iCs/>
                <w:color w:val="FFFFFF"/>
                <w:szCs w:val="16"/>
                <w:lang w:eastAsia="en-AU"/>
              </w:rPr>
              <w:t xml:space="preserve">General government sector </w:t>
            </w:r>
          </w:p>
        </w:tc>
        <w:tc>
          <w:tcPr>
            <w:tcW w:w="567"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Notes</w:t>
            </w:r>
          </w:p>
        </w:tc>
        <w:tc>
          <w:tcPr>
            <w:tcW w:w="85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Published budget</w:t>
            </w:r>
          </w:p>
        </w:tc>
        <w:tc>
          <w:tcPr>
            <w:tcW w:w="85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Revised budget</w:t>
            </w:r>
          </w:p>
        </w:tc>
        <w:tc>
          <w:tcPr>
            <w:tcW w:w="709"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2017 actual</w:t>
            </w:r>
          </w:p>
        </w:tc>
        <w:tc>
          <w:tcPr>
            <w:tcW w:w="85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Budget variance</w:t>
            </w:r>
          </w:p>
        </w:tc>
        <w:tc>
          <w:tcPr>
            <w:tcW w:w="567"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w:t>
            </w:r>
          </w:p>
        </w:tc>
        <w:tc>
          <w:tcPr>
            <w:tcW w:w="85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Revised budget variance</w:t>
            </w:r>
          </w:p>
        </w:tc>
        <w:tc>
          <w:tcPr>
            <w:tcW w:w="567"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Revenue from transactions</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Taxation revenue</w:t>
            </w:r>
          </w:p>
        </w:tc>
        <w:tc>
          <w:tcPr>
            <w:tcW w:w="567" w:type="dxa"/>
            <w:tcBorders>
              <w:top w:val="nil"/>
              <w:left w:val="nil"/>
              <w:bottom w:val="nil"/>
              <w:right w:val="nil"/>
            </w:tcBorders>
          </w:tcPr>
          <w:p w:rsidR="00BB6F1F" w:rsidRPr="00A11C34"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A11C34">
              <w:rPr>
                <w:rFonts w:eastAsiaTheme="minorEastAsia" w:cs="Calibri"/>
                <w:color w:val="000000"/>
                <w:szCs w:val="16"/>
                <w:lang w:eastAsia="en-AU"/>
              </w:rPr>
              <w:t>(a)</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21 594</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22 189</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22 272</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678</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83</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Interest revenue</w:t>
            </w:r>
          </w:p>
        </w:tc>
        <w:tc>
          <w:tcPr>
            <w:tcW w:w="567" w:type="dxa"/>
            <w:tcBorders>
              <w:top w:val="nil"/>
              <w:left w:val="nil"/>
              <w:bottom w:val="nil"/>
              <w:right w:val="nil"/>
            </w:tcBorders>
          </w:tcPr>
          <w:p w:rsidR="00BB6F1F" w:rsidRPr="00A11C34"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A11C34">
              <w:rPr>
                <w:rFonts w:eastAsiaTheme="minorEastAsia" w:cs="Calibri"/>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881</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889</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863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(18)</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(26)</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Dividends, income tax equivalent and rate equivalent revenue</w:t>
            </w:r>
          </w:p>
        </w:tc>
        <w:tc>
          <w:tcPr>
            <w:tcW w:w="567" w:type="dxa"/>
            <w:tcBorders>
              <w:top w:val="nil"/>
              <w:left w:val="nil"/>
              <w:bottom w:val="nil"/>
              <w:right w:val="nil"/>
            </w:tcBorders>
          </w:tcPr>
          <w:p w:rsidR="00BB6F1F" w:rsidRPr="00A11C34"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A11C34">
              <w:rPr>
                <w:rFonts w:eastAsiaTheme="minorEastAsia" w:cs="Calibri"/>
                <w:color w:val="000000"/>
                <w:szCs w:val="16"/>
                <w:lang w:eastAsia="en-AU"/>
              </w:rPr>
              <w:t>(b)</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1 059</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564</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658</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(401)</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(38)</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94</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Sales of goods and services</w:t>
            </w:r>
          </w:p>
        </w:tc>
        <w:tc>
          <w:tcPr>
            <w:tcW w:w="567" w:type="dxa"/>
            <w:tcBorders>
              <w:top w:val="nil"/>
              <w:left w:val="nil"/>
              <w:bottom w:val="nil"/>
              <w:right w:val="nil"/>
            </w:tcBorders>
          </w:tcPr>
          <w:p w:rsidR="00BB6F1F" w:rsidRPr="00A11C34"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A11C34">
              <w:rPr>
                <w:rFonts w:eastAsiaTheme="minorEastAsia" w:cs="Calibri"/>
                <w:color w:val="000000"/>
                <w:szCs w:val="16"/>
                <w:lang w:eastAsia="en-AU"/>
              </w:rPr>
              <w:t>(c)</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6 843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6 886</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6 939</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95</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53</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Grant revenue</w:t>
            </w:r>
          </w:p>
        </w:tc>
        <w:tc>
          <w:tcPr>
            <w:tcW w:w="567" w:type="dxa"/>
            <w:tcBorders>
              <w:top w:val="nil"/>
              <w:left w:val="nil"/>
              <w:bottom w:val="nil"/>
              <w:right w:val="nil"/>
            </w:tcBorders>
          </w:tcPr>
          <w:p w:rsidR="00BB6F1F" w:rsidRPr="00A11C34"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A11C34">
              <w:rPr>
                <w:rFonts w:eastAsiaTheme="minorEastAsia" w:cs="Calibri"/>
                <w:color w:val="000000"/>
                <w:szCs w:val="16"/>
                <w:lang w:eastAsia="en-AU"/>
              </w:rPr>
              <w:t>(d)</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27 424</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27 526</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27 542</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118</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16</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Other revenue</w:t>
            </w:r>
          </w:p>
        </w:tc>
        <w:tc>
          <w:tcPr>
            <w:tcW w:w="567" w:type="dxa"/>
            <w:tcBorders>
              <w:top w:val="nil"/>
              <w:left w:val="nil"/>
              <w:bottom w:val="single" w:sz="6" w:space="0" w:color="000000"/>
              <w:right w:val="nil"/>
            </w:tcBorders>
          </w:tcPr>
          <w:p w:rsidR="00BB6F1F" w:rsidRPr="00A11C34"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A11C34">
              <w:rPr>
                <w:rFonts w:eastAsiaTheme="minorEastAsia" w:cs="Calibri"/>
                <w:color w:val="000000"/>
                <w:szCs w:val="16"/>
                <w:lang w:eastAsia="en-AU"/>
              </w:rPr>
              <w:t>(e)</w:t>
            </w:r>
          </w:p>
        </w:tc>
        <w:tc>
          <w:tcPr>
            <w:tcW w:w="850"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2 569</w:t>
            </w:r>
          </w:p>
        </w:tc>
        <w:tc>
          <w:tcPr>
            <w:tcW w:w="850"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2 657</w:t>
            </w:r>
          </w:p>
        </w:tc>
        <w:tc>
          <w:tcPr>
            <w:tcW w:w="709"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2 645</w:t>
            </w:r>
          </w:p>
        </w:tc>
        <w:tc>
          <w:tcPr>
            <w:tcW w:w="850"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76</w:t>
            </w:r>
          </w:p>
        </w:tc>
        <w:tc>
          <w:tcPr>
            <w:tcW w:w="567"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w:t>
            </w:r>
          </w:p>
        </w:tc>
        <w:tc>
          <w:tcPr>
            <w:tcW w:w="850"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(12)</w:t>
            </w:r>
          </w:p>
        </w:tc>
        <w:tc>
          <w:tcPr>
            <w:tcW w:w="567"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 xml:space="preserve">Total revenue from transactions </w:t>
            </w:r>
          </w:p>
        </w:tc>
        <w:tc>
          <w:tcPr>
            <w:tcW w:w="567" w:type="dxa"/>
            <w:tcBorders>
              <w:top w:val="nil"/>
              <w:left w:val="nil"/>
              <w:bottom w:val="nil"/>
              <w:right w:val="nil"/>
            </w:tcBorders>
          </w:tcPr>
          <w:p w:rsidR="00BB6F1F" w:rsidRPr="00A11C34"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A11C34">
              <w:rPr>
                <w:rFonts w:eastAsiaTheme="minorEastAsia" w:cs="Calibri"/>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60 370</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60 711</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60 918</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549</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208</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Expenses from transactions</w:t>
            </w:r>
          </w:p>
        </w:tc>
        <w:tc>
          <w:tcPr>
            <w:tcW w:w="567" w:type="dxa"/>
            <w:tcBorders>
              <w:top w:val="nil"/>
              <w:left w:val="nil"/>
              <w:bottom w:val="nil"/>
              <w:right w:val="nil"/>
            </w:tcBorders>
          </w:tcPr>
          <w:p w:rsidR="00BB6F1F" w:rsidRPr="00A11C34"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A11C34">
              <w:rPr>
                <w:rFonts w:eastAsiaTheme="minorEastAsia" w:cs="Calibri"/>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Employee expenses</w:t>
            </w:r>
          </w:p>
        </w:tc>
        <w:tc>
          <w:tcPr>
            <w:tcW w:w="567" w:type="dxa"/>
            <w:tcBorders>
              <w:top w:val="nil"/>
              <w:left w:val="nil"/>
              <w:bottom w:val="nil"/>
              <w:right w:val="nil"/>
            </w:tcBorders>
          </w:tcPr>
          <w:p w:rsidR="00BB6F1F" w:rsidRPr="00A11C34"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A11C34">
              <w:rPr>
                <w:rFonts w:eastAsiaTheme="minorEastAsia" w:cs="Calibri"/>
                <w:color w:val="000000"/>
                <w:szCs w:val="16"/>
                <w:lang w:eastAsia="en-AU"/>
              </w:rPr>
              <w:t>(f)</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21 298</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22 060</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21 497</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198</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(564)</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Net superannuation interest expense</w:t>
            </w:r>
          </w:p>
        </w:tc>
        <w:tc>
          <w:tcPr>
            <w:tcW w:w="567" w:type="dxa"/>
            <w:tcBorders>
              <w:top w:val="nil"/>
              <w:left w:val="nil"/>
              <w:bottom w:val="nil"/>
              <w:right w:val="nil"/>
            </w:tcBorders>
          </w:tcPr>
          <w:p w:rsidR="00BB6F1F" w:rsidRPr="00A11C34"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A11C34">
              <w:rPr>
                <w:rFonts w:eastAsiaTheme="minorEastAsia" w:cs="Calibri"/>
                <w:color w:val="000000"/>
                <w:szCs w:val="16"/>
                <w:lang w:eastAsia="en-AU"/>
              </w:rPr>
              <w:t>(g)</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791</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692</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692</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(100)</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Other superannuation</w:t>
            </w:r>
          </w:p>
        </w:tc>
        <w:tc>
          <w:tcPr>
            <w:tcW w:w="567" w:type="dxa"/>
            <w:tcBorders>
              <w:top w:val="nil"/>
              <w:left w:val="nil"/>
              <w:bottom w:val="nil"/>
              <w:right w:val="nil"/>
            </w:tcBorders>
          </w:tcPr>
          <w:p w:rsidR="00BB6F1F" w:rsidRPr="00A11C34"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A11C34">
              <w:rPr>
                <w:rFonts w:eastAsiaTheme="minorEastAsia" w:cs="Calibri"/>
                <w:color w:val="000000"/>
                <w:szCs w:val="16"/>
                <w:lang w:eastAsia="en-AU"/>
              </w:rPr>
              <w:t>(h)</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2 239</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2 343</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2 332</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93</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(11)</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Depreciation</w:t>
            </w:r>
          </w:p>
        </w:tc>
        <w:tc>
          <w:tcPr>
            <w:tcW w:w="567" w:type="dxa"/>
            <w:tcBorders>
              <w:top w:val="nil"/>
              <w:left w:val="nil"/>
              <w:bottom w:val="nil"/>
              <w:right w:val="nil"/>
            </w:tcBorders>
          </w:tcPr>
          <w:p w:rsidR="00BB6F1F" w:rsidRPr="00A11C34"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A11C34">
              <w:rPr>
                <w:rFonts w:eastAsiaTheme="minorEastAsia" w:cs="Calibri"/>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2 620</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2 671</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2 616</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(55)</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Interest expense</w:t>
            </w:r>
          </w:p>
        </w:tc>
        <w:tc>
          <w:tcPr>
            <w:tcW w:w="567" w:type="dxa"/>
            <w:tcBorders>
              <w:top w:val="nil"/>
              <w:left w:val="nil"/>
              <w:bottom w:val="nil"/>
              <w:right w:val="nil"/>
            </w:tcBorders>
          </w:tcPr>
          <w:p w:rsidR="00BB6F1F" w:rsidRPr="00A11C34"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A11C34">
              <w:rPr>
                <w:rFonts w:eastAsiaTheme="minorEastAsia" w:cs="Calibri"/>
                <w:color w:val="000000"/>
                <w:szCs w:val="16"/>
                <w:lang w:eastAsia="en-AU"/>
              </w:rPr>
              <w:t>(</w:t>
            </w:r>
            <w:proofErr w:type="spellStart"/>
            <w:r w:rsidRPr="00A11C34">
              <w:rPr>
                <w:rFonts w:eastAsiaTheme="minorEastAsia" w:cs="Calibri"/>
                <w:color w:val="000000"/>
                <w:szCs w:val="16"/>
                <w:lang w:eastAsia="en-AU"/>
              </w:rPr>
              <w:t>i</w:t>
            </w:r>
            <w:proofErr w:type="spellEnd"/>
            <w:r w:rsidRPr="00A11C34">
              <w:rPr>
                <w:rFonts w:eastAsiaTheme="minorEastAsia" w:cs="Calibri"/>
                <w:color w:val="000000"/>
                <w:szCs w:val="16"/>
                <w:lang w:eastAsia="en-AU"/>
              </w:rPr>
              <w:t>)</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2 433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2 012</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2 028</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(405)</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(17)</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16</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Grant expense</w:t>
            </w:r>
          </w:p>
        </w:tc>
        <w:tc>
          <w:tcPr>
            <w:tcW w:w="567" w:type="dxa"/>
            <w:tcBorders>
              <w:top w:val="nil"/>
              <w:left w:val="nil"/>
              <w:bottom w:val="nil"/>
              <w:right w:val="nil"/>
            </w:tcBorders>
          </w:tcPr>
          <w:p w:rsidR="00BB6F1F" w:rsidRPr="00A11C34"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A11C34">
              <w:rPr>
                <w:rFonts w:eastAsiaTheme="minorEastAsia" w:cs="Calibri"/>
                <w:color w:val="000000"/>
                <w:szCs w:val="16"/>
                <w:lang w:eastAsia="en-AU"/>
              </w:rPr>
              <w:t>(j)</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9 451</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10 378</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10 471</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1 020</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11</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93</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Other operating expenses</w:t>
            </w:r>
          </w:p>
        </w:tc>
        <w:tc>
          <w:tcPr>
            <w:tcW w:w="567" w:type="dxa"/>
            <w:tcBorders>
              <w:top w:val="nil"/>
              <w:left w:val="nil"/>
              <w:bottom w:val="nil"/>
              <w:right w:val="nil"/>
            </w:tcBorders>
          </w:tcPr>
          <w:p w:rsidR="00BB6F1F" w:rsidRPr="00A11C34"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A11C34">
              <w:rPr>
                <w:rFonts w:eastAsiaTheme="minorEastAsia" w:cs="Calibri"/>
                <w:color w:val="000000"/>
                <w:szCs w:val="16"/>
                <w:lang w:eastAsia="en-AU"/>
              </w:rPr>
              <w:t>(k)</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18 669</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19 210</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18 575</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(94)</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(636)</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Total expenses from transactions</w:t>
            </w:r>
          </w:p>
        </w:tc>
        <w:tc>
          <w:tcPr>
            <w:tcW w:w="567"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 xml:space="preserve"> </w:t>
            </w:r>
          </w:p>
        </w:tc>
        <w:tc>
          <w:tcPr>
            <w:tcW w:w="850"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57 501</w:t>
            </w:r>
          </w:p>
        </w:tc>
        <w:tc>
          <w:tcPr>
            <w:tcW w:w="850"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59 367</w:t>
            </w:r>
          </w:p>
        </w:tc>
        <w:tc>
          <w:tcPr>
            <w:tcW w:w="709"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58 210</w:t>
            </w:r>
          </w:p>
        </w:tc>
        <w:tc>
          <w:tcPr>
            <w:tcW w:w="850"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709</w:t>
            </w:r>
          </w:p>
        </w:tc>
        <w:tc>
          <w:tcPr>
            <w:tcW w:w="567"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w:t>
            </w:r>
          </w:p>
        </w:tc>
        <w:tc>
          <w:tcPr>
            <w:tcW w:w="850"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(1 157)</w:t>
            </w:r>
          </w:p>
        </w:tc>
        <w:tc>
          <w:tcPr>
            <w:tcW w:w="567"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Net result from transactions – net operating balance</w:t>
            </w:r>
          </w:p>
        </w:tc>
        <w:tc>
          <w:tcPr>
            <w:tcW w:w="56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 xml:space="preserve"> </w:t>
            </w:r>
          </w:p>
        </w:tc>
        <w:tc>
          <w:tcPr>
            <w:tcW w:w="850"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2 869</w:t>
            </w:r>
          </w:p>
        </w:tc>
        <w:tc>
          <w:tcPr>
            <w:tcW w:w="850"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1 344</w:t>
            </w:r>
          </w:p>
        </w:tc>
        <w:tc>
          <w:tcPr>
            <w:tcW w:w="709"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2 709</w:t>
            </w:r>
          </w:p>
        </w:tc>
        <w:tc>
          <w:tcPr>
            <w:tcW w:w="850"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(160)</w:t>
            </w:r>
          </w:p>
        </w:tc>
        <w:tc>
          <w:tcPr>
            <w:tcW w:w="56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(6)</w:t>
            </w:r>
          </w:p>
        </w:tc>
        <w:tc>
          <w:tcPr>
            <w:tcW w:w="850"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1 365</w:t>
            </w:r>
          </w:p>
        </w:tc>
        <w:tc>
          <w:tcPr>
            <w:tcW w:w="56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102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 xml:space="preserve">Other economic flows included in net result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 xml:space="preserve">Net gain/(loss) on disposal of non-financial assets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72</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51</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(22)</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proofErr w:type="spellStart"/>
            <w:r w:rsidRPr="00EC2897">
              <w:rPr>
                <w:rFonts w:eastAsiaTheme="minorEastAsia" w:cs="Calibri"/>
                <w:color w:val="000000"/>
                <w:szCs w:val="16"/>
                <w:lang w:eastAsia="en-AU"/>
              </w:rPr>
              <w:t>n.a</w:t>
            </w:r>
            <w:proofErr w:type="spellEnd"/>
            <w:r w:rsidRPr="00EC2897">
              <w:rPr>
                <w:rFonts w:eastAsiaTheme="minorEastAsia" w:cs="Calibri"/>
                <w:color w:val="000000"/>
                <w:szCs w:val="16"/>
                <w:lang w:eastAsia="en-AU"/>
              </w:rPr>
              <w:t>.</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(21)</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proofErr w:type="spellStart"/>
            <w:r w:rsidRPr="00EC2897">
              <w:rPr>
                <w:rFonts w:eastAsiaTheme="minorEastAsia" w:cs="Calibri"/>
                <w:color w:val="000000"/>
                <w:szCs w:val="16"/>
                <w:lang w:eastAsia="en-AU"/>
              </w:rPr>
              <w:t>n.a</w:t>
            </w:r>
            <w:proofErr w:type="spellEnd"/>
            <w:r w:rsidRPr="00EC2897">
              <w:rPr>
                <w:rFonts w:eastAsiaTheme="minorEastAsia" w:cs="Calibri"/>
                <w:color w:val="000000"/>
                <w:szCs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 xml:space="preserve">Net gain/(loss) on financial assets or liabilities at </w:t>
            </w:r>
            <w:r>
              <w:rPr>
                <w:rFonts w:eastAsiaTheme="minorEastAsia" w:cs="Calibri"/>
                <w:color w:val="000000"/>
                <w:szCs w:val="16"/>
                <w:lang w:eastAsia="en-AU"/>
              </w:rPr>
              <w:br/>
            </w:r>
            <w:r w:rsidRPr="00EC2897">
              <w:rPr>
                <w:rFonts w:eastAsiaTheme="minorEastAsia" w:cs="Calibri"/>
                <w:color w:val="000000"/>
                <w:szCs w:val="16"/>
                <w:lang w:eastAsia="en-AU"/>
              </w:rPr>
              <w:t>fair value</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11</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22</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24</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13</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proofErr w:type="spellStart"/>
            <w:r w:rsidRPr="00EC2897">
              <w:rPr>
                <w:rFonts w:eastAsiaTheme="minorEastAsia" w:cs="Calibri"/>
                <w:color w:val="000000"/>
                <w:szCs w:val="16"/>
                <w:lang w:eastAsia="en-AU"/>
              </w:rPr>
              <w:t>n.a</w:t>
            </w:r>
            <w:proofErr w:type="spellEnd"/>
            <w:r w:rsidRPr="00EC2897">
              <w:rPr>
                <w:rFonts w:eastAsiaTheme="minorEastAsia" w:cs="Calibri"/>
                <w:color w:val="000000"/>
                <w:szCs w:val="16"/>
                <w:lang w:eastAsia="en-AU"/>
              </w:rPr>
              <w:t>.</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proofErr w:type="spellStart"/>
            <w:r w:rsidRPr="00EC2897">
              <w:rPr>
                <w:rFonts w:eastAsiaTheme="minorEastAsia" w:cs="Calibri"/>
                <w:color w:val="000000"/>
                <w:szCs w:val="16"/>
                <w:lang w:eastAsia="en-AU"/>
              </w:rPr>
              <w:t>n.a</w:t>
            </w:r>
            <w:proofErr w:type="spellEnd"/>
            <w:r w:rsidRPr="00EC2897">
              <w:rPr>
                <w:rFonts w:eastAsiaTheme="minorEastAsia" w:cs="Calibri"/>
                <w:color w:val="000000"/>
                <w:szCs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Share of net profit/(loss) from associates/joint venture entities, excluding dividends</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proofErr w:type="spellStart"/>
            <w:r w:rsidRPr="00EC2897">
              <w:rPr>
                <w:rFonts w:eastAsiaTheme="minorEastAsia" w:cs="Calibri"/>
                <w:color w:val="000000"/>
                <w:szCs w:val="16"/>
                <w:lang w:eastAsia="en-AU"/>
              </w:rPr>
              <w:t>n.a</w:t>
            </w:r>
            <w:proofErr w:type="spellEnd"/>
            <w:r w:rsidRPr="00EC2897">
              <w:rPr>
                <w:rFonts w:eastAsiaTheme="minorEastAsia" w:cs="Calibri"/>
                <w:color w:val="000000"/>
                <w:szCs w:val="16"/>
                <w:lang w:eastAsia="en-AU"/>
              </w:rPr>
              <w:t>.</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proofErr w:type="spellStart"/>
            <w:r w:rsidRPr="00EC2897">
              <w:rPr>
                <w:rFonts w:eastAsiaTheme="minorEastAsia" w:cs="Calibri"/>
                <w:color w:val="000000"/>
                <w:szCs w:val="16"/>
                <w:lang w:eastAsia="en-AU"/>
              </w:rPr>
              <w:t>n.a</w:t>
            </w:r>
            <w:proofErr w:type="spellEnd"/>
            <w:r w:rsidRPr="00EC2897">
              <w:rPr>
                <w:rFonts w:eastAsiaTheme="minorEastAsia" w:cs="Calibri"/>
                <w:color w:val="000000"/>
                <w:szCs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Other gains/(losses) from other economic flows</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(318)</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(388)</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(226)</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92</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proofErr w:type="spellStart"/>
            <w:r w:rsidRPr="00EC2897">
              <w:rPr>
                <w:rFonts w:eastAsiaTheme="minorEastAsia" w:cs="Calibri"/>
                <w:color w:val="000000"/>
                <w:szCs w:val="16"/>
                <w:lang w:eastAsia="en-AU"/>
              </w:rPr>
              <w:t>n.a</w:t>
            </w:r>
            <w:proofErr w:type="spellEnd"/>
            <w:r w:rsidRPr="00EC2897">
              <w:rPr>
                <w:rFonts w:eastAsiaTheme="minorEastAsia" w:cs="Calibri"/>
                <w:color w:val="000000"/>
                <w:szCs w:val="16"/>
                <w:lang w:eastAsia="en-AU"/>
              </w:rPr>
              <w:t>.</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163</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proofErr w:type="spellStart"/>
            <w:r w:rsidRPr="00EC2897">
              <w:rPr>
                <w:rFonts w:eastAsiaTheme="minorEastAsia" w:cs="Calibri"/>
                <w:color w:val="000000"/>
                <w:szCs w:val="16"/>
                <w:lang w:eastAsia="en-AU"/>
              </w:rPr>
              <w:t>n.a</w:t>
            </w:r>
            <w:proofErr w:type="spellEnd"/>
            <w:r w:rsidRPr="00EC2897">
              <w:rPr>
                <w:rFonts w:eastAsiaTheme="minorEastAsia" w:cs="Calibri"/>
                <w:color w:val="000000"/>
                <w:szCs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Total other economic flows included in net result</w:t>
            </w:r>
          </w:p>
        </w:tc>
        <w:tc>
          <w:tcPr>
            <w:tcW w:w="567"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 xml:space="preserve"> </w:t>
            </w:r>
          </w:p>
        </w:tc>
        <w:tc>
          <w:tcPr>
            <w:tcW w:w="850"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(234)</w:t>
            </w:r>
          </w:p>
        </w:tc>
        <w:tc>
          <w:tcPr>
            <w:tcW w:w="850"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(295)</w:t>
            </w:r>
          </w:p>
        </w:tc>
        <w:tc>
          <w:tcPr>
            <w:tcW w:w="709"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(150)</w:t>
            </w:r>
          </w:p>
        </w:tc>
        <w:tc>
          <w:tcPr>
            <w:tcW w:w="850"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84</w:t>
            </w:r>
          </w:p>
        </w:tc>
        <w:tc>
          <w:tcPr>
            <w:tcW w:w="567"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proofErr w:type="spellStart"/>
            <w:r w:rsidRPr="00EC2897">
              <w:rPr>
                <w:rFonts w:eastAsiaTheme="minorEastAsia" w:cs="Calibri"/>
                <w:b/>
                <w:bCs/>
                <w:color w:val="000000"/>
                <w:szCs w:val="16"/>
                <w:lang w:eastAsia="en-AU"/>
              </w:rPr>
              <w:t>n.a</w:t>
            </w:r>
            <w:proofErr w:type="spellEnd"/>
            <w:r w:rsidRPr="00EC2897">
              <w:rPr>
                <w:rFonts w:eastAsiaTheme="minorEastAsia" w:cs="Calibri"/>
                <w:b/>
                <w:bCs/>
                <w:color w:val="000000"/>
                <w:szCs w:val="16"/>
                <w:lang w:eastAsia="en-AU"/>
              </w:rPr>
              <w:t>.</w:t>
            </w:r>
          </w:p>
        </w:tc>
        <w:tc>
          <w:tcPr>
            <w:tcW w:w="850"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145</w:t>
            </w:r>
          </w:p>
        </w:tc>
        <w:tc>
          <w:tcPr>
            <w:tcW w:w="567"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proofErr w:type="spellStart"/>
            <w:r w:rsidRPr="00EC2897">
              <w:rPr>
                <w:rFonts w:eastAsiaTheme="minorEastAsia" w:cs="Calibri"/>
                <w:b/>
                <w:bCs/>
                <w:color w:val="000000"/>
                <w:szCs w:val="16"/>
                <w:lang w:eastAsia="en-AU"/>
              </w:rPr>
              <w:t>n.a</w:t>
            </w:r>
            <w:proofErr w:type="spellEnd"/>
            <w:r w:rsidRPr="00EC2897">
              <w:rPr>
                <w:rFonts w:eastAsiaTheme="minorEastAsia" w:cs="Calibri"/>
                <w:b/>
                <w:bCs/>
                <w:color w:val="000000"/>
                <w:szCs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Net result</w:t>
            </w:r>
          </w:p>
        </w:tc>
        <w:tc>
          <w:tcPr>
            <w:tcW w:w="567"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 xml:space="preserve"> </w:t>
            </w:r>
          </w:p>
        </w:tc>
        <w:tc>
          <w:tcPr>
            <w:tcW w:w="850"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2 635</w:t>
            </w:r>
          </w:p>
        </w:tc>
        <w:tc>
          <w:tcPr>
            <w:tcW w:w="850"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1 049</w:t>
            </w:r>
          </w:p>
        </w:tc>
        <w:tc>
          <w:tcPr>
            <w:tcW w:w="709"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2 559</w:t>
            </w:r>
          </w:p>
        </w:tc>
        <w:tc>
          <w:tcPr>
            <w:tcW w:w="850"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(76)</w:t>
            </w:r>
          </w:p>
        </w:tc>
        <w:tc>
          <w:tcPr>
            <w:tcW w:w="567"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proofErr w:type="spellStart"/>
            <w:r w:rsidRPr="00EC2897">
              <w:rPr>
                <w:rFonts w:eastAsiaTheme="minorEastAsia" w:cs="Calibri"/>
                <w:b/>
                <w:bCs/>
                <w:color w:val="000000"/>
                <w:szCs w:val="16"/>
                <w:lang w:eastAsia="en-AU"/>
              </w:rPr>
              <w:t>n.a</w:t>
            </w:r>
            <w:proofErr w:type="spellEnd"/>
            <w:r w:rsidRPr="00EC2897">
              <w:rPr>
                <w:rFonts w:eastAsiaTheme="minorEastAsia" w:cs="Calibri"/>
                <w:b/>
                <w:bCs/>
                <w:color w:val="000000"/>
                <w:szCs w:val="16"/>
                <w:lang w:eastAsia="en-AU"/>
              </w:rPr>
              <w:t>.</w:t>
            </w:r>
          </w:p>
        </w:tc>
        <w:tc>
          <w:tcPr>
            <w:tcW w:w="850"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1 510</w:t>
            </w:r>
          </w:p>
        </w:tc>
        <w:tc>
          <w:tcPr>
            <w:tcW w:w="567"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proofErr w:type="spellStart"/>
            <w:r w:rsidRPr="00EC2897">
              <w:rPr>
                <w:rFonts w:eastAsiaTheme="minorEastAsia" w:cs="Calibri"/>
                <w:b/>
                <w:bCs/>
                <w:color w:val="000000"/>
                <w:szCs w:val="16"/>
                <w:lang w:eastAsia="en-AU"/>
              </w:rPr>
              <w:t>n.a</w:t>
            </w:r>
            <w:proofErr w:type="spellEnd"/>
            <w:r w:rsidRPr="00EC2897">
              <w:rPr>
                <w:rFonts w:eastAsiaTheme="minorEastAsia" w:cs="Calibri"/>
                <w:b/>
                <w:bCs/>
                <w:color w:val="000000"/>
                <w:szCs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 xml:space="preserve">Other economic flows – </w:t>
            </w:r>
            <w:r>
              <w:rPr>
                <w:rFonts w:eastAsiaTheme="minorEastAsia" w:cs="Calibri"/>
                <w:b/>
                <w:bCs/>
                <w:color w:val="000000"/>
                <w:szCs w:val="16"/>
                <w:lang w:eastAsia="en-AU"/>
              </w:rPr>
              <w:br/>
            </w:r>
            <w:r w:rsidRPr="00EC2897">
              <w:rPr>
                <w:rFonts w:eastAsiaTheme="minorEastAsia" w:cs="Calibri"/>
                <w:b/>
                <w:bCs/>
                <w:color w:val="000000"/>
                <w:szCs w:val="16"/>
                <w:lang w:eastAsia="en-AU"/>
              </w:rPr>
              <w:t>other comprehensive income</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Items that will not be reclassified to net result</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Changes in non-financial assets revaluation surplus</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109</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3 206</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6 090</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5 981</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proofErr w:type="spellStart"/>
            <w:r w:rsidRPr="00EC2897">
              <w:rPr>
                <w:rFonts w:eastAsiaTheme="minorEastAsia" w:cs="Calibri"/>
                <w:color w:val="000000"/>
                <w:szCs w:val="16"/>
                <w:lang w:eastAsia="en-AU"/>
              </w:rPr>
              <w:t>n.a</w:t>
            </w:r>
            <w:proofErr w:type="spellEnd"/>
            <w:r w:rsidRPr="00EC2897">
              <w:rPr>
                <w:rFonts w:eastAsiaTheme="minorEastAsia" w:cs="Calibri"/>
                <w:color w:val="000000"/>
                <w:szCs w:val="16"/>
                <w:lang w:eastAsia="en-AU"/>
              </w:rPr>
              <w:t>.</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2 883</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proofErr w:type="spellStart"/>
            <w:r w:rsidRPr="00EC2897">
              <w:rPr>
                <w:rFonts w:eastAsiaTheme="minorEastAsia" w:cs="Calibri"/>
                <w:color w:val="000000"/>
                <w:szCs w:val="16"/>
                <w:lang w:eastAsia="en-AU"/>
              </w:rPr>
              <w:t>n.a</w:t>
            </w:r>
            <w:proofErr w:type="spellEnd"/>
            <w:r w:rsidRPr="00EC2897">
              <w:rPr>
                <w:rFonts w:eastAsiaTheme="minorEastAsia" w:cs="Calibri"/>
                <w:color w:val="000000"/>
                <w:szCs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proofErr w:type="spellStart"/>
            <w:r w:rsidRPr="00EC2897">
              <w:rPr>
                <w:rFonts w:eastAsiaTheme="minorEastAsia" w:cs="Calibri"/>
                <w:color w:val="000000"/>
                <w:szCs w:val="16"/>
                <w:lang w:eastAsia="en-AU"/>
              </w:rPr>
              <w:t>Remeasurement</w:t>
            </w:r>
            <w:proofErr w:type="spellEnd"/>
            <w:r w:rsidRPr="00EC2897">
              <w:rPr>
                <w:rFonts w:eastAsiaTheme="minorEastAsia" w:cs="Calibri"/>
                <w:color w:val="000000"/>
                <w:szCs w:val="16"/>
                <w:lang w:eastAsia="en-AU"/>
              </w:rPr>
              <w:t xml:space="preserve"> of superannuation defined benefits plans</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877</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3 852</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4 367</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3 490</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proofErr w:type="spellStart"/>
            <w:r w:rsidRPr="00EC2897">
              <w:rPr>
                <w:rFonts w:eastAsiaTheme="minorEastAsia" w:cs="Calibri"/>
                <w:color w:val="000000"/>
                <w:szCs w:val="16"/>
                <w:lang w:eastAsia="en-AU"/>
              </w:rPr>
              <w:t>n.a</w:t>
            </w:r>
            <w:proofErr w:type="spellEnd"/>
            <w:r w:rsidRPr="00EC2897">
              <w:rPr>
                <w:rFonts w:eastAsiaTheme="minorEastAsia" w:cs="Calibri"/>
                <w:color w:val="000000"/>
                <w:szCs w:val="16"/>
                <w:lang w:eastAsia="en-AU"/>
              </w:rPr>
              <w:t>.</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514</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proofErr w:type="spellStart"/>
            <w:r w:rsidRPr="00EC2897">
              <w:rPr>
                <w:rFonts w:eastAsiaTheme="minorEastAsia" w:cs="Calibri"/>
                <w:color w:val="000000"/>
                <w:szCs w:val="16"/>
                <w:lang w:eastAsia="en-AU"/>
              </w:rPr>
              <w:t>n.a</w:t>
            </w:r>
            <w:proofErr w:type="spellEnd"/>
            <w:r w:rsidRPr="00EC2897">
              <w:rPr>
                <w:rFonts w:eastAsiaTheme="minorEastAsia" w:cs="Calibri"/>
                <w:color w:val="000000"/>
                <w:szCs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Other movements in equity</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171</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89</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90</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proofErr w:type="spellStart"/>
            <w:r w:rsidRPr="00EC2897">
              <w:rPr>
                <w:rFonts w:eastAsiaTheme="minorEastAsia" w:cs="Calibri"/>
                <w:color w:val="000000"/>
                <w:szCs w:val="16"/>
                <w:lang w:eastAsia="en-AU"/>
              </w:rPr>
              <w:t>n.a</w:t>
            </w:r>
            <w:proofErr w:type="spellEnd"/>
            <w:r w:rsidRPr="00EC2897">
              <w:rPr>
                <w:rFonts w:eastAsiaTheme="minorEastAsia" w:cs="Calibri"/>
                <w:color w:val="000000"/>
                <w:szCs w:val="16"/>
                <w:lang w:eastAsia="en-AU"/>
              </w:rPr>
              <w:t>.</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(81)</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proofErr w:type="spellStart"/>
            <w:r w:rsidRPr="00EC2897">
              <w:rPr>
                <w:rFonts w:eastAsiaTheme="minorEastAsia" w:cs="Calibri"/>
                <w:color w:val="000000"/>
                <w:szCs w:val="16"/>
                <w:lang w:eastAsia="en-AU"/>
              </w:rPr>
              <w:t>n.a</w:t>
            </w:r>
            <w:proofErr w:type="spellEnd"/>
            <w:r w:rsidRPr="00EC2897">
              <w:rPr>
                <w:rFonts w:eastAsiaTheme="minorEastAsia" w:cs="Calibri"/>
                <w:color w:val="000000"/>
                <w:szCs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 xml:space="preserve">Items that may be reclassified subsequently to </w:t>
            </w:r>
            <w:r>
              <w:rPr>
                <w:rFonts w:eastAsiaTheme="minorEastAsia" w:cs="Calibri"/>
                <w:b/>
                <w:bCs/>
                <w:color w:val="000000"/>
                <w:szCs w:val="16"/>
                <w:lang w:eastAsia="en-AU"/>
              </w:rPr>
              <w:br/>
            </w:r>
            <w:r w:rsidRPr="00EC2897">
              <w:rPr>
                <w:rFonts w:eastAsiaTheme="minorEastAsia" w:cs="Calibri"/>
                <w:b/>
                <w:bCs/>
                <w:color w:val="000000"/>
                <w:szCs w:val="16"/>
                <w:lang w:eastAsia="en-AU"/>
              </w:rPr>
              <w:t>net result</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Net gain/(loss) on financial assets at fair value</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51</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proofErr w:type="spellStart"/>
            <w:r w:rsidRPr="00EC2897">
              <w:rPr>
                <w:rFonts w:eastAsiaTheme="minorEastAsia" w:cs="Calibri"/>
                <w:color w:val="000000"/>
                <w:szCs w:val="16"/>
                <w:lang w:eastAsia="en-AU"/>
              </w:rPr>
              <w:t>n.a</w:t>
            </w:r>
            <w:proofErr w:type="spellEnd"/>
            <w:r w:rsidRPr="00EC2897">
              <w:rPr>
                <w:rFonts w:eastAsiaTheme="minorEastAsia" w:cs="Calibri"/>
                <w:color w:val="000000"/>
                <w:szCs w:val="16"/>
                <w:lang w:eastAsia="en-AU"/>
              </w:rPr>
              <w:t>.</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51</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proofErr w:type="spellStart"/>
            <w:r w:rsidRPr="00EC2897">
              <w:rPr>
                <w:rFonts w:eastAsiaTheme="minorEastAsia" w:cs="Calibri"/>
                <w:color w:val="000000"/>
                <w:szCs w:val="16"/>
                <w:lang w:eastAsia="en-AU"/>
              </w:rPr>
              <w:t>n.a</w:t>
            </w:r>
            <w:proofErr w:type="spellEnd"/>
            <w:r w:rsidRPr="00EC2897">
              <w:rPr>
                <w:rFonts w:eastAsiaTheme="minorEastAsia" w:cs="Calibri"/>
                <w:color w:val="000000"/>
                <w:szCs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Net gain/(loss) on equity investments in other sector entities at proportional share of the carrying amount of net assets</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2 707</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305</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3 122</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416</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proofErr w:type="spellStart"/>
            <w:r w:rsidRPr="00EC2897">
              <w:rPr>
                <w:rFonts w:eastAsiaTheme="minorEastAsia" w:cs="Calibri"/>
                <w:color w:val="000000"/>
                <w:szCs w:val="16"/>
                <w:lang w:eastAsia="en-AU"/>
              </w:rPr>
              <w:t>n.a</w:t>
            </w:r>
            <w:proofErr w:type="spellEnd"/>
            <w:r w:rsidRPr="00EC2897">
              <w:rPr>
                <w:rFonts w:eastAsiaTheme="minorEastAsia" w:cs="Calibri"/>
                <w:color w:val="000000"/>
                <w:szCs w:val="16"/>
                <w:lang w:eastAsia="en-AU"/>
              </w:rPr>
              <w:t>.</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2 817</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proofErr w:type="spellStart"/>
            <w:r w:rsidRPr="00EC2897">
              <w:rPr>
                <w:rFonts w:eastAsiaTheme="minorEastAsia" w:cs="Calibri"/>
                <w:color w:val="000000"/>
                <w:szCs w:val="16"/>
                <w:lang w:eastAsia="en-AU"/>
              </w:rPr>
              <w:t>n.a</w:t>
            </w:r>
            <w:proofErr w:type="spellEnd"/>
            <w:r w:rsidRPr="00EC2897">
              <w:rPr>
                <w:rFonts w:eastAsiaTheme="minorEastAsia" w:cs="Calibri"/>
                <w:color w:val="000000"/>
                <w:szCs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 xml:space="preserve">Total other economic flows – </w:t>
            </w:r>
            <w:r>
              <w:rPr>
                <w:rFonts w:eastAsiaTheme="minorEastAsia" w:cs="Calibri"/>
                <w:b/>
                <w:bCs/>
                <w:color w:val="000000"/>
                <w:szCs w:val="16"/>
                <w:lang w:eastAsia="en-AU"/>
              </w:rPr>
              <w:br/>
            </w:r>
            <w:r w:rsidRPr="00EC2897">
              <w:rPr>
                <w:rFonts w:eastAsiaTheme="minorEastAsia" w:cs="Calibri"/>
                <w:b/>
                <w:bCs/>
                <w:color w:val="000000"/>
                <w:szCs w:val="16"/>
                <w:lang w:eastAsia="en-AU"/>
              </w:rPr>
              <w:t>other comprehensive income</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3 693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7 535</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13 720</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10 027</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proofErr w:type="spellStart"/>
            <w:r w:rsidRPr="00EC2897">
              <w:rPr>
                <w:rFonts w:eastAsiaTheme="minorEastAsia" w:cs="Calibri"/>
                <w:b/>
                <w:bCs/>
                <w:color w:val="000000"/>
                <w:szCs w:val="16"/>
                <w:lang w:eastAsia="en-AU"/>
              </w:rPr>
              <w:t>n.a</w:t>
            </w:r>
            <w:proofErr w:type="spellEnd"/>
            <w:r w:rsidRPr="00EC2897">
              <w:rPr>
                <w:rFonts w:eastAsiaTheme="minorEastAsia" w:cs="Calibri"/>
                <w:b/>
                <w:bCs/>
                <w:color w:val="000000"/>
                <w:szCs w:val="16"/>
                <w:lang w:eastAsia="en-AU"/>
              </w:rPr>
              <w:t>.</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6 185</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proofErr w:type="spellStart"/>
            <w:r w:rsidRPr="00EC2897">
              <w:rPr>
                <w:rFonts w:eastAsiaTheme="minorEastAsia" w:cs="Calibri"/>
                <w:b/>
                <w:bCs/>
                <w:color w:val="000000"/>
                <w:szCs w:val="16"/>
                <w:lang w:eastAsia="en-AU"/>
              </w:rPr>
              <w:t>n.a</w:t>
            </w:r>
            <w:proofErr w:type="spellEnd"/>
            <w:r w:rsidRPr="00EC2897">
              <w:rPr>
                <w:rFonts w:eastAsiaTheme="minorEastAsia" w:cs="Calibri"/>
                <w:b/>
                <w:bCs/>
                <w:color w:val="000000"/>
                <w:szCs w:val="16"/>
                <w:lang w:eastAsia="en-AU"/>
              </w:rPr>
              <w:t>.</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rPr>
                <w:rFonts w:eastAsiaTheme="minorEastAsia" w:cs="Calibri"/>
                <w:bCs/>
                <w:color w:val="000000"/>
                <w:szCs w:val="16"/>
                <w:lang w:eastAsia="en-AU"/>
              </w:rPr>
            </w:pPr>
            <w:r w:rsidRPr="00EC2897">
              <w:rPr>
                <w:rFonts w:eastAsiaTheme="minorEastAsia" w:cs="Calibri"/>
                <w:bCs/>
                <w:color w:val="000000"/>
                <w:szCs w:val="16"/>
                <w:lang w:eastAsia="en-AU"/>
              </w:rPr>
              <w:t>Comprehensive result – total change in net worth</w:t>
            </w:r>
          </w:p>
        </w:tc>
        <w:tc>
          <w:tcPr>
            <w:tcW w:w="567"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eastAsiaTheme="minorEastAsia" w:cs="Calibri"/>
                <w:b w:val="0"/>
                <w:bCs/>
                <w:color w:val="000000"/>
                <w:lang w:eastAsia="en-AU"/>
              </w:rPr>
            </w:pPr>
            <w:r w:rsidRPr="00EC2897">
              <w:rPr>
                <w:rFonts w:eastAsiaTheme="minorEastAsia" w:cs="Calibri"/>
                <w:b w:val="0"/>
                <w:bCs/>
                <w:color w:val="000000"/>
                <w:lang w:eastAsia="en-AU"/>
              </w:rPr>
              <w:t xml:space="preserve"> </w:t>
            </w:r>
          </w:p>
        </w:tc>
        <w:tc>
          <w:tcPr>
            <w:tcW w:w="850"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EC2897">
              <w:rPr>
                <w:rFonts w:eastAsiaTheme="minorEastAsia" w:cs="Calibri"/>
                <w:bCs/>
                <w:color w:val="000000"/>
                <w:szCs w:val="16"/>
                <w:lang w:eastAsia="en-AU"/>
              </w:rPr>
              <w:t>6 328</w:t>
            </w:r>
          </w:p>
        </w:tc>
        <w:tc>
          <w:tcPr>
            <w:tcW w:w="850"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EC2897">
              <w:rPr>
                <w:rFonts w:eastAsiaTheme="minorEastAsia" w:cs="Calibri"/>
                <w:bCs/>
                <w:color w:val="000000"/>
                <w:szCs w:val="16"/>
                <w:lang w:eastAsia="en-AU"/>
              </w:rPr>
              <w:t>8 585</w:t>
            </w:r>
          </w:p>
        </w:tc>
        <w:tc>
          <w:tcPr>
            <w:tcW w:w="709"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EC2897">
              <w:rPr>
                <w:rFonts w:eastAsiaTheme="minorEastAsia" w:cs="Calibri"/>
                <w:bCs/>
                <w:color w:val="000000"/>
                <w:szCs w:val="16"/>
                <w:lang w:eastAsia="en-AU"/>
              </w:rPr>
              <w:t>16 279</w:t>
            </w:r>
          </w:p>
        </w:tc>
        <w:tc>
          <w:tcPr>
            <w:tcW w:w="850"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EC2897">
              <w:rPr>
                <w:rFonts w:eastAsiaTheme="minorEastAsia" w:cs="Calibri"/>
                <w:bCs/>
                <w:color w:val="000000"/>
                <w:szCs w:val="16"/>
                <w:lang w:eastAsia="en-AU"/>
              </w:rPr>
              <w:t>9 951</w:t>
            </w:r>
          </w:p>
        </w:tc>
        <w:tc>
          <w:tcPr>
            <w:tcW w:w="567"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proofErr w:type="spellStart"/>
            <w:r w:rsidRPr="00EC2897">
              <w:rPr>
                <w:rFonts w:eastAsiaTheme="minorEastAsia" w:cs="Calibri"/>
                <w:bCs/>
                <w:color w:val="000000"/>
                <w:szCs w:val="16"/>
                <w:lang w:eastAsia="en-AU"/>
              </w:rPr>
              <w:t>n.a</w:t>
            </w:r>
            <w:proofErr w:type="spellEnd"/>
            <w:r w:rsidRPr="00EC2897">
              <w:rPr>
                <w:rFonts w:eastAsiaTheme="minorEastAsia" w:cs="Calibri"/>
                <w:bCs/>
                <w:color w:val="000000"/>
                <w:szCs w:val="16"/>
                <w:lang w:eastAsia="en-AU"/>
              </w:rPr>
              <w:t>.</w:t>
            </w:r>
          </w:p>
        </w:tc>
        <w:tc>
          <w:tcPr>
            <w:tcW w:w="850"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EC2897">
              <w:rPr>
                <w:rFonts w:eastAsiaTheme="minorEastAsia" w:cs="Calibri"/>
                <w:bCs/>
                <w:color w:val="000000"/>
                <w:szCs w:val="16"/>
                <w:lang w:eastAsia="en-AU"/>
              </w:rPr>
              <w:t>7 694</w:t>
            </w:r>
          </w:p>
        </w:tc>
        <w:tc>
          <w:tcPr>
            <w:tcW w:w="567"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proofErr w:type="spellStart"/>
            <w:r w:rsidRPr="00EC2897">
              <w:rPr>
                <w:rFonts w:eastAsiaTheme="minorEastAsia" w:cs="Calibri"/>
                <w:bCs/>
                <w:color w:val="000000"/>
                <w:szCs w:val="16"/>
                <w:lang w:eastAsia="en-AU"/>
              </w:rPr>
              <w:t>n.a</w:t>
            </w:r>
            <w:proofErr w:type="spellEnd"/>
            <w:r w:rsidRPr="00EC2897">
              <w:rPr>
                <w:rFonts w:eastAsiaTheme="minorEastAsia" w:cs="Calibri"/>
                <w:bCs/>
                <w:color w:val="000000"/>
                <w:szCs w:val="16"/>
                <w:lang w:eastAsia="en-AU"/>
              </w:rPr>
              <w:t>.</w:t>
            </w:r>
          </w:p>
        </w:tc>
      </w:tr>
    </w:tbl>
    <w:p w:rsidR="00BB6F1F" w:rsidRDefault="00BB6F1F" w:rsidP="00AC68FF"/>
    <w:p w:rsidR="00BB6F1F" w:rsidRDefault="00BB6F1F">
      <w:pPr>
        <w:keepLines w:val="0"/>
        <w:rPr>
          <w:rFonts w:asciiTheme="majorHAnsi" w:eastAsiaTheme="majorEastAsia" w:hAnsiTheme="majorHAnsi" w:cstheme="majorBidi"/>
          <w:b/>
          <w:bCs/>
          <w:spacing w:val="-2"/>
          <w:sz w:val="23"/>
          <w:szCs w:val="26"/>
        </w:rPr>
      </w:pPr>
      <w:r>
        <w:br w:type="page"/>
      </w:r>
    </w:p>
    <w:p w:rsidR="00BB6F1F" w:rsidRDefault="00BB6F1F" w:rsidP="00AC68FF">
      <w:pPr>
        <w:pStyle w:val="Heading30"/>
        <w:sectPr w:rsidR="00BB6F1F" w:rsidSect="00AC68FF">
          <w:headerReference w:type="default" r:id="rId124"/>
          <w:type w:val="continuous"/>
          <w:pgSz w:w="11907" w:h="16839" w:code="9"/>
          <w:pgMar w:top="1134" w:right="1134" w:bottom="1134" w:left="1134" w:header="624" w:footer="567" w:gutter="0"/>
          <w:cols w:sep="1" w:space="567"/>
          <w:docGrid w:linePitch="360"/>
        </w:sectPr>
      </w:pPr>
    </w:p>
    <w:p w:rsidR="00BB6F1F" w:rsidRDefault="00BB6F1F" w:rsidP="00AC68FF">
      <w:pPr>
        <w:pStyle w:val="Heading30"/>
        <w:spacing w:before="0"/>
      </w:pPr>
      <w:r>
        <w:lastRenderedPageBreak/>
        <w:t>Revenue from transactions</w:t>
      </w:r>
    </w:p>
    <w:p w:rsidR="00BB6F1F" w:rsidRDefault="00BB6F1F" w:rsidP="00AC68FF">
      <w:r>
        <w:t>Revenue from transactions was $60.9 billion for the year to 30 June 2017. This was 0.9 per cent higher than estimated in the original budget. The movements in revenue items from the original budget are discussed below.</w:t>
      </w:r>
    </w:p>
    <w:p w:rsidR="00BB6F1F" w:rsidRDefault="00BB6F1F" w:rsidP="00AC68FF">
      <w:pPr>
        <w:pStyle w:val="ListAlpha"/>
      </w:pPr>
      <w:r>
        <w:t xml:space="preserve">Taxation revenue was $678 million higher than the original published estimate. This was largely driven by higher land transfer duty of </w:t>
      </w:r>
      <w:r>
        <w:br/>
        <w:t>$457 million and higher land tax of $276 million due to continued strength in the property market.</w:t>
      </w:r>
    </w:p>
    <w:p w:rsidR="00BB6F1F" w:rsidRPr="00247035" w:rsidRDefault="00BB6F1F" w:rsidP="00AC68FF">
      <w:pPr>
        <w:pStyle w:val="ListAlpha"/>
      </w:pPr>
      <w:r w:rsidRPr="00247035">
        <w:t xml:space="preserve">Dividends, </w:t>
      </w:r>
      <w:r>
        <w:t>income tax equivalent and rate e</w:t>
      </w:r>
      <w:r w:rsidRPr="00247035">
        <w:t xml:space="preserve">quivalent revenue was lower than </w:t>
      </w:r>
      <w:r>
        <w:t xml:space="preserve">the </w:t>
      </w:r>
      <w:r w:rsidRPr="00247035">
        <w:t xml:space="preserve">originally published </w:t>
      </w:r>
      <w:r>
        <w:t xml:space="preserve">budget </w:t>
      </w:r>
      <w:r w:rsidRPr="00247035">
        <w:t xml:space="preserve">by $401 million. This was largely due to lower dividends </w:t>
      </w:r>
      <w:r>
        <w:t xml:space="preserve">from Transport Accident Commission </w:t>
      </w:r>
      <w:r w:rsidRPr="00247035">
        <w:t xml:space="preserve">and </w:t>
      </w:r>
      <w:r>
        <w:t xml:space="preserve">lower </w:t>
      </w:r>
      <w:r w:rsidRPr="00247035">
        <w:t xml:space="preserve">income tax equivalent revenue </w:t>
      </w:r>
      <w:r>
        <w:t xml:space="preserve">from Victorian </w:t>
      </w:r>
      <w:proofErr w:type="spellStart"/>
      <w:r>
        <w:t>Workcover</w:t>
      </w:r>
      <w:proofErr w:type="spellEnd"/>
      <w:r>
        <w:t xml:space="preserve"> Authority (VWA).</w:t>
      </w:r>
    </w:p>
    <w:p w:rsidR="00BB6F1F" w:rsidRDefault="00BB6F1F" w:rsidP="00AC68FF">
      <w:pPr>
        <w:pStyle w:val="ListAlpha"/>
      </w:pPr>
      <w:r w:rsidRPr="00A00978">
        <w:t>Revenue from the sales of goods and services was hi</w:t>
      </w:r>
      <w:r>
        <w:t>gher by $95</w:t>
      </w:r>
      <w:r w:rsidRPr="00A00978">
        <w:t xml:space="preserve"> million.</w:t>
      </w:r>
      <w:r>
        <w:t xml:space="preserve"> This was due to higher than expected  land titles fees revenue reflecting the continued strength in the Victorian property market. This was partially offset by lower TAFEs revenue due to lower than expected enrolments.</w:t>
      </w:r>
    </w:p>
    <w:p w:rsidR="00BB6F1F" w:rsidRDefault="00BB6F1F" w:rsidP="00AC68FF">
      <w:pPr>
        <w:pStyle w:val="ListAlpha"/>
      </w:pPr>
      <w:r>
        <w:t>Grant revenue was $118 million higher than published due to a number of variations. Major variations are as follows:</w:t>
      </w:r>
    </w:p>
    <w:p w:rsidR="00BB6F1F" w:rsidRDefault="00BB6F1F" w:rsidP="00AC68FF">
      <w:pPr>
        <w:pStyle w:val="ListBullet2"/>
      </w:pPr>
      <w:r>
        <w:t xml:space="preserve">advance receipt of local government grants from the Commonwealth for on-passing. The Commonwealth provided $283 million of the expected grants for 2017-18 for operations and roads in 2016-17. </w:t>
      </w:r>
    </w:p>
    <w:p w:rsidR="00BB6F1F" w:rsidRDefault="00BB6F1F" w:rsidP="00AC68FF">
      <w:pPr>
        <w:pStyle w:val="ListBullet2"/>
      </w:pPr>
      <w:r>
        <w:t xml:space="preserve">higher revenue associated with the National Health Reform Agreement of $310 million. This was due to the Commonwealth matching additional state investment in hospital activity.  </w:t>
      </w:r>
    </w:p>
    <w:p w:rsidR="00BB6F1F" w:rsidRDefault="00BB6F1F" w:rsidP="00AC68FF">
      <w:pPr>
        <w:pStyle w:val="ListBullet2"/>
      </w:pPr>
      <w:r>
        <w:t>lower GST grants of $265 million due to weaker than expected national consumption growth.</w:t>
      </w:r>
    </w:p>
    <w:p w:rsidR="00BB6F1F" w:rsidRDefault="00BB6F1F" w:rsidP="00AC68FF">
      <w:pPr>
        <w:pStyle w:val="ListBullet2"/>
      </w:pPr>
      <w:r>
        <w:t xml:space="preserve">lower grants for the Goulburn-Murray Water Connections project than estimated by $224 million. This was due to changes in timing of the project cash flows. </w:t>
      </w:r>
    </w:p>
    <w:p w:rsidR="00BB6F1F" w:rsidRDefault="00BB6F1F" w:rsidP="00AC68FF">
      <w:pPr>
        <w:pStyle w:val="ListAlpha"/>
      </w:pPr>
      <w:r>
        <w:t>Other revenue was $76 million higher than originally budgeted</w:t>
      </w:r>
      <w:r w:rsidRPr="00853848">
        <w:t xml:space="preserve">. This was </w:t>
      </w:r>
      <w:r>
        <w:t xml:space="preserve">mainly </w:t>
      </w:r>
      <w:r w:rsidRPr="00853848">
        <w:t>due to higher than expected hospital revenue for research and salary recoveries</w:t>
      </w:r>
      <w:r>
        <w:t xml:space="preserve"> offset by lower assets received free of charge due to a lower than previously estimated value of the State’s receipt of Simonds Stadium from the City of Greater Geelong Council.</w:t>
      </w:r>
    </w:p>
    <w:p w:rsidR="00BB6F1F" w:rsidRDefault="00BB6F1F" w:rsidP="00AC68FF">
      <w:pPr>
        <w:pStyle w:val="Heading30"/>
        <w:spacing w:before="0"/>
      </w:pPr>
      <w:r>
        <w:br w:type="column"/>
      </w:r>
      <w:r>
        <w:lastRenderedPageBreak/>
        <w:t>Expenses from transactions</w:t>
      </w:r>
    </w:p>
    <w:p w:rsidR="00BB6F1F" w:rsidRDefault="00BB6F1F" w:rsidP="00AC68FF">
      <w:r>
        <w:t>Expenses from transactions were</w:t>
      </w:r>
      <w:r w:rsidRPr="009E1D07">
        <w:t xml:space="preserve"> $</w:t>
      </w:r>
      <w:r>
        <w:t>58.2</w:t>
      </w:r>
      <w:r w:rsidRPr="009E1D07">
        <w:t xml:space="preserve"> billion for the year</w:t>
      </w:r>
      <w:r>
        <w:t xml:space="preserve"> to 30</w:t>
      </w:r>
      <w:r w:rsidRPr="009E1D07">
        <w:t xml:space="preserve"> June</w:t>
      </w:r>
      <w:r>
        <w:t xml:space="preserve"> 2017. This was 1.2 per cent higher than estimated in the original budget. The movements in expense items from the original budget are discussed below.</w:t>
      </w:r>
    </w:p>
    <w:p w:rsidR="00BB6F1F" w:rsidRDefault="00BB6F1F" w:rsidP="00AC68FF">
      <w:pPr>
        <w:pStyle w:val="ListAlpha"/>
      </w:pPr>
      <w:r w:rsidRPr="003A5CB2">
        <w:t xml:space="preserve">Employee expenses were </w:t>
      </w:r>
      <w:r w:rsidRPr="006850CE">
        <w:t>$</w:t>
      </w:r>
      <w:r>
        <w:t>198</w:t>
      </w:r>
      <w:r w:rsidRPr="003A5CB2">
        <w:t xml:space="preserve"> </w:t>
      </w:r>
      <w:r>
        <w:t xml:space="preserve">million </w:t>
      </w:r>
      <w:r w:rsidRPr="003A5CB2">
        <w:t>higher than originally estimated.</w:t>
      </w:r>
      <w:r>
        <w:t xml:space="preserve"> This was mainly due to higher salary expenses in hospitals to meet higher than expected demand.</w:t>
      </w:r>
    </w:p>
    <w:p w:rsidR="00BB6F1F" w:rsidRDefault="00BB6F1F" w:rsidP="00AC68FF">
      <w:pPr>
        <w:pStyle w:val="ListAlpha"/>
      </w:pPr>
      <w:r>
        <w:t xml:space="preserve">Net superannuation interest expense was </w:t>
      </w:r>
      <w:r>
        <w:br/>
        <w:t>$100 million less than originally estimated. This was due to the impact of movements in bond yields.</w:t>
      </w:r>
    </w:p>
    <w:p w:rsidR="00BB6F1F" w:rsidRDefault="00BB6F1F" w:rsidP="00AC68FF">
      <w:pPr>
        <w:pStyle w:val="ListAlpha"/>
      </w:pPr>
      <w:r>
        <w:t>Other superannuation expenses were $93 million higher than originally estimated. This was largely due to the impact of movements in bond yields on the defined benefit service cost.</w:t>
      </w:r>
    </w:p>
    <w:p w:rsidR="00BB6F1F" w:rsidRDefault="00BB6F1F" w:rsidP="00AC68FF">
      <w:pPr>
        <w:pStyle w:val="ListAlpha"/>
      </w:pPr>
      <w:r>
        <w:t>Interest expense was lower than originally published by $405 million. This was primarily due to lower than expected borrowings.</w:t>
      </w:r>
    </w:p>
    <w:p w:rsidR="00BB6F1F" w:rsidRDefault="00BB6F1F" w:rsidP="00AC68FF">
      <w:pPr>
        <w:pStyle w:val="ListAlpha"/>
      </w:pPr>
      <w:r>
        <w:t>Grant expenses were $1.0 billion higher than the published budget. Major variations relate to the following:</w:t>
      </w:r>
    </w:p>
    <w:p w:rsidR="00BB6F1F" w:rsidRDefault="00BB6F1F" w:rsidP="00AC68FF">
      <w:pPr>
        <w:pStyle w:val="ListBullet2"/>
      </w:pPr>
      <w:r>
        <w:t>higher than expected Commonwealth grants for on-passing to local government of $283 million. The increase of Commonwealth grants for on-passing relates to the advance payment of 2017-18 grants in the 2016-17 year.</w:t>
      </w:r>
    </w:p>
    <w:p w:rsidR="00BB6F1F" w:rsidRPr="00D2376C" w:rsidRDefault="00BB6F1F" w:rsidP="00AC68FF">
      <w:pPr>
        <w:pStyle w:val="ListBullet2"/>
      </w:pPr>
      <w:r w:rsidRPr="00D2376C">
        <w:t>higher than expected grants to the Commonwealth of $3</w:t>
      </w:r>
      <w:r>
        <w:t xml:space="preserve">10 million. This was largely due to the transfer of responsibilities to the Commonwealth for Specialist Disability Services and associated changes to the financial arrangements of the NDIS rollout which were yet to be finalised </w:t>
      </w:r>
      <w:r w:rsidRPr="00D2376C">
        <w:t xml:space="preserve">at </w:t>
      </w:r>
      <w:r>
        <w:t xml:space="preserve">the time of the </w:t>
      </w:r>
      <w:r w:rsidRPr="00D2376C">
        <w:t>published budget</w:t>
      </w:r>
      <w:r>
        <w:t>.</w:t>
      </w:r>
    </w:p>
    <w:p w:rsidR="00BB6F1F" w:rsidRDefault="00BB6F1F" w:rsidP="00AC68FF">
      <w:pPr>
        <w:pStyle w:val="ListBullet2"/>
      </w:pPr>
      <w:r>
        <w:t>the recognition of assets provided free of charge related to the transfer of the Australian Synchrotron to the Commonwealth Government which was budgeted to occur in 2015-16.</w:t>
      </w:r>
    </w:p>
    <w:p w:rsidR="00BB6F1F" w:rsidRDefault="00BB6F1F" w:rsidP="00AC68FF">
      <w:pPr>
        <w:pStyle w:val="ListBullet2"/>
      </w:pPr>
      <w:r>
        <w:t>recognition of $332 million of a provision for transition assistance grants to taxi licence holders as part of the government’s taxi, hire car and ride share industry reforms. These reforms were announced after the original budget was published.</w:t>
      </w:r>
    </w:p>
    <w:p w:rsidR="00BB6F1F" w:rsidRDefault="00BB6F1F" w:rsidP="00AC68FF">
      <w:pPr>
        <w:pStyle w:val="ListAlpha"/>
      </w:pPr>
      <w:r>
        <w:t xml:space="preserve">Other operating expenses were $94 million less than originally estimated. This largely reflects differences in the timing of activity across the major departments. </w:t>
      </w:r>
    </w:p>
    <w:p w:rsidR="00BB6F1F" w:rsidRDefault="00BB6F1F" w:rsidP="00AC68FF"/>
    <w:p w:rsidR="00BB6F1F" w:rsidRDefault="00BB6F1F" w:rsidP="00AC68FF">
      <w:pPr>
        <w:pStyle w:val="Heading30"/>
        <w:spacing w:before="0"/>
      </w:pPr>
      <w:r>
        <w:lastRenderedPageBreak/>
        <w:t>Other economic flows included in net result</w:t>
      </w:r>
    </w:p>
    <w:p w:rsidR="00BB6F1F" w:rsidRDefault="00BB6F1F">
      <w:pPr>
        <w:keepLines w:val="0"/>
      </w:pPr>
      <w:r>
        <w:t xml:space="preserve">Total other economic flows included in the net result have increased by $84 million since estimates in the published budget. </w:t>
      </w:r>
      <w:r w:rsidRPr="00853848">
        <w:t>This increase is primarily due t</w:t>
      </w:r>
      <w:r>
        <w:t xml:space="preserve">o higher bond rates reducing the value of the long service leave liability for the public sector. </w:t>
      </w:r>
    </w:p>
    <w:p w:rsidR="00BB6F1F" w:rsidRDefault="00BB6F1F">
      <w:pPr>
        <w:keepLines w:val="0"/>
      </w:pPr>
    </w:p>
    <w:p w:rsidR="00BB6F1F" w:rsidRDefault="00BB6F1F">
      <w:pPr>
        <w:keepLines w:val="0"/>
        <w:sectPr w:rsidR="00BB6F1F" w:rsidSect="00AC68FF">
          <w:headerReference w:type="default" r:id="rId125"/>
          <w:type w:val="continuous"/>
          <w:pgSz w:w="11907" w:h="16839" w:code="9"/>
          <w:pgMar w:top="1134" w:right="1134" w:bottom="1134" w:left="1134" w:header="624" w:footer="567" w:gutter="0"/>
          <w:cols w:num="2" w:space="567"/>
          <w:docGrid w:linePitch="360"/>
        </w:sectPr>
      </w:pPr>
      <w:r>
        <w:br w:type="column"/>
      </w:r>
    </w:p>
    <w:p w:rsidR="00BB6F1F" w:rsidRPr="00EC2897" w:rsidRDefault="00BB6F1F" w:rsidP="006C0F1F">
      <w:pPr>
        <w:pStyle w:val="TableHeading"/>
        <w:spacing w:before="0"/>
        <w:rPr>
          <w:bCs/>
          <w:lang w:val="en-US"/>
        </w:rPr>
      </w:pPr>
      <w:r>
        <w:lastRenderedPageBreak/>
        <w:br w:type="page"/>
      </w:r>
      <w:r>
        <w:lastRenderedPageBreak/>
        <w:t>Consolidated balance sheet as at 30 June</w:t>
      </w:r>
      <w:r>
        <w:tab/>
        <w:t>($ million)</w:t>
      </w:r>
    </w:p>
    <w:tbl>
      <w:tblPr>
        <w:tblStyle w:val="DTFTable"/>
        <w:tblW w:w="9644" w:type="dxa"/>
        <w:tblInd w:w="45" w:type="dxa"/>
        <w:tblLayout w:type="fixed"/>
        <w:tblCellMar>
          <w:left w:w="45" w:type="dxa"/>
          <w:right w:w="45" w:type="dxa"/>
        </w:tblCellMar>
        <w:tblLook w:val="06A0" w:firstRow="1" w:lastRow="0" w:firstColumn="1" w:lastColumn="0" w:noHBand="1" w:noVBand="1"/>
      </w:tblPr>
      <w:tblGrid>
        <w:gridCol w:w="4286"/>
        <w:gridCol w:w="856"/>
        <w:gridCol w:w="782"/>
        <w:gridCol w:w="743"/>
        <w:gridCol w:w="896"/>
        <w:gridCol w:w="533"/>
        <w:gridCol w:w="981"/>
        <w:gridCol w:w="567"/>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iCs/>
                <w:color w:val="FFFFFF"/>
                <w:szCs w:val="16"/>
                <w:lang w:eastAsia="en-AU"/>
              </w:rPr>
            </w:pPr>
            <w:r w:rsidRPr="00EC2897">
              <w:rPr>
                <w:rFonts w:eastAsiaTheme="minorEastAsia" w:cs="Calibri"/>
                <w:iCs/>
                <w:color w:val="FFFFFF"/>
                <w:szCs w:val="16"/>
                <w:lang w:eastAsia="en-AU"/>
              </w:rPr>
              <w:t xml:space="preserve">General government sector </w:t>
            </w:r>
          </w:p>
        </w:tc>
        <w:tc>
          <w:tcPr>
            <w:tcW w:w="856"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Published budget</w:t>
            </w:r>
          </w:p>
        </w:tc>
        <w:tc>
          <w:tcPr>
            <w:tcW w:w="782"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Revised budget</w:t>
            </w:r>
          </w:p>
        </w:tc>
        <w:tc>
          <w:tcPr>
            <w:tcW w:w="743"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2017 actual</w:t>
            </w:r>
          </w:p>
        </w:tc>
        <w:tc>
          <w:tcPr>
            <w:tcW w:w="896"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Budget variance</w:t>
            </w:r>
          </w:p>
        </w:tc>
        <w:tc>
          <w:tcPr>
            <w:tcW w:w="533"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w:t>
            </w:r>
          </w:p>
        </w:tc>
        <w:tc>
          <w:tcPr>
            <w:tcW w:w="981"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Revised budget variance</w:t>
            </w:r>
          </w:p>
        </w:tc>
        <w:tc>
          <w:tcPr>
            <w:tcW w:w="567"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Assets</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Financial assets</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Cash and deposits</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4 766</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4 885</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5 530</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763</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16</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644</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Advances paid</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10 057</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12 392</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12 939</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2 883</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29</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547</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Receivables</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5 192</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5 606</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5 931</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739</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14</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325</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Investments, loans and placements</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3 642</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3 597</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3 673</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31</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76</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Investments accounted for using the equity method</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45</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46</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47</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Investments in other sector entities</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85 878</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90 708</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92 509</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6 631</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1 801</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Total financial assets</w:t>
            </w:r>
          </w:p>
        </w:tc>
        <w:tc>
          <w:tcPr>
            <w:tcW w:w="856"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109 580</w:t>
            </w:r>
          </w:p>
        </w:tc>
        <w:tc>
          <w:tcPr>
            <w:tcW w:w="782"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117 235</w:t>
            </w:r>
          </w:p>
        </w:tc>
        <w:tc>
          <w:tcPr>
            <w:tcW w:w="743"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120 630</w:t>
            </w:r>
          </w:p>
        </w:tc>
        <w:tc>
          <w:tcPr>
            <w:tcW w:w="896"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11 050</w:t>
            </w:r>
          </w:p>
        </w:tc>
        <w:tc>
          <w:tcPr>
            <w:tcW w:w="533"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10</w:t>
            </w:r>
          </w:p>
        </w:tc>
        <w:tc>
          <w:tcPr>
            <w:tcW w:w="981"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3 394</w:t>
            </w:r>
          </w:p>
        </w:tc>
        <w:tc>
          <w:tcPr>
            <w:tcW w:w="567"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Non-financial assets</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Inventories</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152</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191</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173</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22</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14</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(17)</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Non-financial assets held-for-sale</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160</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179</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405</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245</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153</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227</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127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Land, buildings, infrastructure, plant and equipment</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109 917</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118 593</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121 776</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11 859</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11</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3 183</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Other non-financial assets</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1 047</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1 275</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1 494</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447</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43</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219</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Total non-financial assets</w:t>
            </w:r>
          </w:p>
        </w:tc>
        <w:tc>
          <w:tcPr>
            <w:tcW w:w="856"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111 276</w:t>
            </w:r>
          </w:p>
        </w:tc>
        <w:tc>
          <w:tcPr>
            <w:tcW w:w="782"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120 237</w:t>
            </w:r>
          </w:p>
        </w:tc>
        <w:tc>
          <w:tcPr>
            <w:tcW w:w="743"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123 849</w:t>
            </w:r>
          </w:p>
        </w:tc>
        <w:tc>
          <w:tcPr>
            <w:tcW w:w="896"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12 573</w:t>
            </w:r>
          </w:p>
        </w:tc>
        <w:tc>
          <w:tcPr>
            <w:tcW w:w="533"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11</w:t>
            </w:r>
          </w:p>
        </w:tc>
        <w:tc>
          <w:tcPr>
            <w:tcW w:w="981"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3 612</w:t>
            </w:r>
          </w:p>
        </w:tc>
        <w:tc>
          <w:tcPr>
            <w:tcW w:w="567"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Total assets</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220 855</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237 472</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244 478</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23 623</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11</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7 006</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Liabilities</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Deposits held and advances received</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6 100</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8 528</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9 088</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2 988</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49</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560</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Payables</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5 157</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5 426</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5 815</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657</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13</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389</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Borrowings</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30 966</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30 471</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28 816</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(2 150)</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(1 655)</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Employee benefits</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6 257</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6 548</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6 506</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250</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(42)</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Superannuation</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27 049</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25 424</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24 900</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(2 149)</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(524)</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Other provisions</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914</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845</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1 326</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412</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45</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481</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Total liabilities</w:t>
            </w:r>
          </w:p>
        </w:tc>
        <w:tc>
          <w:tcPr>
            <w:tcW w:w="856"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76 443</w:t>
            </w:r>
          </w:p>
        </w:tc>
        <w:tc>
          <w:tcPr>
            <w:tcW w:w="782"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77 243</w:t>
            </w:r>
          </w:p>
        </w:tc>
        <w:tc>
          <w:tcPr>
            <w:tcW w:w="743"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76 451</w:t>
            </w:r>
          </w:p>
        </w:tc>
        <w:tc>
          <w:tcPr>
            <w:tcW w:w="896"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8</w:t>
            </w:r>
          </w:p>
        </w:tc>
        <w:tc>
          <w:tcPr>
            <w:tcW w:w="533"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w:t>
            </w:r>
          </w:p>
        </w:tc>
        <w:tc>
          <w:tcPr>
            <w:tcW w:w="981"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(792)</w:t>
            </w:r>
          </w:p>
        </w:tc>
        <w:tc>
          <w:tcPr>
            <w:tcW w:w="567"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Net assets</w:t>
            </w:r>
          </w:p>
        </w:tc>
        <w:tc>
          <w:tcPr>
            <w:tcW w:w="856"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144 412</w:t>
            </w:r>
          </w:p>
        </w:tc>
        <w:tc>
          <w:tcPr>
            <w:tcW w:w="782"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160 229</w:t>
            </w:r>
          </w:p>
        </w:tc>
        <w:tc>
          <w:tcPr>
            <w:tcW w:w="743"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168 027</w:t>
            </w:r>
          </w:p>
        </w:tc>
        <w:tc>
          <w:tcPr>
            <w:tcW w:w="896"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23 615</w:t>
            </w:r>
          </w:p>
        </w:tc>
        <w:tc>
          <w:tcPr>
            <w:tcW w:w="533"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16</w:t>
            </w:r>
          </w:p>
        </w:tc>
        <w:tc>
          <w:tcPr>
            <w:tcW w:w="981"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7 798</w:t>
            </w:r>
          </w:p>
        </w:tc>
        <w:tc>
          <w:tcPr>
            <w:tcW w:w="56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Accumulated surplus/(deficit)</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49 193</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49 597</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51 464</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2 272</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1 868</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Reserves</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95 220</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110 633</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116 563</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21 343</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22</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5 930</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Non-controlling interest</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w:t>
            </w:r>
            <w:r w:rsidRPr="00EC2897">
              <w:rPr>
                <w:rFonts w:eastAsiaTheme="minorEastAsia" w:cs="Calibri"/>
                <w:color w:val="000000"/>
                <w:szCs w:val="16"/>
                <w:lang w:eastAsia="en-AU"/>
              </w:rPr>
              <w:t xml:space="preserve"> </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w:t>
            </w:r>
            <w:r w:rsidRPr="00EC2897">
              <w:rPr>
                <w:rFonts w:eastAsiaTheme="minorEastAsia" w:cs="Calibri"/>
                <w:color w:val="000000"/>
                <w:szCs w:val="16"/>
                <w:lang w:eastAsia="en-AU"/>
              </w:rPr>
              <w:t xml:space="preserve"> </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w:t>
            </w:r>
            <w:r w:rsidRPr="00EC2897">
              <w:rPr>
                <w:rFonts w:eastAsiaTheme="minorEastAsia" w:cs="Calibri"/>
                <w:color w:val="000000"/>
                <w:szCs w:val="16"/>
                <w:lang w:eastAsia="en-AU"/>
              </w:rPr>
              <w:t xml:space="preserve"> </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w:t>
            </w:r>
            <w:r w:rsidRPr="00EC2897">
              <w:rPr>
                <w:rFonts w:eastAsiaTheme="minorEastAsia" w:cs="Calibri"/>
                <w:color w:val="000000"/>
                <w:szCs w:val="16"/>
                <w:lang w:eastAsia="en-AU"/>
              </w:rPr>
              <w:t xml:space="preserve"> </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w:t>
            </w:r>
            <w:r w:rsidRPr="00EC2897">
              <w:rPr>
                <w:rFonts w:eastAsiaTheme="minorEastAsia" w:cs="Calibri"/>
                <w:color w:val="000000"/>
                <w:szCs w:val="16"/>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EC2897">
              <w:rPr>
                <w:rFonts w:eastAsiaTheme="minorEastAsia" w:cs="Calibri"/>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Net worth</w:t>
            </w:r>
          </w:p>
        </w:tc>
        <w:tc>
          <w:tcPr>
            <w:tcW w:w="856"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144 412</w:t>
            </w:r>
          </w:p>
        </w:tc>
        <w:tc>
          <w:tcPr>
            <w:tcW w:w="782"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160 229</w:t>
            </w:r>
          </w:p>
        </w:tc>
        <w:tc>
          <w:tcPr>
            <w:tcW w:w="743"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168 027</w:t>
            </w:r>
          </w:p>
        </w:tc>
        <w:tc>
          <w:tcPr>
            <w:tcW w:w="896"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23 615</w:t>
            </w:r>
          </w:p>
        </w:tc>
        <w:tc>
          <w:tcPr>
            <w:tcW w:w="533"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16</w:t>
            </w:r>
          </w:p>
        </w:tc>
        <w:tc>
          <w:tcPr>
            <w:tcW w:w="981"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7 798</w:t>
            </w:r>
          </w:p>
        </w:tc>
        <w:tc>
          <w:tcPr>
            <w:tcW w:w="56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5</w:t>
            </w:r>
          </w:p>
        </w:tc>
      </w:tr>
      <w:tr w:rsidR="00BB6F1F" w:rsidRPr="00EC2897"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lang w:eastAsia="en-AU"/>
              </w:rPr>
            </w:pPr>
            <w:r w:rsidRPr="00EC2897">
              <w:rPr>
                <w:rFonts w:eastAsiaTheme="minorEastAsia" w:cs="Calibri"/>
                <w:color w:val="000000"/>
                <w:lang w:eastAsia="en-AU"/>
              </w:rPr>
              <w:t xml:space="preserve"> </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shd w:val="solid" w:color="FFFFFF" w:fill="FFFFFF"/>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FISCAL AGGREGATES</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shd w:val="solid" w:color="FFFFFF" w:fill="FFFFFF"/>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Net financial worth</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33 137</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39 993</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44 178</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11 042</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33</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4 186</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shd w:val="solid" w:color="FFFFFF" w:fill="FFFFFF"/>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Net financial liabilities</w:t>
            </w:r>
          </w:p>
        </w:tc>
        <w:tc>
          <w:tcPr>
            <w:tcW w:w="85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52 742</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50 716</w:t>
            </w:r>
          </w:p>
        </w:tc>
        <w:tc>
          <w:tcPr>
            <w:tcW w:w="7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48 331</w:t>
            </w:r>
          </w:p>
        </w:tc>
        <w:tc>
          <w:tcPr>
            <w:tcW w:w="89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(4 411)</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(2 385)</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single" w:sz="12" w:space="0" w:color="000000"/>
              <w:right w:val="nil"/>
            </w:tcBorders>
            <w:shd w:val="solid" w:color="FFFFFF" w:fill="FFFFFF"/>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Net debt</w:t>
            </w:r>
          </w:p>
        </w:tc>
        <w:tc>
          <w:tcPr>
            <w:tcW w:w="856" w:type="dxa"/>
            <w:tcBorders>
              <w:top w:val="nil"/>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18 601</w:t>
            </w:r>
          </w:p>
        </w:tc>
        <w:tc>
          <w:tcPr>
            <w:tcW w:w="782" w:type="dxa"/>
            <w:tcBorders>
              <w:top w:val="nil"/>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18 124</w:t>
            </w:r>
          </w:p>
        </w:tc>
        <w:tc>
          <w:tcPr>
            <w:tcW w:w="743" w:type="dxa"/>
            <w:tcBorders>
              <w:top w:val="nil"/>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15 762</w:t>
            </w:r>
          </w:p>
        </w:tc>
        <w:tc>
          <w:tcPr>
            <w:tcW w:w="896" w:type="dxa"/>
            <w:tcBorders>
              <w:top w:val="nil"/>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(2 839)</w:t>
            </w:r>
          </w:p>
        </w:tc>
        <w:tc>
          <w:tcPr>
            <w:tcW w:w="533" w:type="dxa"/>
            <w:tcBorders>
              <w:top w:val="nil"/>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(15)</w:t>
            </w:r>
          </w:p>
        </w:tc>
        <w:tc>
          <w:tcPr>
            <w:tcW w:w="981" w:type="dxa"/>
            <w:tcBorders>
              <w:top w:val="nil"/>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(2 362)</w:t>
            </w:r>
          </w:p>
        </w:tc>
        <w:tc>
          <w:tcPr>
            <w:tcW w:w="567" w:type="dxa"/>
            <w:tcBorders>
              <w:top w:val="nil"/>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(13)</w:t>
            </w:r>
          </w:p>
        </w:tc>
      </w:tr>
    </w:tbl>
    <w:p w:rsidR="00BB6F1F" w:rsidRDefault="00BB6F1F" w:rsidP="00AC68FF"/>
    <w:p w:rsidR="00BB6F1F" w:rsidRDefault="00BB6F1F" w:rsidP="00AC68FF">
      <w:pPr>
        <w:pStyle w:val="Heading10"/>
        <w:rPr>
          <w:sz w:val="23"/>
          <w:szCs w:val="26"/>
        </w:rPr>
      </w:pPr>
      <w:r>
        <w:br w:type="page"/>
      </w:r>
    </w:p>
    <w:p w:rsidR="00BB6F1F" w:rsidRDefault="00BB6F1F" w:rsidP="00AC68FF">
      <w:pPr>
        <w:pStyle w:val="Heading30"/>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AC68FF">
      <w:pPr>
        <w:pStyle w:val="Heading30"/>
        <w:spacing w:before="0"/>
      </w:pPr>
      <w:r>
        <w:lastRenderedPageBreak/>
        <w:t>Net financial worth</w:t>
      </w:r>
    </w:p>
    <w:p w:rsidR="00BB6F1F" w:rsidRDefault="00BB6F1F" w:rsidP="00AC68FF">
      <w:r>
        <w:t>Net financial worth is total financial assets minus total liabilities. Net financial worth is $11.0 billion higher than originally published. This was due to higher financial assets of $11.1 billion when compared to the published budget.</w:t>
      </w:r>
    </w:p>
    <w:p w:rsidR="00BB6F1F" w:rsidRDefault="00BB6F1F" w:rsidP="00AC68FF">
      <w:r>
        <w:t>The increase in financial assets relates to higher investment in the public non-financial corporation (PNFC) sector. This was primarily driven by higher than expected proceeds from the medium-term lease over the operations of the Port of Melbourne. This also resulted in a revaluation of Port of Melbourne Corporation’s non-financial assets to reflect the lease transaction price.</w:t>
      </w:r>
    </w:p>
    <w:p w:rsidR="00BB6F1F" w:rsidRDefault="00BB6F1F" w:rsidP="00AC68FF">
      <w:r>
        <w:t>Net financial worth also increased due to a reduction in the superannuation liability. This is largely attributable to an increase in the bond yields that underlie the superannuation valuation, as well as higher than expected investment returns on superannuation assets.</w:t>
      </w:r>
    </w:p>
    <w:p w:rsidR="00BB6F1F" w:rsidRDefault="00BB6F1F" w:rsidP="00AC68FF">
      <w:pPr>
        <w:pStyle w:val="Heading30"/>
        <w:spacing w:before="0"/>
      </w:pPr>
      <w:r>
        <w:br w:type="column"/>
      </w:r>
      <w:r>
        <w:lastRenderedPageBreak/>
        <w:t>Net financial liabilities</w:t>
      </w:r>
    </w:p>
    <w:p w:rsidR="00BB6F1F" w:rsidRDefault="00BB6F1F" w:rsidP="00AC68FF">
      <w:r>
        <w:t>Net financial liabilities are total liabilities less all financial assets (excluding investments in other sectors). Net financial liabilities were $4.4 billion lower than original budget. A key driver is the higher investments in term deposits due to the additional proceeds from entering into a medium-term lease over the operations of the Port of Melbourne. Another key driver was due to a reduction in the superannuation liability due to higher bond yields and favourable investment returns.</w:t>
      </w:r>
    </w:p>
    <w:p w:rsidR="00BB6F1F" w:rsidRDefault="00BB6F1F" w:rsidP="00AC68FF">
      <w:pPr>
        <w:pStyle w:val="Heading30"/>
      </w:pPr>
      <w:r>
        <w:t>Net debt</w:t>
      </w:r>
    </w:p>
    <w:p w:rsidR="00BB6F1F" w:rsidRDefault="00BB6F1F" w:rsidP="00AC68FF">
      <w:pPr>
        <w:sectPr w:rsidR="00BB6F1F" w:rsidSect="00AC68FF">
          <w:type w:val="continuous"/>
          <w:pgSz w:w="11907" w:h="16839" w:code="9"/>
          <w:pgMar w:top="1134" w:right="1134" w:bottom="1134" w:left="1134" w:header="624" w:footer="567" w:gutter="0"/>
          <w:cols w:num="2" w:space="567"/>
          <w:docGrid w:linePitch="360"/>
        </w:sectPr>
      </w:pPr>
      <w:r>
        <w:t>Net debt equals the sum of deposits held, advances received, government securities, loans and other borrowings less the sum of cash and deposits, advances paid and investments, loans and placements. Net debt is $2.8 billion lower when compared to the original budget. This is primarily due to higher investments in term deposits due to the additional proceeds from entering into a medium-term lease over the operations of the Port of Melbourne.</w:t>
      </w:r>
    </w:p>
    <w:p w:rsidR="00BB6F1F" w:rsidRDefault="00BB6F1F">
      <w:pPr>
        <w:keepLines w:val="0"/>
        <w:rPr>
          <w:rFonts w:asciiTheme="majorHAnsi" w:hAnsiTheme="majorHAnsi"/>
          <w:b/>
          <w:sz w:val="20"/>
          <w:szCs w:val="20"/>
        </w:rPr>
      </w:pPr>
      <w:r>
        <w:lastRenderedPageBreak/>
        <w:br w:type="page"/>
      </w:r>
    </w:p>
    <w:p w:rsidR="00BB6F1F" w:rsidRPr="00EC2897" w:rsidRDefault="00BB6F1F" w:rsidP="00AC68FF">
      <w:pPr>
        <w:pStyle w:val="TableHeading"/>
        <w:rPr>
          <w:bCs/>
          <w:lang w:val="en-US"/>
        </w:rPr>
      </w:pPr>
      <w:r>
        <w:lastRenderedPageBreak/>
        <w:t>Consolidated cash flow statement for the year ended 30 June</w:t>
      </w:r>
      <w:r>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4269"/>
        <w:gridCol w:w="867"/>
        <w:gridCol w:w="782"/>
        <w:gridCol w:w="726"/>
        <w:gridCol w:w="913"/>
        <w:gridCol w:w="533"/>
        <w:gridCol w:w="981"/>
        <w:gridCol w:w="567"/>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iCs/>
                <w:color w:val="FFFFFF"/>
                <w:szCs w:val="16"/>
                <w:lang w:eastAsia="en-AU"/>
              </w:rPr>
            </w:pPr>
            <w:r w:rsidRPr="00EC2897">
              <w:rPr>
                <w:rFonts w:eastAsiaTheme="minorEastAsia" w:cs="Calibri"/>
                <w:iCs/>
                <w:color w:val="FFFFFF"/>
                <w:szCs w:val="16"/>
                <w:lang w:eastAsia="en-AU"/>
              </w:rPr>
              <w:t xml:space="preserve">General government sector </w:t>
            </w:r>
          </w:p>
        </w:tc>
        <w:tc>
          <w:tcPr>
            <w:tcW w:w="867"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Published budget</w:t>
            </w:r>
          </w:p>
        </w:tc>
        <w:tc>
          <w:tcPr>
            <w:tcW w:w="782"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Revised budget</w:t>
            </w:r>
          </w:p>
        </w:tc>
        <w:tc>
          <w:tcPr>
            <w:tcW w:w="726"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2017 actual</w:t>
            </w:r>
          </w:p>
        </w:tc>
        <w:tc>
          <w:tcPr>
            <w:tcW w:w="913"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Budget variance</w:t>
            </w:r>
          </w:p>
        </w:tc>
        <w:tc>
          <w:tcPr>
            <w:tcW w:w="533"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w:t>
            </w:r>
          </w:p>
        </w:tc>
        <w:tc>
          <w:tcPr>
            <w:tcW w:w="981"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Revised budget variance</w:t>
            </w:r>
          </w:p>
        </w:tc>
        <w:tc>
          <w:tcPr>
            <w:tcW w:w="567"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Cash flows from operating activities</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Receipts</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Taxes received</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21 483</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22 083</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21 786</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303</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(297)</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Grants</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27 424</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27 526</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27 542</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118</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16</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Sales of goods and services</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7 602</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7 613</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7 737</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135</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124</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Interest received</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881</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889</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862</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(27)</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Dividends and income tax equivalent and rate equivalent receipts</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1 079</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584</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743</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(336)</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(31)</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159</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Other receipts</w:t>
            </w:r>
          </w:p>
        </w:tc>
        <w:tc>
          <w:tcPr>
            <w:tcW w:w="867"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1 877</w:t>
            </w:r>
          </w:p>
        </w:tc>
        <w:tc>
          <w:tcPr>
            <w:tcW w:w="782"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2 021</w:t>
            </w:r>
          </w:p>
        </w:tc>
        <w:tc>
          <w:tcPr>
            <w:tcW w:w="726"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1 735</w:t>
            </w:r>
          </w:p>
        </w:tc>
        <w:tc>
          <w:tcPr>
            <w:tcW w:w="913"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(142)</w:t>
            </w:r>
          </w:p>
        </w:tc>
        <w:tc>
          <w:tcPr>
            <w:tcW w:w="533"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w:t>
            </w:r>
          </w:p>
        </w:tc>
        <w:tc>
          <w:tcPr>
            <w:tcW w:w="981"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(285)</w:t>
            </w:r>
          </w:p>
        </w:tc>
        <w:tc>
          <w:tcPr>
            <w:tcW w:w="567"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Total receipts</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60 345</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60 716</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60 405</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60</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(311)</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Payments</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Payments for employees</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(20 902)</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(21 652)</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(20 965)</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(63)</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686</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Superannuation</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(2 991)</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(3 049)</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(3 047)</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(56)</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Interest paid</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(2 396)</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(1 975)</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(1 998)</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398</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(17)</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(23)</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Grants and subsidies</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(9 501)</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(10 465)</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(10 203)</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(702)</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262</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Goods and services</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(18 729)</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(19 203)</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(18 048)</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681</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1 155</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Other payments</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(624)</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(729)</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(620)</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109</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Total payments</w:t>
            </w:r>
          </w:p>
        </w:tc>
        <w:tc>
          <w:tcPr>
            <w:tcW w:w="867"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(55 143)</w:t>
            </w:r>
          </w:p>
        </w:tc>
        <w:tc>
          <w:tcPr>
            <w:tcW w:w="782"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(57 072)</w:t>
            </w:r>
          </w:p>
        </w:tc>
        <w:tc>
          <w:tcPr>
            <w:tcW w:w="726"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(54 880)</w:t>
            </w:r>
          </w:p>
        </w:tc>
        <w:tc>
          <w:tcPr>
            <w:tcW w:w="913"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263</w:t>
            </w:r>
          </w:p>
        </w:tc>
        <w:tc>
          <w:tcPr>
            <w:tcW w:w="533"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w:t>
            </w:r>
          </w:p>
        </w:tc>
        <w:tc>
          <w:tcPr>
            <w:tcW w:w="981"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2 191</w:t>
            </w:r>
          </w:p>
        </w:tc>
        <w:tc>
          <w:tcPr>
            <w:tcW w:w="567"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Net cash flows from operating activities</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5 202</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3 644</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5 524</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323</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6</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1 880</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52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Cash flows from investing activities</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Purchases of non-financial assets</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(7 206)</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(7 834)</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(7 278)</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(72)</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556</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Sales of non-financial assets</w:t>
            </w:r>
          </w:p>
        </w:tc>
        <w:tc>
          <w:tcPr>
            <w:tcW w:w="867"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487</w:t>
            </w:r>
          </w:p>
        </w:tc>
        <w:tc>
          <w:tcPr>
            <w:tcW w:w="782"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392</w:t>
            </w:r>
          </w:p>
        </w:tc>
        <w:tc>
          <w:tcPr>
            <w:tcW w:w="726"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287</w:t>
            </w:r>
          </w:p>
        </w:tc>
        <w:tc>
          <w:tcPr>
            <w:tcW w:w="913"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(200)</w:t>
            </w:r>
          </w:p>
        </w:tc>
        <w:tc>
          <w:tcPr>
            <w:tcW w:w="533"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(41)</w:t>
            </w:r>
          </w:p>
        </w:tc>
        <w:tc>
          <w:tcPr>
            <w:tcW w:w="981"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(105)</w:t>
            </w:r>
          </w:p>
        </w:tc>
        <w:tc>
          <w:tcPr>
            <w:tcW w:w="567"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Net Cash flows from investments in non-financial assets</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(6 720)</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(7 442)</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(6 991)</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(272)</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451</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Net cash flows from investments in financial assets for policy purposes</w:t>
            </w:r>
          </w:p>
        </w:tc>
        <w:tc>
          <w:tcPr>
            <w:tcW w:w="867"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391</w:t>
            </w:r>
          </w:p>
        </w:tc>
        <w:tc>
          <w:tcPr>
            <w:tcW w:w="782"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680</w:t>
            </w:r>
          </w:p>
        </w:tc>
        <w:tc>
          <w:tcPr>
            <w:tcW w:w="726"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134</w:t>
            </w:r>
          </w:p>
        </w:tc>
        <w:tc>
          <w:tcPr>
            <w:tcW w:w="913"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(257)</w:t>
            </w:r>
          </w:p>
        </w:tc>
        <w:tc>
          <w:tcPr>
            <w:tcW w:w="533"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(66)</w:t>
            </w:r>
          </w:p>
        </w:tc>
        <w:tc>
          <w:tcPr>
            <w:tcW w:w="981"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(546)</w:t>
            </w:r>
          </w:p>
        </w:tc>
        <w:tc>
          <w:tcPr>
            <w:tcW w:w="567"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Sub-total</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(6 328)</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(6 763)</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(6 857)</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(529)</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8</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(95)</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Net cash flows from investments in financial assets for liquidity management purposes</w:t>
            </w:r>
          </w:p>
        </w:tc>
        <w:tc>
          <w:tcPr>
            <w:tcW w:w="867"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(84)</w:t>
            </w:r>
          </w:p>
        </w:tc>
        <w:tc>
          <w:tcPr>
            <w:tcW w:w="782"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(728)</w:t>
            </w:r>
          </w:p>
        </w:tc>
        <w:tc>
          <w:tcPr>
            <w:tcW w:w="726"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(751)</w:t>
            </w:r>
          </w:p>
        </w:tc>
        <w:tc>
          <w:tcPr>
            <w:tcW w:w="913"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(667)</w:t>
            </w:r>
          </w:p>
        </w:tc>
        <w:tc>
          <w:tcPr>
            <w:tcW w:w="533"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789</w:t>
            </w:r>
          </w:p>
        </w:tc>
        <w:tc>
          <w:tcPr>
            <w:tcW w:w="981"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(23)</w:t>
            </w:r>
          </w:p>
        </w:tc>
        <w:tc>
          <w:tcPr>
            <w:tcW w:w="567"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Net cash flows from investing activities</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(6 413)</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(7 490)</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(7 608)</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(1 195)</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19</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(118)</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Cash flows from financing activities</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Net borrowings</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(3 943)</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(3 862)</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(5 541)</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(1 598)</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41</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(1 678)</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Deposits received (net)</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(38)</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proofErr w:type="spellStart"/>
            <w:r w:rsidRPr="00EC2897">
              <w:rPr>
                <w:rFonts w:eastAsiaTheme="minorEastAsia" w:cs="Calibri"/>
                <w:color w:val="000000"/>
                <w:szCs w:val="16"/>
                <w:lang w:eastAsia="en-AU"/>
              </w:rPr>
              <w:t>n.a</w:t>
            </w:r>
            <w:proofErr w:type="spellEnd"/>
            <w:r w:rsidRPr="00EC2897">
              <w:rPr>
                <w:rFonts w:eastAsiaTheme="minorEastAsia" w:cs="Calibri"/>
                <w:color w:val="000000"/>
                <w:szCs w:val="16"/>
                <w:lang w:eastAsia="en-AU"/>
              </w:rPr>
              <w:t>.</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42</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(110)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Advances received (net)</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5 583</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7 860</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8 378</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2 796</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50</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518</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Net cash flows from financing activities</w:t>
            </w:r>
          </w:p>
        </w:tc>
        <w:tc>
          <w:tcPr>
            <w:tcW w:w="867"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1 640</w:t>
            </w:r>
          </w:p>
        </w:tc>
        <w:tc>
          <w:tcPr>
            <w:tcW w:w="782"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3 959</w:t>
            </w:r>
          </w:p>
        </w:tc>
        <w:tc>
          <w:tcPr>
            <w:tcW w:w="726"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2 841</w:t>
            </w:r>
          </w:p>
        </w:tc>
        <w:tc>
          <w:tcPr>
            <w:tcW w:w="913"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1 202</w:t>
            </w:r>
          </w:p>
        </w:tc>
        <w:tc>
          <w:tcPr>
            <w:tcW w:w="533"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73</w:t>
            </w:r>
          </w:p>
        </w:tc>
        <w:tc>
          <w:tcPr>
            <w:tcW w:w="981"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(1 118)</w:t>
            </w:r>
          </w:p>
        </w:tc>
        <w:tc>
          <w:tcPr>
            <w:tcW w:w="567"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(28)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Net increase/(decrease) in cash and cash equivalents</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429</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113</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758</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329</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77</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644</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569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Cash and cash equivalents at beginning of reporting period</w:t>
            </w:r>
          </w:p>
        </w:tc>
        <w:tc>
          <w:tcPr>
            <w:tcW w:w="8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4 338</w:t>
            </w:r>
          </w:p>
        </w:tc>
        <w:tc>
          <w:tcPr>
            <w:tcW w:w="78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4 772</w:t>
            </w:r>
          </w:p>
        </w:tc>
        <w:tc>
          <w:tcPr>
            <w:tcW w:w="72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4 772</w:t>
            </w:r>
          </w:p>
        </w:tc>
        <w:tc>
          <w:tcPr>
            <w:tcW w:w="91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434</w:t>
            </w:r>
          </w:p>
        </w:tc>
        <w:tc>
          <w:tcPr>
            <w:tcW w:w="53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10</w:t>
            </w:r>
          </w:p>
        </w:tc>
        <w:tc>
          <w:tcPr>
            <w:tcW w:w="98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w:t>
            </w:r>
          </w:p>
        </w:tc>
        <w:tc>
          <w:tcPr>
            <w:tcW w:w="56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9"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rPr>
                <w:rFonts w:eastAsiaTheme="minorEastAsia" w:cs="Calibri"/>
                <w:bCs/>
                <w:color w:val="000000"/>
                <w:szCs w:val="16"/>
                <w:lang w:eastAsia="en-AU"/>
              </w:rPr>
            </w:pPr>
            <w:r w:rsidRPr="00EC2897">
              <w:rPr>
                <w:rFonts w:eastAsiaTheme="minorEastAsia" w:cs="Calibri"/>
                <w:bCs/>
                <w:color w:val="000000"/>
                <w:szCs w:val="16"/>
                <w:lang w:eastAsia="en-AU"/>
              </w:rPr>
              <w:t>Cash and cash equivalents at end of reporting period</w:t>
            </w:r>
          </w:p>
        </w:tc>
        <w:tc>
          <w:tcPr>
            <w:tcW w:w="867"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EC2897">
              <w:rPr>
                <w:rFonts w:eastAsiaTheme="minorEastAsia" w:cs="Calibri"/>
                <w:bCs/>
                <w:color w:val="000000"/>
                <w:szCs w:val="16"/>
                <w:lang w:eastAsia="en-AU"/>
              </w:rPr>
              <w:t>4 766</w:t>
            </w:r>
          </w:p>
        </w:tc>
        <w:tc>
          <w:tcPr>
            <w:tcW w:w="782"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EC2897">
              <w:rPr>
                <w:rFonts w:eastAsiaTheme="minorEastAsia" w:cs="Calibri"/>
                <w:bCs/>
                <w:color w:val="000000"/>
                <w:szCs w:val="16"/>
                <w:lang w:eastAsia="en-AU"/>
              </w:rPr>
              <w:t>4 885</w:t>
            </w:r>
          </w:p>
        </w:tc>
        <w:tc>
          <w:tcPr>
            <w:tcW w:w="726"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EC2897">
              <w:rPr>
                <w:rFonts w:eastAsiaTheme="minorEastAsia" w:cs="Calibri"/>
                <w:bCs/>
                <w:color w:val="000000"/>
                <w:szCs w:val="16"/>
                <w:lang w:eastAsia="en-AU"/>
              </w:rPr>
              <w:t>5 530</w:t>
            </w:r>
          </w:p>
        </w:tc>
        <w:tc>
          <w:tcPr>
            <w:tcW w:w="913"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763</w:t>
            </w:r>
          </w:p>
        </w:tc>
        <w:tc>
          <w:tcPr>
            <w:tcW w:w="533"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16</w:t>
            </w:r>
          </w:p>
        </w:tc>
        <w:tc>
          <w:tcPr>
            <w:tcW w:w="981"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644</w:t>
            </w:r>
          </w:p>
        </w:tc>
        <w:tc>
          <w:tcPr>
            <w:tcW w:w="567"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13</w:t>
            </w:r>
          </w:p>
        </w:tc>
      </w:tr>
    </w:tbl>
    <w:p w:rsidR="00BB6F1F" w:rsidRDefault="00BB6F1F" w:rsidP="00AC68FF"/>
    <w:p w:rsidR="00BB6F1F" w:rsidRDefault="00BB6F1F" w:rsidP="00AC68FF">
      <w:pPr>
        <w:pStyle w:val="Heading10"/>
        <w:rPr>
          <w:sz w:val="23"/>
          <w:szCs w:val="26"/>
        </w:rPr>
      </w:pPr>
      <w:r>
        <w:br w:type="page"/>
      </w:r>
    </w:p>
    <w:p w:rsidR="00BB6F1F" w:rsidRDefault="00BB6F1F" w:rsidP="00AC68FF">
      <w:pPr>
        <w:pStyle w:val="Heading30"/>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AC68FF">
      <w:pPr>
        <w:pStyle w:val="Heading30"/>
        <w:spacing w:before="0"/>
      </w:pPr>
      <w:r>
        <w:lastRenderedPageBreak/>
        <w:t>Net cash flows from operating activities</w:t>
      </w:r>
    </w:p>
    <w:p w:rsidR="00BB6F1F" w:rsidRDefault="00BB6F1F" w:rsidP="00AC68FF">
      <w:r w:rsidRPr="009C2292">
        <w:t>The major variations between the actual outcomes</w:t>
      </w:r>
      <w:r>
        <w:t xml:space="preserve"> </w:t>
      </w:r>
      <w:r w:rsidRPr="009C2292">
        <w:t>and the original published budget for net cash flows</w:t>
      </w:r>
      <w:r>
        <w:t xml:space="preserve"> </w:t>
      </w:r>
      <w:r w:rsidRPr="009C2292">
        <w:t>from operations are largely consistent with the</w:t>
      </w:r>
      <w:r>
        <w:t xml:space="preserve"> </w:t>
      </w:r>
      <w:r w:rsidRPr="009C2292">
        <w:t>drivers of the movements in the operating</w:t>
      </w:r>
      <w:r>
        <w:t xml:space="preserve"> </w:t>
      </w:r>
      <w:r w:rsidRPr="009C2292">
        <w:t>statement. A reconciliation of the net result to net</w:t>
      </w:r>
      <w:r>
        <w:t xml:space="preserve"> </w:t>
      </w:r>
      <w:r w:rsidRPr="009C2292">
        <w:t>cash flows from oper</w:t>
      </w:r>
      <w:r>
        <w:t>ating activities is provided at Note 5.3</w:t>
      </w:r>
      <w:r w:rsidRPr="009C2292">
        <w:t>.</w:t>
      </w:r>
      <w:r>
        <w:t xml:space="preserve"> </w:t>
      </w:r>
    </w:p>
    <w:p w:rsidR="00BB6F1F" w:rsidRDefault="00BB6F1F" w:rsidP="00AC68FF">
      <w:pPr>
        <w:pStyle w:val="Heading30"/>
      </w:pPr>
      <w:r>
        <w:t>Net cash flows from investing activities</w:t>
      </w:r>
    </w:p>
    <w:p w:rsidR="00BB6F1F" w:rsidRPr="00AE6C30" w:rsidRDefault="00BB6F1F" w:rsidP="00AC68FF">
      <w:r w:rsidRPr="00AE6C30">
        <w:t>Total net investment activities in fixed assets and</w:t>
      </w:r>
      <w:r>
        <w:t xml:space="preserve"> </w:t>
      </w:r>
      <w:r w:rsidRPr="00AE6C30">
        <w:t>investments in other</w:t>
      </w:r>
      <w:r>
        <w:t xml:space="preserve"> sectors was $2.5 billion higher </w:t>
      </w:r>
      <w:r w:rsidRPr="00AE6C30">
        <w:t xml:space="preserve">than the original budget. </w:t>
      </w:r>
      <w:r>
        <w:t>This increase is primarily driven by the investment of the additional proceeds from the medium-term lease over the operations of the Port of Melbourne in term deposits with Treasury Corporation Victoria.</w:t>
      </w:r>
    </w:p>
    <w:p w:rsidR="00BB6F1F" w:rsidRDefault="00BB6F1F" w:rsidP="00AC68FF">
      <w:pPr>
        <w:pStyle w:val="Heading30"/>
        <w:spacing w:before="0"/>
      </w:pPr>
      <w:r>
        <w:br w:type="column"/>
      </w:r>
      <w:r>
        <w:lastRenderedPageBreak/>
        <w:t>Net cash flows from financing activities</w:t>
      </w:r>
    </w:p>
    <w:p w:rsidR="00BB6F1F" w:rsidRPr="00323C90" w:rsidRDefault="00BB6F1F" w:rsidP="00AC68FF">
      <w:r w:rsidRPr="00323C90">
        <w:t xml:space="preserve">Total net cash </w:t>
      </w:r>
      <w:r>
        <w:t>in</w:t>
      </w:r>
      <w:r w:rsidRPr="00323C90">
        <w:t>flows from financing activities</w:t>
      </w:r>
      <w:r>
        <w:t xml:space="preserve"> were $1.2 </w:t>
      </w:r>
      <w:r w:rsidRPr="00323C90">
        <w:t xml:space="preserve">billion </w:t>
      </w:r>
      <w:r>
        <w:t>higher</w:t>
      </w:r>
      <w:r w:rsidRPr="00323C90">
        <w:t xml:space="preserve"> than the original budget.</w:t>
      </w:r>
      <w:r>
        <w:t xml:space="preserve"> </w:t>
      </w:r>
      <w:r w:rsidRPr="00323C90">
        <w:t xml:space="preserve">This is primarily due to </w:t>
      </w:r>
      <w:r>
        <w:t>higher</w:t>
      </w:r>
      <w:r w:rsidRPr="00323C90">
        <w:t xml:space="preserve"> than originally</w:t>
      </w:r>
      <w:r>
        <w:t xml:space="preserve"> estimated advances received from the Port Lessor</w:t>
      </w:r>
      <w:r w:rsidRPr="00323C90">
        <w:t xml:space="preserve"> associated with the</w:t>
      </w:r>
      <w:r>
        <w:t xml:space="preserve"> proceeds </w:t>
      </w:r>
      <w:r w:rsidRPr="00323C90">
        <w:t>from entering into a medium-term</w:t>
      </w:r>
      <w:r>
        <w:t xml:space="preserve"> </w:t>
      </w:r>
      <w:r w:rsidRPr="00323C90">
        <w:t>lease over the operations of the Port of Melbourne</w:t>
      </w:r>
      <w:r>
        <w:t xml:space="preserve"> in 2016-17.</w:t>
      </w:r>
    </w:p>
    <w:p w:rsidR="00BB6F1F" w:rsidRDefault="00BB6F1F" w:rsidP="00AC68FF">
      <w:pPr>
        <w:pStyle w:val="Heading30"/>
      </w:pPr>
      <w:r>
        <w:t>Consolidated statement of changes in equity</w:t>
      </w:r>
    </w:p>
    <w:p w:rsidR="00BB6F1F" w:rsidRDefault="00BB6F1F" w:rsidP="00AC68FF">
      <w:r w:rsidRPr="00405B45">
        <w:t>The major variations between actual outcomes and the original published budget for the statement of changes in equity are largely addressed in the explanations provided previously.</w:t>
      </w:r>
      <w:r>
        <w:t xml:space="preserve"> </w:t>
      </w:r>
    </w:p>
    <w:p w:rsidR="00BB6F1F" w:rsidRDefault="00BB6F1F" w:rsidP="00AC68FF">
      <w:r>
        <w:t xml:space="preserve">The increase in the non-financial assets revaluation surplus can be </w:t>
      </w:r>
      <w:r w:rsidRPr="00E41805">
        <w:t xml:space="preserve">attributed to the higher than expected revaluation of </w:t>
      </w:r>
      <w:r>
        <w:t xml:space="preserve">the State’s </w:t>
      </w:r>
      <w:r w:rsidRPr="00E41805">
        <w:t>land under roads.</w:t>
      </w:r>
      <w:r>
        <w:t xml:space="preserve"> The reduction of the superannuation liability is attributable to an increase in bond yields as well as favourable investment returns on superannuation assets.</w:t>
      </w:r>
    </w:p>
    <w:p w:rsidR="00BB6F1F" w:rsidRDefault="00BB6F1F" w:rsidP="00AC68FF"/>
    <w:p w:rsidR="00BB6F1F" w:rsidRDefault="00BB6F1F" w:rsidP="00AC68FF">
      <w:pPr>
        <w:sectPr w:rsidR="00BB6F1F" w:rsidSect="00AC68FF">
          <w:headerReference w:type="even" r:id="rId126"/>
          <w:type w:val="continuous"/>
          <w:pgSz w:w="11907" w:h="16839" w:code="9"/>
          <w:pgMar w:top="1134" w:right="1134" w:bottom="1134" w:left="1134" w:header="624" w:footer="567" w:gutter="0"/>
          <w:cols w:num="2" w:space="709"/>
          <w:docGrid w:linePitch="360"/>
        </w:sectPr>
      </w:pPr>
    </w:p>
    <w:p w:rsidR="00BB6F1F" w:rsidRPr="00EC2897" w:rsidRDefault="00BB6F1F" w:rsidP="00AC68FF">
      <w:pPr>
        <w:pStyle w:val="TableHeading"/>
        <w:spacing w:before="0"/>
        <w:rPr>
          <w:bCs/>
          <w:lang w:val="en-US"/>
        </w:rPr>
      </w:pPr>
      <w:r w:rsidRPr="004D3C1E">
        <w:lastRenderedPageBreak/>
        <w:t>Consolidated statement of changes in equity</w:t>
      </w:r>
      <w:r w:rsidRPr="004D3C1E">
        <w:tab/>
      </w:r>
      <w:r w:rsidRPr="004D3C1E">
        <w:tab/>
        <w:t>($ million)</w:t>
      </w:r>
    </w:p>
    <w:tbl>
      <w:tblPr>
        <w:tblStyle w:val="DTFTable"/>
        <w:tblW w:w="14570" w:type="dxa"/>
        <w:tblInd w:w="45" w:type="dxa"/>
        <w:tblLayout w:type="fixed"/>
        <w:tblCellMar>
          <w:left w:w="45" w:type="dxa"/>
          <w:right w:w="45" w:type="dxa"/>
        </w:tblCellMar>
        <w:tblLook w:val="06E0" w:firstRow="1" w:lastRow="1" w:firstColumn="1" w:lastColumn="0" w:noHBand="1" w:noVBand="1"/>
      </w:tblPr>
      <w:tblGrid>
        <w:gridCol w:w="5669"/>
        <w:gridCol w:w="1417"/>
        <w:gridCol w:w="1559"/>
        <w:gridCol w:w="1843"/>
        <w:gridCol w:w="1701"/>
        <w:gridCol w:w="1417"/>
        <w:gridCol w:w="964"/>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iCs/>
                <w:color w:val="FFFFFF"/>
                <w:sz w:val="16"/>
                <w:szCs w:val="21"/>
                <w:lang w:eastAsia="en-AU"/>
              </w:rPr>
            </w:pPr>
            <w:r w:rsidRPr="00EC2897">
              <w:rPr>
                <w:rFonts w:eastAsiaTheme="minorEastAsia" w:cs="Calibri"/>
                <w:iCs/>
                <w:color w:val="FFFFFF"/>
                <w:sz w:val="16"/>
                <w:szCs w:val="21"/>
                <w:lang w:eastAsia="en-AU"/>
              </w:rPr>
              <w:t>General government sector</w:t>
            </w:r>
          </w:p>
        </w:tc>
        <w:tc>
          <w:tcPr>
            <w:tcW w:w="1417"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EC2897">
              <w:rPr>
                <w:rFonts w:eastAsiaTheme="minorEastAsia" w:cs="Calibri"/>
                <w:iCs/>
                <w:color w:val="FFFFFF"/>
                <w:sz w:val="16"/>
                <w:szCs w:val="21"/>
                <w:lang w:eastAsia="en-AU"/>
              </w:rPr>
              <w:t>Accumulated surplus/(deficit)</w:t>
            </w:r>
          </w:p>
        </w:tc>
        <w:tc>
          <w:tcPr>
            <w:tcW w:w="1559"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EC2897">
              <w:rPr>
                <w:rFonts w:eastAsiaTheme="minorEastAsia" w:cs="Calibri"/>
                <w:iCs/>
                <w:color w:val="FFFFFF"/>
                <w:sz w:val="16"/>
                <w:szCs w:val="21"/>
                <w:lang w:eastAsia="en-AU"/>
              </w:rPr>
              <w:t>Non-controlling Interest</w:t>
            </w:r>
          </w:p>
        </w:tc>
        <w:tc>
          <w:tcPr>
            <w:tcW w:w="1843"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EC2897">
              <w:rPr>
                <w:rFonts w:eastAsiaTheme="minorEastAsia" w:cs="Calibri"/>
                <w:iCs/>
                <w:color w:val="FFFFFF"/>
                <w:sz w:val="16"/>
                <w:szCs w:val="21"/>
                <w:lang w:eastAsia="en-AU"/>
              </w:rPr>
              <w:t>Non-financial assets revaluation surplus</w:t>
            </w:r>
          </w:p>
        </w:tc>
        <w:tc>
          <w:tcPr>
            <w:tcW w:w="1701"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EC2897">
              <w:rPr>
                <w:rFonts w:eastAsiaTheme="minorEastAsia" w:cs="Calibri"/>
                <w:iCs/>
                <w:color w:val="FFFFFF"/>
                <w:sz w:val="16"/>
                <w:szCs w:val="21"/>
                <w:lang w:eastAsia="en-AU"/>
              </w:rPr>
              <w:t>Investment in other sector entities revaluation surplus</w:t>
            </w:r>
          </w:p>
        </w:tc>
        <w:tc>
          <w:tcPr>
            <w:tcW w:w="1417"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EC2897">
              <w:rPr>
                <w:rFonts w:eastAsiaTheme="minorEastAsia" w:cs="Calibri"/>
                <w:iCs/>
                <w:color w:val="FFFFFF"/>
                <w:sz w:val="16"/>
                <w:szCs w:val="21"/>
                <w:lang w:eastAsia="en-AU"/>
              </w:rPr>
              <w:t>Other reserves</w:t>
            </w:r>
          </w:p>
        </w:tc>
        <w:tc>
          <w:tcPr>
            <w:tcW w:w="96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EC2897">
              <w:rPr>
                <w:rFonts w:eastAsiaTheme="minorEastAsia" w:cs="Calibri"/>
                <w:iCs/>
                <w:color w:val="FFFFFF"/>
                <w:sz w:val="16"/>
                <w:szCs w:val="21"/>
                <w:lang w:eastAsia="en-AU"/>
              </w:rPr>
              <w:t>Total</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 w:val="16"/>
                <w:szCs w:val="21"/>
                <w:lang w:eastAsia="en-AU"/>
              </w:rPr>
            </w:pPr>
            <w:r w:rsidRPr="00EC2897">
              <w:rPr>
                <w:rFonts w:eastAsiaTheme="minorEastAsia" w:cs="Calibri"/>
                <w:b/>
                <w:bCs/>
                <w:color w:val="000000"/>
                <w:sz w:val="16"/>
                <w:szCs w:val="21"/>
                <w:lang w:eastAsia="en-AU"/>
              </w:rPr>
              <w:t>2016-17  original budget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 w:val="16"/>
                <w:szCs w:val="21"/>
                <w:lang w:eastAsia="en-AU"/>
              </w:rPr>
            </w:pPr>
            <w:r w:rsidRPr="00EC2897">
              <w:rPr>
                <w:rFonts w:eastAsiaTheme="minorEastAsia" w:cs="Calibri"/>
                <w:color w:val="000000"/>
                <w:sz w:val="16"/>
                <w:szCs w:val="21"/>
                <w:lang w:eastAsia="en-AU"/>
              </w:rPr>
              <w:t>Balance at 1 July 2016</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45 682</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43 826</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47 884</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EC2897">
              <w:rPr>
                <w:rFonts w:eastAsiaTheme="minorEastAsia" w:cs="Calibri"/>
                <w:color w:val="000000"/>
                <w:sz w:val="16"/>
                <w:szCs w:val="21"/>
                <w:lang w:eastAsia="en-AU"/>
              </w:rPr>
              <w:t>692</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138 084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 w:val="16"/>
                <w:szCs w:val="20"/>
                <w:lang w:eastAsia="en-AU"/>
              </w:rPr>
            </w:pPr>
            <w:r w:rsidRPr="00EC2897">
              <w:rPr>
                <w:rFonts w:eastAsiaTheme="minorEastAsia" w:cs="Calibri"/>
                <w:color w:val="000000"/>
                <w:sz w:val="16"/>
                <w:szCs w:val="21"/>
                <w:lang w:eastAsia="en-AU"/>
              </w:rPr>
              <w:t xml:space="preserve">Net result for </w:t>
            </w:r>
            <w:r w:rsidRPr="00EC2897">
              <w:rPr>
                <w:rFonts w:eastAsiaTheme="minorEastAsia" w:cs="Calibri"/>
                <w:color w:val="000000"/>
                <w:sz w:val="16"/>
                <w:szCs w:val="20"/>
                <w:lang w:eastAsia="en-AU"/>
              </w:rPr>
              <w:t>the year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2 635</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2 635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 w:val="16"/>
                <w:szCs w:val="21"/>
                <w:lang w:eastAsia="en-AU"/>
              </w:rPr>
            </w:pPr>
            <w:r w:rsidRPr="00EC2897">
              <w:rPr>
                <w:rFonts w:eastAsiaTheme="minorEastAsia" w:cs="Calibri"/>
                <w:color w:val="000000"/>
                <w:sz w:val="16"/>
                <w:szCs w:val="21"/>
                <w:lang w:eastAsia="en-AU"/>
              </w:rPr>
              <w:t>Other comprehensive income for the year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EC2897">
              <w:rPr>
                <w:rFonts w:eastAsiaTheme="minorEastAsia" w:cs="Calibri"/>
                <w:color w:val="000000"/>
                <w:sz w:val="16"/>
                <w:szCs w:val="21"/>
                <w:lang w:eastAsia="en-AU"/>
              </w:rPr>
              <w:t>875</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EC2897">
              <w:rPr>
                <w:rFonts w:eastAsiaTheme="minorEastAsia" w:cs="Calibri"/>
                <w:color w:val="000000"/>
                <w:sz w:val="16"/>
                <w:szCs w:val="21"/>
                <w:lang w:eastAsia="en-AU"/>
              </w:rPr>
              <w:t>109</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2 707</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EC2897">
              <w:rPr>
                <w:rFonts w:eastAsiaTheme="minorEastAsia" w:cs="Calibri"/>
                <w:color w:val="000000"/>
                <w:sz w:val="16"/>
                <w:szCs w:val="21"/>
                <w:lang w:eastAsia="en-AU"/>
              </w:rPr>
              <w:t>2</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3 693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 w:val="16"/>
                <w:szCs w:val="21"/>
                <w:lang w:eastAsia="en-AU"/>
              </w:rPr>
            </w:pPr>
            <w:r w:rsidRPr="00EC2897">
              <w:rPr>
                <w:rFonts w:eastAsiaTheme="minorEastAsia" w:cs="Calibri"/>
                <w:b/>
                <w:bCs/>
                <w:color w:val="000000"/>
                <w:sz w:val="16"/>
                <w:szCs w:val="21"/>
                <w:lang w:eastAsia="en-AU"/>
              </w:rPr>
              <w:t>Total equity as at 30 June 2017</w:t>
            </w:r>
          </w:p>
        </w:tc>
        <w:tc>
          <w:tcPr>
            <w:tcW w:w="141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49 193</w:t>
            </w:r>
          </w:p>
        </w:tc>
        <w:tc>
          <w:tcPr>
            <w:tcW w:w="1559"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w:t>
            </w:r>
          </w:p>
        </w:tc>
        <w:tc>
          <w:tcPr>
            <w:tcW w:w="1843"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43 935</w:t>
            </w:r>
          </w:p>
        </w:tc>
        <w:tc>
          <w:tcPr>
            <w:tcW w:w="1701"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50 591</w:t>
            </w:r>
          </w:p>
        </w:tc>
        <w:tc>
          <w:tcPr>
            <w:tcW w:w="141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EC2897">
              <w:rPr>
                <w:rFonts w:eastAsiaTheme="minorEastAsia" w:cs="Calibri"/>
                <w:b/>
                <w:bCs/>
                <w:color w:val="000000"/>
                <w:sz w:val="16"/>
                <w:szCs w:val="21"/>
                <w:lang w:eastAsia="en-AU"/>
              </w:rPr>
              <w:t>694</w:t>
            </w:r>
          </w:p>
        </w:tc>
        <w:tc>
          <w:tcPr>
            <w:tcW w:w="96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144 412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 w:val="16"/>
                <w:szCs w:val="21"/>
                <w:lang w:eastAsia="en-AU"/>
              </w:rPr>
            </w:pPr>
            <w:r w:rsidRPr="00EC2897">
              <w:rPr>
                <w:rFonts w:eastAsiaTheme="minorEastAsia" w:cs="Calibri"/>
                <w:b/>
                <w:bCs/>
                <w:color w:val="000000"/>
                <w:sz w:val="16"/>
                <w:szCs w:val="21"/>
                <w:lang w:eastAsia="en-AU"/>
              </w:rPr>
              <w:t>2016-17  revised budget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 w:val="16"/>
                <w:szCs w:val="21"/>
                <w:lang w:eastAsia="en-AU"/>
              </w:rPr>
            </w:pPr>
            <w:r w:rsidRPr="00EC2897">
              <w:rPr>
                <w:rFonts w:eastAsiaTheme="minorEastAsia" w:cs="Calibri"/>
                <w:color w:val="000000"/>
                <w:sz w:val="16"/>
                <w:szCs w:val="21"/>
                <w:lang w:eastAsia="en-AU"/>
              </w:rPr>
              <w:t>Balance at 1 July 2016</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44 454</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EC2897">
              <w:rPr>
                <w:rFonts w:eastAsiaTheme="minorEastAsia" w:cs="Calibri"/>
                <w:color w:val="000000"/>
                <w:sz w:val="16"/>
                <w:szCs w:val="21"/>
                <w:lang w:eastAsia="en-AU"/>
              </w:rPr>
              <w:t>50</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49 613</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57 027</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EC2897">
              <w:rPr>
                <w:rFonts w:eastAsiaTheme="minorEastAsia" w:cs="Calibri"/>
                <w:color w:val="000000"/>
                <w:sz w:val="16"/>
                <w:szCs w:val="21"/>
                <w:lang w:eastAsia="en-AU"/>
              </w:rPr>
              <w:t>551</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151 695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 w:val="16"/>
                <w:szCs w:val="20"/>
                <w:lang w:eastAsia="en-AU"/>
              </w:rPr>
            </w:pPr>
            <w:r w:rsidRPr="00EC2897">
              <w:rPr>
                <w:rFonts w:eastAsiaTheme="minorEastAsia" w:cs="Calibri"/>
                <w:color w:val="000000"/>
                <w:sz w:val="16"/>
                <w:szCs w:val="21"/>
                <w:lang w:eastAsia="en-AU"/>
              </w:rPr>
              <w:t xml:space="preserve">Net result for </w:t>
            </w:r>
            <w:r w:rsidRPr="00EC2897">
              <w:rPr>
                <w:rFonts w:eastAsiaTheme="minorEastAsia" w:cs="Calibri"/>
                <w:color w:val="000000"/>
                <w:sz w:val="16"/>
                <w:szCs w:val="20"/>
                <w:lang w:eastAsia="en-AU"/>
              </w:rPr>
              <w:t>the year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1 049</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1 049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 w:val="16"/>
                <w:szCs w:val="21"/>
                <w:lang w:eastAsia="en-AU"/>
              </w:rPr>
            </w:pPr>
            <w:r w:rsidRPr="00EC2897">
              <w:rPr>
                <w:rFonts w:eastAsiaTheme="minorEastAsia" w:cs="Calibri"/>
                <w:color w:val="000000"/>
                <w:sz w:val="16"/>
                <w:szCs w:val="21"/>
                <w:lang w:eastAsia="en-AU"/>
              </w:rPr>
              <w:t>Other comprehensive income for the year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4 039</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3 206</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EC2897">
              <w:rPr>
                <w:rFonts w:eastAsiaTheme="minorEastAsia" w:cs="Calibri"/>
                <w:color w:val="000000"/>
                <w:sz w:val="16"/>
                <w:szCs w:val="21"/>
                <w:lang w:eastAsia="en-AU"/>
              </w:rPr>
              <w:t>305</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(15)</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7 535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 w:val="16"/>
                <w:szCs w:val="14"/>
                <w:lang w:eastAsia="en-AU"/>
              </w:rPr>
            </w:pPr>
            <w:r w:rsidRPr="00EC2897">
              <w:rPr>
                <w:rFonts w:eastAsiaTheme="minorEastAsia" w:cs="Calibri"/>
                <w:color w:val="000000"/>
                <w:sz w:val="16"/>
                <w:szCs w:val="21"/>
                <w:lang w:eastAsia="en-AU"/>
              </w:rPr>
              <w:t>Transfer to/(from) accumulated surplus</w:t>
            </w:r>
            <w:r w:rsidRPr="00EC2897">
              <w:rPr>
                <w:rFonts w:eastAsiaTheme="minorEastAsia" w:cs="Calibri"/>
                <w:color w:val="000000"/>
                <w:sz w:val="16"/>
                <w:szCs w:val="14"/>
                <w:lang w:eastAsia="en-AU"/>
              </w:rPr>
              <w:t xml:space="preserve"> </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EC2897">
              <w:rPr>
                <w:rFonts w:eastAsiaTheme="minorEastAsia" w:cs="Calibri"/>
                <w:color w:val="000000"/>
                <w:sz w:val="16"/>
                <w:szCs w:val="21"/>
                <w:lang w:eastAsia="en-AU"/>
              </w:rPr>
              <w:t>55</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(55)</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 w:val="16"/>
                <w:szCs w:val="21"/>
                <w:lang w:eastAsia="en-AU"/>
              </w:rPr>
            </w:pPr>
            <w:r w:rsidRPr="00EC2897">
              <w:rPr>
                <w:rFonts w:eastAsiaTheme="minorEastAsia" w:cs="Calibri"/>
                <w:color w:val="000000"/>
                <w:sz w:val="16"/>
                <w:szCs w:val="21"/>
                <w:lang w:eastAsia="en-AU"/>
              </w:rPr>
              <w:t>Transactions with owners in their capacity as owners</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(50)</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 w:val="16"/>
                <w:szCs w:val="21"/>
                <w:lang w:eastAsia="en-AU"/>
              </w:rPr>
            </w:pPr>
            <w:r w:rsidRPr="00EC2897">
              <w:rPr>
                <w:rFonts w:eastAsiaTheme="minorEastAsia" w:cs="Calibri"/>
                <w:b/>
                <w:bCs/>
                <w:color w:val="000000"/>
                <w:sz w:val="16"/>
                <w:szCs w:val="21"/>
                <w:lang w:eastAsia="en-AU"/>
              </w:rPr>
              <w:t>Total equity as at 30 June 2017</w:t>
            </w:r>
          </w:p>
        </w:tc>
        <w:tc>
          <w:tcPr>
            <w:tcW w:w="141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49 597</w:t>
            </w:r>
          </w:p>
        </w:tc>
        <w:tc>
          <w:tcPr>
            <w:tcW w:w="1559"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w:t>
            </w:r>
          </w:p>
        </w:tc>
        <w:tc>
          <w:tcPr>
            <w:tcW w:w="1843"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52 765</w:t>
            </w:r>
          </w:p>
        </w:tc>
        <w:tc>
          <w:tcPr>
            <w:tcW w:w="1701"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57 332</w:t>
            </w:r>
          </w:p>
        </w:tc>
        <w:tc>
          <w:tcPr>
            <w:tcW w:w="141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EC2897">
              <w:rPr>
                <w:rFonts w:eastAsiaTheme="minorEastAsia" w:cs="Calibri"/>
                <w:b/>
                <w:bCs/>
                <w:color w:val="000000"/>
                <w:sz w:val="16"/>
                <w:szCs w:val="21"/>
                <w:lang w:eastAsia="en-AU"/>
              </w:rPr>
              <w:t>536</w:t>
            </w:r>
          </w:p>
        </w:tc>
        <w:tc>
          <w:tcPr>
            <w:tcW w:w="96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160 229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 w:val="16"/>
                <w:szCs w:val="21"/>
                <w:lang w:eastAsia="en-AU"/>
              </w:rPr>
            </w:pPr>
            <w:r w:rsidRPr="00EC2897">
              <w:rPr>
                <w:rFonts w:eastAsiaTheme="minorEastAsia" w:cs="Calibri"/>
                <w:b/>
                <w:bCs/>
                <w:color w:val="000000"/>
                <w:sz w:val="16"/>
                <w:szCs w:val="21"/>
                <w:lang w:eastAsia="en-AU"/>
              </w:rPr>
              <w:t>2016-17  actual</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CD26DC" w:rsidRDefault="00BB6F1F" w:rsidP="00AC68FF">
            <w:pPr>
              <w:keepLines w:val="0"/>
              <w:autoSpaceDE w:val="0"/>
              <w:autoSpaceDN w:val="0"/>
              <w:adjustRightInd w:val="0"/>
              <w:rPr>
                <w:rFonts w:eastAsiaTheme="minorEastAsia" w:cs="Calibri"/>
                <w:color w:val="000000"/>
                <w:sz w:val="16"/>
                <w:szCs w:val="21"/>
                <w:vertAlign w:val="superscript"/>
                <w:lang w:eastAsia="en-AU"/>
              </w:rPr>
            </w:pPr>
            <w:r w:rsidRPr="00EC2897">
              <w:rPr>
                <w:rFonts w:eastAsiaTheme="minorEastAsia" w:cs="Calibri"/>
                <w:color w:val="000000"/>
                <w:sz w:val="16"/>
                <w:szCs w:val="21"/>
                <w:lang w:eastAsia="en-AU"/>
              </w:rPr>
              <w:t>Balance at 1 July 2016</w:t>
            </w:r>
            <w:r>
              <w:rPr>
                <w:rFonts w:eastAsiaTheme="minorEastAsia" w:cs="Calibri"/>
                <w:color w:val="000000"/>
                <w:sz w:val="16"/>
                <w:szCs w:val="21"/>
                <w:vertAlign w:val="superscript"/>
                <w:lang w:eastAsia="en-AU"/>
              </w:rPr>
              <w:t xml:space="preserve"> (a)</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44 557</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EC2897">
              <w:rPr>
                <w:rFonts w:eastAsiaTheme="minorEastAsia" w:cs="Calibri"/>
                <w:color w:val="000000"/>
                <w:sz w:val="16"/>
                <w:szCs w:val="21"/>
                <w:lang w:eastAsia="en-AU"/>
              </w:rPr>
              <w:t>50</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49 613</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57 027</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EC2897">
              <w:rPr>
                <w:rFonts w:eastAsiaTheme="minorEastAsia" w:cs="Calibri"/>
                <w:color w:val="000000"/>
                <w:sz w:val="16"/>
                <w:szCs w:val="21"/>
                <w:lang w:eastAsia="en-AU"/>
              </w:rPr>
              <w:t>551</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151 798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 w:val="16"/>
                <w:szCs w:val="20"/>
                <w:lang w:eastAsia="en-AU"/>
              </w:rPr>
            </w:pPr>
            <w:r w:rsidRPr="00EC2897">
              <w:rPr>
                <w:rFonts w:eastAsiaTheme="minorEastAsia" w:cs="Calibri"/>
                <w:color w:val="000000"/>
                <w:sz w:val="16"/>
                <w:szCs w:val="21"/>
                <w:lang w:eastAsia="en-AU"/>
              </w:rPr>
              <w:t xml:space="preserve">Net result for </w:t>
            </w:r>
            <w:r w:rsidRPr="00EC2897">
              <w:rPr>
                <w:rFonts w:eastAsiaTheme="minorEastAsia" w:cs="Calibri"/>
                <w:color w:val="000000"/>
                <w:sz w:val="16"/>
                <w:szCs w:val="20"/>
                <w:lang w:eastAsia="en-AU"/>
              </w:rPr>
              <w:t>the year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2 559</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2 559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 w:val="16"/>
                <w:szCs w:val="21"/>
                <w:lang w:eastAsia="en-AU"/>
              </w:rPr>
            </w:pPr>
            <w:r w:rsidRPr="00EC2897">
              <w:rPr>
                <w:rFonts w:eastAsiaTheme="minorEastAsia" w:cs="Calibri"/>
                <w:color w:val="000000"/>
                <w:sz w:val="16"/>
                <w:szCs w:val="21"/>
                <w:lang w:eastAsia="en-AU"/>
              </w:rPr>
              <w:t>Other comprehensive income for the year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4 391</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6 090</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3 122</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EC2897">
              <w:rPr>
                <w:rFonts w:eastAsiaTheme="minorEastAsia" w:cs="Calibri"/>
                <w:color w:val="000000"/>
                <w:sz w:val="16"/>
                <w:szCs w:val="21"/>
                <w:lang w:eastAsia="en-AU"/>
              </w:rPr>
              <w:t>117</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13 720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 w:val="16"/>
                <w:szCs w:val="14"/>
                <w:lang w:eastAsia="en-AU"/>
              </w:rPr>
            </w:pPr>
            <w:r w:rsidRPr="00EC2897">
              <w:rPr>
                <w:rFonts w:eastAsiaTheme="minorEastAsia" w:cs="Calibri"/>
                <w:color w:val="000000"/>
                <w:sz w:val="16"/>
                <w:szCs w:val="21"/>
                <w:lang w:eastAsia="en-AU"/>
              </w:rPr>
              <w:t>Transfer to/(from) accumulated surplus</w:t>
            </w:r>
            <w:r w:rsidRPr="00EC2897">
              <w:rPr>
                <w:rFonts w:eastAsiaTheme="minorEastAsia" w:cs="Calibri"/>
                <w:color w:val="000000"/>
                <w:sz w:val="16"/>
                <w:szCs w:val="14"/>
                <w:lang w:eastAsia="en-AU"/>
              </w:rPr>
              <w:t xml:space="preserve"> </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(43)</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EC2897">
              <w:rPr>
                <w:rFonts w:eastAsiaTheme="minorEastAsia" w:cs="Calibri"/>
                <w:color w:val="000000"/>
                <w:sz w:val="16"/>
                <w:szCs w:val="21"/>
                <w:lang w:eastAsia="en-AU"/>
              </w:rPr>
              <w:t>43</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 w:val="16"/>
                <w:szCs w:val="21"/>
                <w:lang w:eastAsia="en-AU"/>
              </w:rPr>
            </w:pPr>
            <w:r w:rsidRPr="00EC2897">
              <w:rPr>
                <w:rFonts w:eastAsiaTheme="minorEastAsia" w:cs="Calibri"/>
                <w:color w:val="000000"/>
                <w:sz w:val="16"/>
                <w:szCs w:val="21"/>
                <w:lang w:eastAsia="en-AU"/>
              </w:rPr>
              <w:t>Transactions with owners in their capacity as owners</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(50)</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 w:val="16"/>
                <w:szCs w:val="21"/>
                <w:lang w:eastAsia="en-AU"/>
              </w:rPr>
            </w:pPr>
            <w:r w:rsidRPr="00EC2897">
              <w:rPr>
                <w:rFonts w:eastAsiaTheme="minorEastAsia" w:cs="Calibri"/>
                <w:b/>
                <w:bCs/>
                <w:color w:val="000000"/>
                <w:sz w:val="16"/>
                <w:szCs w:val="21"/>
                <w:lang w:eastAsia="en-AU"/>
              </w:rPr>
              <w:t>Total equity as at 30 June 2017</w:t>
            </w:r>
          </w:p>
        </w:tc>
        <w:tc>
          <w:tcPr>
            <w:tcW w:w="141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51 464</w:t>
            </w:r>
          </w:p>
        </w:tc>
        <w:tc>
          <w:tcPr>
            <w:tcW w:w="1559"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w:t>
            </w:r>
          </w:p>
        </w:tc>
        <w:tc>
          <w:tcPr>
            <w:tcW w:w="1843"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55 745</w:t>
            </w:r>
          </w:p>
        </w:tc>
        <w:tc>
          <w:tcPr>
            <w:tcW w:w="1701"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60 149</w:t>
            </w:r>
          </w:p>
        </w:tc>
        <w:tc>
          <w:tcPr>
            <w:tcW w:w="141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EC2897">
              <w:rPr>
                <w:rFonts w:eastAsiaTheme="minorEastAsia" w:cs="Calibri"/>
                <w:b/>
                <w:bCs/>
                <w:color w:val="000000"/>
                <w:sz w:val="16"/>
                <w:szCs w:val="21"/>
                <w:lang w:eastAsia="en-AU"/>
              </w:rPr>
              <w:t>669</w:t>
            </w:r>
          </w:p>
        </w:tc>
        <w:tc>
          <w:tcPr>
            <w:tcW w:w="96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168 027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 w:val="16"/>
                <w:szCs w:val="21"/>
                <w:lang w:eastAsia="en-AU"/>
              </w:rPr>
            </w:pPr>
            <w:r w:rsidRPr="00EC2897">
              <w:rPr>
                <w:rFonts w:eastAsiaTheme="minorEastAsia" w:cs="Calibri"/>
                <w:b/>
                <w:bCs/>
                <w:color w:val="000000"/>
                <w:sz w:val="16"/>
                <w:szCs w:val="21"/>
                <w:lang w:eastAsia="en-AU"/>
              </w:rPr>
              <w:t>Variance to original budget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 w:val="16"/>
                <w:szCs w:val="21"/>
                <w:lang w:eastAsia="en-AU"/>
              </w:rPr>
            </w:pPr>
            <w:r w:rsidRPr="00EC2897">
              <w:rPr>
                <w:rFonts w:eastAsiaTheme="minorEastAsia" w:cs="Calibri"/>
                <w:color w:val="000000"/>
                <w:sz w:val="16"/>
                <w:szCs w:val="21"/>
                <w:lang w:eastAsia="en-AU"/>
              </w:rPr>
              <w:t>Balance at 1 July 2016</w:t>
            </w:r>
            <w:r>
              <w:rPr>
                <w:rFonts w:eastAsiaTheme="minorEastAsia" w:cs="Calibri"/>
                <w:color w:val="000000"/>
                <w:sz w:val="16"/>
                <w:szCs w:val="21"/>
                <w:vertAlign w:val="superscript"/>
                <w:lang w:eastAsia="en-AU"/>
              </w:rPr>
              <w:t xml:space="preserve"> (a)</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(1 125)</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EC2897">
              <w:rPr>
                <w:rFonts w:eastAsiaTheme="minorEastAsia" w:cs="Calibri"/>
                <w:color w:val="000000"/>
                <w:sz w:val="16"/>
                <w:szCs w:val="21"/>
                <w:lang w:eastAsia="en-AU"/>
              </w:rPr>
              <w:t>50</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5 787</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9 143</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(140)</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13 714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 w:val="16"/>
                <w:szCs w:val="20"/>
                <w:lang w:eastAsia="en-AU"/>
              </w:rPr>
            </w:pPr>
            <w:r w:rsidRPr="00EC2897">
              <w:rPr>
                <w:rFonts w:eastAsiaTheme="minorEastAsia" w:cs="Calibri"/>
                <w:color w:val="000000"/>
                <w:sz w:val="16"/>
                <w:szCs w:val="21"/>
                <w:lang w:eastAsia="en-AU"/>
              </w:rPr>
              <w:t xml:space="preserve">Net result for </w:t>
            </w:r>
            <w:r w:rsidRPr="00EC2897">
              <w:rPr>
                <w:rFonts w:eastAsiaTheme="minorEastAsia" w:cs="Calibri"/>
                <w:color w:val="000000"/>
                <w:sz w:val="16"/>
                <w:szCs w:val="20"/>
                <w:lang w:eastAsia="en-AU"/>
              </w:rPr>
              <w:t>the year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(76)</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(76)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 w:val="16"/>
                <w:szCs w:val="21"/>
                <w:lang w:eastAsia="en-AU"/>
              </w:rPr>
            </w:pPr>
            <w:r w:rsidRPr="00EC2897">
              <w:rPr>
                <w:rFonts w:eastAsiaTheme="minorEastAsia" w:cs="Calibri"/>
                <w:color w:val="000000"/>
                <w:sz w:val="16"/>
                <w:szCs w:val="21"/>
                <w:lang w:eastAsia="en-AU"/>
              </w:rPr>
              <w:t>Other comprehensive income for the year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3 516</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5 981</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EC2897">
              <w:rPr>
                <w:rFonts w:eastAsiaTheme="minorEastAsia" w:cs="Calibri"/>
                <w:color w:val="000000"/>
                <w:sz w:val="16"/>
                <w:szCs w:val="21"/>
                <w:lang w:eastAsia="en-AU"/>
              </w:rPr>
              <w:t>416</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EC2897">
              <w:rPr>
                <w:rFonts w:eastAsiaTheme="minorEastAsia" w:cs="Calibri"/>
                <w:color w:val="000000"/>
                <w:sz w:val="16"/>
                <w:szCs w:val="21"/>
                <w:lang w:eastAsia="en-AU"/>
              </w:rPr>
              <w:t>115</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10 027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 w:val="16"/>
                <w:szCs w:val="14"/>
                <w:lang w:eastAsia="en-AU"/>
              </w:rPr>
            </w:pPr>
            <w:r w:rsidRPr="00EC2897">
              <w:rPr>
                <w:rFonts w:eastAsiaTheme="minorEastAsia" w:cs="Calibri"/>
                <w:color w:val="000000"/>
                <w:sz w:val="16"/>
                <w:szCs w:val="21"/>
                <w:lang w:eastAsia="en-AU"/>
              </w:rPr>
              <w:t>Transfer to/(from) accumulated surplus</w:t>
            </w:r>
            <w:r w:rsidRPr="00EC2897">
              <w:rPr>
                <w:rFonts w:eastAsiaTheme="minorEastAsia" w:cs="Calibri"/>
                <w:color w:val="000000"/>
                <w:sz w:val="16"/>
                <w:szCs w:val="14"/>
                <w:lang w:eastAsia="en-AU"/>
              </w:rPr>
              <w:t xml:space="preserve"> </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(43)</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EC2897">
              <w:rPr>
                <w:rFonts w:eastAsiaTheme="minorEastAsia" w:cs="Calibri"/>
                <w:color w:val="000000"/>
                <w:sz w:val="16"/>
                <w:szCs w:val="21"/>
                <w:lang w:eastAsia="en-AU"/>
              </w:rPr>
              <w:t>43</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 w:val="16"/>
                <w:szCs w:val="21"/>
                <w:lang w:eastAsia="en-AU"/>
              </w:rPr>
            </w:pPr>
            <w:r w:rsidRPr="00EC2897">
              <w:rPr>
                <w:rFonts w:eastAsiaTheme="minorEastAsia" w:cs="Calibri"/>
                <w:color w:val="000000"/>
                <w:sz w:val="16"/>
                <w:szCs w:val="21"/>
                <w:lang w:eastAsia="en-AU"/>
              </w:rPr>
              <w:t>Transactions with owners in their capacity as owners</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(50)</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 w:val="16"/>
                <w:szCs w:val="21"/>
                <w:lang w:eastAsia="en-AU"/>
              </w:rPr>
            </w:pPr>
            <w:r w:rsidRPr="00EC2897">
              <w:rPr>
                <w:rFonts w:eastAsiaTheme="minorEastAsia" w:cs="Calibri"/>
                <w:b/>
                <w:bCs/>
                <w:color w:val="000000"/>
                <w:sz w:val="16"/>
                <w:szCs w:val="21"/>
                <w:lang w:eastAsia="en-AU"/>
              </w:rPr>
              <w:t>Total equity as at 30 June 2017</w:t>
            </w:r>
          </w:p>
        </w:tc>
        <w:tc>
          <w:tcPr>
            <w:tcW w:w="141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2 272</w:t>
            </w:r>
          </w:p>
        </w:tc>
        <w:tc>
          <w:tcPr>
            <w:tcW w:w="1559"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w:t>
            </w:r>
          </w:p>
        </w:tc>
        <w:tc>
          <w:tcPr>
            <w:tcW w:w="1843"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11 810</w:t>
            </w:r>
          </w:p>
        </w:tc>
        <w:tc>
          <w:tcPr>
            <w:tcW w:w="1701"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9 558</w:t>
            </w:r>
          </w:p>
        </w:tc>
        <w:tc>
          <w:tcPr>
            <w:tcW w:w="141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(26)</w:t>
            </w:r>
          </w:p>
        </w:tc>
        <w:tc>
          <w:tcPr>
            <w:tcW w:w="96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23 615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 w:val="16"/>
                <w:szCs w:val="21"/>
                <w:lang w:eastAsia="en-AU"/>
              </w:rPr>
            </w:pPr>
            <w:r w:rsidRPr="00EC2897">
              <w:rPr>
                <w:rFonts w:eastAsiaTheme="minorEastAsia" w:cs="Calibri"/>
                <w:b/>
                <w:bCs/>
                <w:color w:val="000000"/>
                <w:sz w:val="16"/>
                <w:szCs w:val="21"/>
                <w:lang w:eastAsia="en-AU"/>
              </w:rPr>
              <w:t>Variance to revised budget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 w:val="16"/>
                <w:szCs w:val="21"/>
                <w:lang w:eastAsia="en-AU"/>
              </w:rPr>
            </w:pPr>
            <w:r w:rsidRPr="00EC2897">
              <w:rPr>
                <w:rFonts w:eastAsiaTheme="minorEastAsia" w:cs="Calibri"/>
                <w:color w:val="000000"/>
                <w:sz w:val="16"/>
                <w:szCs w:val="21"/>
                <w:lang w:eastAsia="en-AU"/>
              </w:rPr>
              <w:t>Balance at 1 July 2016</w:t>
            </w:r>
            <w:r>
              <w:rPr>
                <w:rFonts w:eastAsiaTheme="minorEastAsia" w:cs="Calibri"/>
                <w:color w:val="000000"/>
                <w:sz w:val="16"/>
                <w:szCs w:val="21"/>
                <w:vertAlign w:val="superscript"/>
                <w:lang w:eastAsia="en-AU"/>
              </w:rPr>
              <w:t xml:space="preserve"> (a)</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EC2897">
              <w:rPr>
                <w:rFonts w:eastAsiaTheme="minorEastAsia" w:cs="Calibri"/>
                <w:color w:val="000000"/>
                <w:sz w:val="16"/>
                <w:szCs w:val="21"/>
                <w:lang w:eastAsia="en-AU"/>
              </w:rPr>
              <w:t>103</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EC2897">
              <w:rPr>
                <w:rFonts w:eastAsiaTheme="minorEastAsia" w:cs="Calibri"/>
                <w:color w:val="000000"/>
                <w:sz w:val="16"/>
                <w:szCs w:val="21"/>
                <w:lang w:eastAsia="en-AU"/>
              </w:rPr>
              <w:t>103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 w:val="16"/>
                <w:szCs w:val="20"/>
                <w:lang w:eastAsia="en-AU"/>
              </w:rPr>
            </w:pPr>
            <w:r w:rsidRPr="00EC2897">
              <w:rPr>
                <w:rFonts w:eastAsiaTheme="minorEastAsia" w:cs="Calibri"/>
                <w:color w:val="000000"/>
                <w:sz w:val="16"/>
                <w:szCs w:val="21"/>
                <w:lang w:eastAsia="en-AU"/>
              </w:rPr>
              <w:t xml:space="preserve">Net result for </w:t>
            </w:r>
            <w:r w:rsidRPr="00EC2897">
              <w:rPr>
                <w:rFonts w:eastAsiaTheme="minorEastAsia" w:cs="Calibri"/>
                <w:color w:val="000000"/>
                <w:sz w:val="16"/>
                <w:szCs w:val="20"/>
                <w:lang w:eastAsia="en-AU"/>
              </w:rPr>
              <w:t>the year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1 510</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1 510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 w:val="16"/>
                <w:szCs w:val="21"/>
                <w:lang w:eastAsia="en-AU"/>
              </w:rPr>
            </w:pPr>
            <w:r w:rsidRPr="00EC2897">
              <w:rPr>
                <w:rFonts w:eastAsiaTheme="minorEastAsia" w:cs="Calibri"/>
                <w:color w:val="000000"/>
                <w:sz w:val="16"/>
                <w:szCs w:val="21"/>
                <w:lang w:eastAsia="en-AU"/>
              </w:rPr>
              <w:t>Other comprehensive income for the year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EC2897">
              <w:rPr>
                <w:rFonts w:eastAsiaTheme="minorEastAsia" w:cs="Calibri"/>
                <w:color w:val="000000"/>
                <w:sz w:val="16"/>
                <w:szCs w:val="21"/>
                <w:lang w:eastAsia="en-AU"/>
              </w:rPr>
              <w:t>352</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2 883</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2 817</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EC2897">
              <w:rPr>
                <w:rFonts w:eastAsiaTheme="minorEastAsia" w:cs="Calibri"/>
                <w:color w:val="000000"/>
                <w:sz w:val="16"/>
                <w:szCs w:val="21"/>
                <w:lang w:eastAsia="en-AU"/>
              </w:rPr>
              <w:t>132</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6 185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 w:val="16"/>
                <w:szCs w:val="14"/>
                <w:lang w:eastAsia="en-AU"/>
              </w:rPr>
            </w:pPr>
            <w:r w:rsidRPr="00EC2897">
              <w:rPr>
                <w:rFonts w:eastAsiaTheme="minorEastAsia" w:cs="Calibri"/>
                <w:color w:val="000000"/>
                <w:sz w:val="16"/>
                <w:szCs w:val="21"/>
                <w:lang w:eastAsia="en-AU"/>
              </w:rPr>
              <w:t>Transfer to/(from) accumulated surplus</w:t>
            </w:r>
            <w:r w:rsidRPr="00EC2897">
              <w:rPr>
                <w:rFonts w:eastAsiaTheme="minorEastAsia" w:cs="Calibri"/>
                <w:color w:val="000000"/>
                <w:sz w:val="16"/>
                <w:szCs w:val="14"/>
                <w:lang w:eastAsia="en-AU"/>
              </w:rPr>
              <w:t xml:space="preserve"> </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(97)</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EC2897">
              <w:rPr>
                <w:rFonts w:eastAsiaTheme="minorEastAsia" w:cs="Calibri"/>
                <w:color w:val="000000"/>
                <w:sz w:val="16"/>
                <w:szCs w:val="21"/>
                <w:lang w:eastAsia="en-AU"/>
              </w:rPr>
              <w:t>97</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 w:val="16"/>
                <w:szCs w:val="21"/>
                <w:lang w:eastAsia="en-AU"/>
              </w:rPr>
            </w:pPr>
            <w:r w:rsidRPr="00EC2897">
              <w:rPr>
                <w:rFonts w:eastAsiaTheme="minorEastAsia" w:cs="Calibri"/>
                <w:color w:val="000000"/>
                <w:sz w:val="16"/>
                <w:szCs w:val="21"/>
                <w:lang w:eastAsia="en-AU"/>
              </w:rPr>
              <w:t>Transactions with owners in their capacity as owners</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r w:rsidRPr="00EC2897">
              <w:rPr>
                <w:rFonts w:eastAsiaTheme="minorEastAsia" w:cs="Calibri"/>
                <w:color w:val="000000"/>
                <w:sz w:val="16"/>
                <w:szCs w:val="21"/>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r w:rsidRPr="00EC2897">
              <w:rPr>
                <w:rFonts w:eastAsiaTheme="minorEastAsia" w:cs="Calibri"/>
                <w:color w:val="000000"/>
                <w:sz w:val="16"/>
                <w:szCs w:val="21"/>
                <w:lang w:eastAsia="en-AU"/>
              </w:rPr>
              <w:t xml:space="preserve"> </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r w:rsidRPr="00EC2897">
              <w:rPr>
                <w:rFonts w:eastAsiaTheme="minorEastAsia" w:cs="Calibri"/>
                <w:color w:val="000000"/>
                <w:sz w:val="16"/>
                <w:szCs w:val="21"/>
                <w:lang w:eastAsia="en-AU"/>
              </w:rPr>
              <w:t xml:space="preserve"> </w:t>
            </w:r>
          </w:p>
        </w:tc>
        <w:tc>
          <w:tcPr>
            <w:tcW w:w="17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r w:rsidRPr="00EC2897">
              <w:rPr>
                <w:rFonts w:eastAsiaTheme="minorEastAsia" w:cs="Calibri"/>
                <w:color w:val="000000"/>
                <w:sz w:val="16"/>
                <w:szCs w:val="21"/>
                <w:lang w:eastAsia="en-AU"/>
              </w:rPr>
              <w:t xml:space="preserve"> </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r w:rsidRPr="00EC2897">
              <w:rPr>
                <w:rFonts w:eastAsiaTheme="minorEastAsia" w:cs="Calibri"/>
                <w:color w:val="000000"/>
                <w:sz w:val="16"/>
                <w:szCs w:val="21"/>
                <w:lang w:eastAsia="en-AU"/>
              </w:rPr>
              <w:t xml:space="preserve"> </w:t>
            </w:r>
          </w:p>
        </w:tc>
        <w:tc>
          <w:tcPr>
            <w:tcW w:w="96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r w:rsidRPr="00EC2897">
              <w:rPr>
                <w:rFonts w:eastAsiaTheme="minorEastAsia" w:cs="Calibri"/>
                <w:color w:val="000000"/>
                <w:sz w:val="16"/>
                <w:szCs w:val="21"/>
                <w:lang w:eastAsia="en-AU"/>
              </w:rPr>
              <w:t xml:space="preserve"> </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rPr>
                <w:rFonts w:eastAsiaTheme="minorEastAsia" w:cs="Calibri"/>
                <w:bCs/>
                <w:color w:val="000000"/>
                <w:sz w:val="16"/>
                <w:szCs w:val="21"/>
                <w:lang w:eastAsia="en-AU"/>
              </w:rPr>
            </w:pPr>
            <w:r w:rsidRPr="00EC2897">
              <w:rPr>
                <w:rFonts w:eastAsiaTheme="minorEastAsia" w:cs="Calibri"/>
                <w:bCs/>
                <w:color w:val="000000"/>
                <w:sz w:val="16"/>
                <w:szCs w:val="21"/>
                <w:lang w:eastAsia="en-AU"/>
              </w:rPr>
              <w:t>Total equity as at 30 June 2017</w:t>
            </w:r>
          </w:p>
        </w:tc>
        <w:tc>
          <w:tcPr>
            <w:tcW w:w="1417"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1 868</w:t>
            </w:r>
          </w:p>
        </w:tc>
        <w:tc>
          <w:tcPr>
            <w:tcW w:w="1559"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w:t>
            </w:r>
          </w:p>
        </w:tc>
        <w:tc>
          <w:tcPr>
            <w:tcW w:w="1843"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2 981</w:t>
            </w:r>
          </w:p>
        </w:tc>
        <w:tc>
          <w:tcPr>
            <w:tcW w:w="1701"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2 817</w:t>
            </w:r>
          </w:p>
        </w:tc>
        <w:tc>
          <w:tcPr>
            <w:tcW w:w="1417"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sidRPr="00EC2897">
              <w:rPr>
                <w:rFonts w:eastAsiaTheme="minorEastAsia" w:cs="Calibri"/>
                <w:bCs/>
                <w:color w:val="000000"/>
                <w:sz w:val="16"/>
                <w:szCs w:val="21"/>
                <w:lang w:eastAsia="en-AU"/>
              </w:rPr>
              <w:t>132</w:t>
            </w:r>
          </w:p>
        </w:tc>
        <w:tc>
          <w:tcPr>
            <w:tcW w:w="964"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7 798</w:t>
            </w:r>
          </w:p>
        </w:tc>
      </w:tr>
    </w:tbl>
    <w:p w:rsidR="00BB6F1F" w:rsidRDefault="00BB6F1F" w:rsidP="00AC68FF">
      <w:pPr>
        <w:pStyle w:val="Note"/>
      </w:pPr>
      <w:r>
        <w:t>Note:</w:t>
      </w:r>
    </w:p>
    <w:p w:rsidR="00BB6F1F" w:rsidRDefault="00BB6F1F" w:rsidP="00AC68FF">
      <w:pPr>
        <w:pStyle w:val="Note"/>
      </w:pPr>
      <w:r>
        <w:t>(a</w:t>
      </w:r>
      <w:r w:rsidRPr="004E06C4">
        <w:t>)</w:t>
      </w:r>
      <w:r w:rsidRPr="004E06C4">
        <w:tab/>
      </w:r>
      <w:r w:rsidRPr="00181405">
        <w:t xml:space="preserve">June 2016 comparative figures have been restated to reflect an adjustment to the Department of Environment, Land, Water and Planning's intangible produced assets and </w:t>
      </w:r>
      <w:r>
        <w:t xml:space="preserve">opening </w:t>
      </w:r>
      <w:r w:rsidRPr="00181405">
        <w:t xml:space="preserve">accumulated </w:t>
      </w:r>
      <w:r>
        <w:t>surplu</w:t>
      </w:r>
      <w:r w:rsidR="006C76DC">
        <w:t>s</w:t>
      </w:r>
      <w:r>
        <w:t>/(deficit)</w:t>
      </w:r>
      <w:r w:rsidRPr="00181405">
        <w:t xml:space="preserve"> balances due to the </w:t>
      </w:r>
      <w:r>
        <w:t xml:space="preserve">first-time </w:t>
      </w:r>
      <w:r w:rsidRPr="00181405">
        <w:t>recognition of Renewable Energy Certificates.  </w:t>
      </w:r>
      <w:r>
        <w:br w:type="page"/>
      </w:r>
    </w:p>
    <w:p w:rsidR="00BB6F1F" w:rsidRDefault="00BB6F1F" w:rsidP="00AC68FF">
      <w:pPr>
        <w:pStyle w:val="Note"/>
        <w:sectPr w:rsidR="00BB6F1F" w:rsidSect="00AC68FF">
          <w:headerReference w:type="even" r:id="rId127"/>
          <w:headerReference w:type="default" r:id="rId128"/>
          <w:footerReference w:type="even" r:id="rId129"/>
          <w:footerReference w:type="default" r:id="rId130"/>
          <w:pgSz w:w="16839" w:h="11907" w:orient="landscape" w:code="9"/>
          <w:pgMar w:top="1134" w:right="1134" w:bottom="1134" w:left="1134" w:header="624" w:footer="567" w:gutter="0"/>
          <w:cols w:sep="1" w:space="567"/>
          <w:docGrid w:linePitch="360"/>
        </w:sectPr>
      </w:pPr>
    </w:p>
    <w:p w:rsidR="00BB6F1F" w:rsidRDefault="00BB6F1F" w:rsidP="00BB6F1F">
      <w:pPr>
        <w:pStyle w:val="Heading2"/>
        <w:numPr>
          <w:ilvl w:val="1"/>
          <w:numId w:val="24"/>
        </w:numPr>
      </w:pPr>
      <w:bookmarkStart w:id="61" w:name="_Toc492984918"/>
      <w:r>
        <w:lastRenderedPageBreak/>
        <w:t>Public Account disclosures</w:t>
      </w:r>
      <w:bookmarkEnd w:id="61"/>
    </w:p>
    <w:p w:rsidR="00BB6F1F" w:rsidRDefault="00BB6F1F" w:rsidP="00AC68FF">
      <w:r>
        <w:t xml:space="preserve">The </w:t>
      </w:r>
      <w:r w:rsidRPr="004D3C1E">
        <w:rPr>
          <w:i/>
        </w:rPr>
        <w:t>Financial Management Act, No. 18 of 1994</w:t>
      </w:r>
      <w:r>
        <w:t xml:space="preserve"> (FMA) requires certain disclosures of information in respect of the transactions and balances of the Public Account.</w:t>
      </w:r>
    </w:p>
    <w:p w:rsidR="00BB6F1F" w:rsidRDefault="00BB6F1F" w:rsidP="00AC68FF">
      <w:r>
        <w:t xml:space="preserve">The Public Account is the Government’s official bank account. The Public Account holds the cash balances of the Consolidated Fund and the Trust Fund. </w:t>
      </w:r>
    </w:p>
    <w:p w:rsidR="00BB6F1F" w:rsidRDefault="00BB6F1F" w:rsidP="00AC68FF">
      <w:r>
        <w:t xml:space="preserve">The </w:t>
      </w:r>
      <w:r w:rsidRPr="004D3C1E">
        <w:rPr>
          <w:i/>
        </w:rPr>
        <w:t>Financial Management Act 1994</w:t>
      </w:r>
      <w:r>
        <w:t xml:space="preserve"> (FMA), among other things, also provides for:</w:t>
      </w:r>
    </w:p>
    <w:p w:rsidR="00BB6F1F" w:rsidRDefault="00BB6F1F" w:rsidP="00AC68FF">
      <w:pPr>
        <w:pStyle w:val="ListBullet"/>
      </w:pPr>
      <w:r>
        <w:t>temporary advances from the Public Account for a number of purposes related to the needs of the Government;</w:t>
      </w:r>
    </w:p>
    <w:p w:rsidR="00BB6F1F" w:rsidRDefault="00BB6F1F" w:rsidP="00AC68FF">
      <w:pPr>
        <w:pStyle w:val="ListBullet"/>
      </w:pPr>
      <w:r>
        <w:t>investment of the Public Account in trustee securities; and</w:t>
      </w:r>
    </w:p>
    <w:p w:rsidR="00BB6F1F" w:rsidRDefault="00BB6F1F" w:rsidP="00AC68FF">
      <w:pPr>
        <w:pStyle w:val="ListBullet"/>
      </w:pPr>
      <w:r>
        <w:t>temporary borrowings, should the balance in the Consolidated Fund be insufficient to meet commitments during a financial year.</w:t>
      </w:r>
    </w:p>
    <w:p w:rsidR="00BB6F1F" w:rsidRDefault="00BB6F1F" w:rsidP="00AC68FF">
      <w:pPr>
        <w:pStyle w:val="Heading30"/>
      </w:pPr>
      <w:r>
        <w:t>Consolidated Fund</w:t>
      </w:r>
    </w:p>
    <w:p w:rsidR="00BB6F1F" w:rsidRDefault="00BB6F1F" w:rsidP="00AC68FF">
      <w:r>
        <w:t xml:space="preserve">The Consolidated Fund established by the FMA is the Government’s primary financial account and receives all consolidated revenue under the </w:t>
      </w:r>
      <w:r w:rsidRPr="008462EC">
        <w:rPr>
          <w:i/>
        </w:rPr>
        <w:t>Constitution Act 1975</w:t>
      </w:r>
      <w:r>
        <w:t xml:space="preserve"> from which payments, appropriated by Parliament, are made.</w:t>
      </w:r>
    </w:p>
    <w:p w:rsidR="00BB6F1F" w:rsidRDefault="00BB6F1F" w:rsidP="00AC68FF">
      <w:pPr>
        <w:pStyle w:val="Heading30"/>
      </w:pPr>
      <w:r>
        <w:t>Trust Fund</w:t>
      </w:r>
    </w:p>
    <w:p w:rsidR="00BB6F1F" w:rsidRDefault="00BB6F1F" w:rsidP="00AC68FF">
      <w:r>
        <w:t>Within the Public Account, the Trust Fund embraces a range of specific purpose accounts established for funds that are not subject to parliamentary appropriation. Examples include accounts to record specific purpose payments from the Commonwealth for on passing by the State to third parties, suspense account balances for accounting purposes, working accounts for commercial and departmental service units, and accounts facilitating the receipt and disbursement of other funds held by the State in trust. Additional accounts may also be established within the Trust Fund by legislation to receive State revenues hypothecated to particular purposes (e.g. lotteries revenue for hospitals and charities).</w:t>
      </w:r>
    </w:p>
    <w:p w:rsidR="00BB6F1F" w:rsidRDefault="00BB6F1F" w:rsidP="00AC68FF">
      <w:pPr>
        <w:pStyle w:val="Heading30"/>
      </w:pPr>
      <w:r>
        <w:br w:type="column"/>
      </w:r>
      <w:r>
        <w:lastRenderedPageBreak/>
        <w:t>Structure of Public Account disclosure</w:t>
      </w:r>
    </w:p>
    <w:p w:rsidR="00BB6F1F" w:rsidRDefault="00BB6F1F">
      <w:pPr>
        <w:pStyle w:val="TOC9"/>
        <w:rPr>
          <w:rFonts w:eastAsiaTheme="minorEastAsia"/>
          <w:noProof/>
          <w:spacing w:val="0"/>
          <w:lang w:eastAsia="en-AU"/>
        </w:rPr>
      </w:pPr>
      <w:r w:rsidRPr="00E23D04">
        <w:fldChar w:fldCharType="begin"/>
      </w:r>
      <w:r w:rsidRPr="00E23D04">
        <w:instrText xml:space="preserve"> TOC \h \z \t "Heading 3 (#),9" \b Public_Account \* MERGEFORMAT </w:instrText>
      </w:r>
      <w:r w:rsidRPr="00E23D04">
        <w:fldChar w:fldCharType="separate"/>
      </w:r>
      <w:hyperlink w:anchor="_Toc492984929" w:history="1">
        <w:r w:rsidRPr="009D3A61">
          <w:rPr>
            <w:rStyle w:val="Hyperlink"/>
            <w:noProof/>
          </w:rPr>
          <w:t>8.2.1</w:t>
        </w:r>
        <w:r>
          <w:rPr>
            <w:rFonts w:eastAsiaTheme="minorEastAsia"/>
            <w:noProof/>
            <w:spacing w:val="0"/>
            <w:lang w:eastAsia="en-AU"/>
          </w:rPr>
          <w:tab/>
        </w:r>
        <w:r w:rsidRPr="009D3A61">
          <w:rPr>
            <w:rStyle w:val="Hyperlink"/>
            <w:noProof/>
          </w:rPr>
          <w:t>Summarised consolidated fund receipts and payments for the financial year ended 30</w:t>
        </w:r>
        <w:r w:rsidR="00A441A5">
          <w:rPr>
            <w:rStyle w:val="Hyperlink"/>
            <w:noProof/>
          </w:rPr>
          <w:t> </w:t>
        </w:r>
        <w:r w:rsidRPr="009D3A61">
          <w:rPr>
            <w:rStyle w:val="Hyperlink"/>
            <w:noProof/>
          </w:rPr>
          <w:t>June</w:t>
        </w:r>
        <w:r>
          <w:rPr>
            <w:noProof/>
            <w:webHidden/>
          </w:rPr>
          <w:tab/>
        </w:r>
        <w:r>
          <w:rPr>
            <w:noProof/>
            <w:webHidden/>
          </w:rPr>
          <w:fldChar w:fldCharType="begin"/>
        </w:r>
        <w:r>
          <w:rPr>
            <w:noProof/>
            <w:webHidden/>
          </w:rPr>
          <w:instrText xml:space="preserve"> PAGEREF _Toc492984929 \h </w:instrText>
        </w:r>
        <w:r>
          <w:rPr>
            <w:noProof/>
            <w:webHidden/>
          </w:rPr>
        </w:r>
        <w:r>
          <w:rPr>
            <w:noProof/>
            <w:webHidden/>
          </w:rPr>
          <w:fldChar w:fldCharType="separate"/>
        </w:r>
        <w:r w:rsidR="002C7F26">
          <w:rPr>
            <w:noProof/>
            <w:webHidden/>
          </w:rPr>
          <w:t>117</w:t>
        </w:r>
        <w:r>
          <w:rPr>
            <w:noProof/>
            <w:webHidden/>
          </w:rPr>
          <w:fldChar w:fldCharType="end"/>
        </w:r>
      </w:hyperlink>
    </w:p>
    <w:p w:rsidR="00BB6F1F" w:rsidRDefault="00E73501">
      <w:pPr>
        <w:pStyle w:val="TOC9"/>
        <w:rPr>
          <w:rFonts w:eastAsiaTheme="minorEastAsia"/>
          <w:noProof/>
          <w:spacing w:val="0"/>
          <w:lang w:eastAsia="en-AU"/>
        </w:rPr>
      </w:pPr>
      <w:hyperlink w:anchor="_Toc492984930" w:history="1">
        <w:r w:rsidR="00BB6F1F" w:rsidRPr="009D3A61">
          <w:rPr>
            <w:rStyle w:val="Hyperlink"/>
            <w:noProof/>
            <w:lang w:val="en-US"/>
          </w:rPr>
          <w:t>8.2.2</w:t>
        </w:r>
        <w:r w:rsidR="00BB6F1F">
          <w:rPr>
            <w:rFonts w:eastAsiaTheme="minorEastAsia"/>
            <w:noProof/>
            <w:spacing w:val="0"/>
            <w:lang w:eastAsia="en-AU"/>
          </w:rPr>
          <w:tab/>
        </w:r>
        <w:r w:rsidR="00BB6F1F" w:rsidRPr="009D3A61">
          <w:rPr>
            <w:rStyle w:val="Hyperlink"/>
            <w:noProof/>
          </w:rPr>
          <w:t>Consolidated fund receipts for t</w:t>
        </w:r>
        <w:r w:rsidR="00BB6F1F">
          <w:rPr>
            <w:rStyle w:val="Hyperlink"/>
            <w:noProof/>
          </w:rPr>
          <w:t>he financial year ended 30 June</w:t>
        </w:r>
        <w:r w:rsidR="00BB6F1F">
          <w:rPr>
            <w:noProof/>
            <w:webHidden/>
          </w:rPr>
          <w:tab/>
        </w:r>
        <w:r w:rsidR="00BB6F1F">
          <w:rPr>
            <w:noProof/>
            <w:webHidden/>
          </w:rPr>
          <w:fldChar w:fldCharType="begin"/>
        </w:r>
        <w:r w:rsidR="00BB6F1F">
          <w:rPr>
            <w:noProof/>
            <w:webHidden/>
          </w:rPr>
          <w:instrText xml:space="preserve"> PAGEREF _Toc492984930 \h </w:instrText>
        </w:r>
        <w:r w:rsidR="00BB6F1F">
          <w:rPr>
            <w:noProof/>
            <w:webHidden/>
          </w:rPr>
        </w:r>
        <w:r w:rsidR="00BB6F1F">
          <w:rPr>
            <w:noProof/>
            <w:webHidden/>
          </w:rPr>
          <w:fldChar w:fldCharType="separate"/>
        </w:r>
        <w:r w:rsidR="002C7F26">
          <w:rPr>
            <w:noProof/>
            <w:webHidden/>
          </w:rPr>
          <w:t>119</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931" w:history="1">
        <w:r w:rsidR="00BB6F1F" w:rsidRPr="009D3A61">
          <w:rPr>
            <w:rStyle w:val="Hyperlink"/>
            <w:noProof/>
          </w:rPr>
          <w:t>8.2.3</w:t>
        </w:r>
        <w:r w:rsidR="00BB6F1F">
          <w:rPr>
            <w:rFonts w:eastAsiaTheme="minorEastAsia"/>
            <w:noProof/>
            <w:spacing w:val="0"/>
            <w:lang w:eastAsia="en-AU"/>
          </w:rPr>
          <w:tab/>
        </w:r>
        <w:r w:rsidR="00BB6F1F" w:rsidRPr="009D3A61">
          <w:rPr>
            <w:rStyle w:val="Hyperlink"/>
            <w:noProof/>
          </w:rPr>
          <w:t>Trust fund cash flow statement for the financial year ended 30 June</w:t>
        </w:r>
        <w:r w:rsidR="00BB6F1F">
          <w:rPr>
            <w:noProof/>
            <w:webHidden/>
          </w:rPr>
          <w:tab/>
        </w:r>
        <w:r w:rsidR="00BB6F1F">
          <w:rPr>
            <w:noProof/>
            <w:webHidden/>
          </w:rPr>
          <w:fldChar w:fldCharType="begin"/>
        </w:r>
        <w:r w:rsidR="00BB6F1F">
          <w:rPr>
            <w:noProof/>
            <w:webHidden/>
          </w:rPr>
          <w:instrText xml:space="preserve"> PAGEREF _Toc492984931 \h </w:instrText>
        </w:r>
        <w:r w:rsidR="00BB6F1F">
          <w:rPr>
            <w:noProof/>
            <w:webHidden/>
          </w:rPr>
        </w:r>
        <w:r w:rsidR="00BB6F1F">
          <w:rPr>
            <w:noProof/>
            <w:webHidden/>
          </w:rPr>
          <w:fldChar w:fldCharType="separate"/>
        </w:r>
        <w:r w:rsidR="002C7F26">
          <w:rPr>
            <w:noProof/>
            <w:webHidden/>
          </w:rPr>
          <w:t>120</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932" w:history="1">
        <w:r w:rsidR="00BB6F1F" w:rsidRPr="009D3A61">
          <w:rPr>
            <w:rStyle w:val="Hyperlink"/>
            <w:noProof/>
            <w:lang w:val="en-US"/>
          </w:rPr>
          <w:t>8.2.4</w:t>
        </w:r>
        <w:r w:rsidR="00BB6F1F">
          <w:rPr>
            <w:rFonts w:eastAsiaTheme="minorEastAsia"/>
            <w:noProof/>
            <w:spacing w:val="0"/>
            <w:lang w:eastAsia="en-AU"/>
          </w:rPr>
          <w:tab/>
        </w:r>
        <w:r w:rsidR="00BB6F1F" w:rsidRPr="009D3A61">
          <w:rPr>
            <w:rStyle w:val="Hyperlink"/>
            <w:noProof/>
          </w:rPr>
          <w:t>Trust fund summary for the financial year ended 30 June</w:t>
        </w:r>
        <w:r w:rsidR="00BB6F1F">
          <w:rPr>
            <w:noProof/>
            <w:webHidden/>
          </w:rPr>
          <w:tab/>
        </w:r>
        <w:r w:rsidR="00BB6F1F">
          <w:rPr>
            <w:noProof/>
            <w:webHidden/>
          </w:rPr>
          <w:fldChar w:fldCharType="begin"/>
        </w:r>
        <w:r w:rsidR="00BB6F1F">
          <w:rPr>
            <w:noProof/>
            <w:webHidden/>
          </w:rPr>
          <w:instrText xml:space="preserve"> PAGEREF _Toc492984932 \h </w:instrText>
        </w:r>
        <w:r w:rsidR="00BB6F1F">
          <w:rPr>
            <w:noProof/>
            <w:webHidden/>
          </w:rPr>
        </w:r>
        <w:r w:rsidR="00BB6F1F">
          <w:rPr>
            <w:noProof/>
            <w:webHidden/>
          </w:rPr>
          <w:fldChar w:fldCharType="separate"/>
        </w:r>
        <w:r w:rsidR="002C7F26">
          <w:rPr>
            <w:noProof/>
            <w:webHidden/>
          </w:rPr>
          <w:t>121</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933" w:history="1">
        <w:r w:rsidR="00BB6F1F" w:rsidRPr="009D3A61">
          <w:rPr>
            <w:rStyle w:val="Hyperlink"/>
            <w:noProof/>
          </w:rPr>
          <w:t>8.2.5</w:t>
        </w:r>
        <w:r w:rsidR="00BB6F1F">
          <w:rPr>
            <w:rFonts w:eastAsiaTheme="minorEastAsia"/>
            <w:noProof/>
            <w:spacing w:val="0"/>
            <w:lang w:eastAsia="en-AU"/>
          </w:rPr>
          <w:tab/>
        </w:r>
        <w:r w:rsidR="00BB6F1F" w:rsidRPr="009D3A61">
          <w:rPr>
            <w:rStyle w:val="Hyperlink"/>
            <w:noProof/>
          </w:rPr>
          <w:t>Reconciliation of cash flows to balances held</w:t>
        </w:r>
        <w:r w:rsidR="00BB6F1F">
          <w:rPr>
            <w:noProof/>
            <w:webHidden/>
          </w:rPr>
          <w:tab/>
        </w:r>
        <w:r w:rsidR="00BB6F1F">
          <w:rPr>
            <w:noProof/>
            <w:webHidden/>
          </w:rPr>
          <w:fldChar w:fldCharType="begin"/>
        </w:r>
        <w:r w:rsidR="00BB6F1F">
          <w:rPr>
            <w:noProof/>
            <w:webHidden/>
          </w:rPr>
          <w:instrText xml:space="preserve"> PAGEREF _Toc492984933 \h </w:instrText>
        </w:r>
        <w:r w:rsidR="00BB6F1F">
          <w:rPr>
            <w:noProof/>
            <w:webHidden/>
          </w:rPr>
        </w:r>
        <w:r w:rsidR="00BB6F1F">
          <w:rPr>
            <w:noProof/>
            <w:webHidden/>
          </w:rPr>
          <w:fldChar w:fldCharType="separate"/>
        </w:r>
        <w:r w:rsidR="002C7F26">
          <w:rPr>
            <w:noProof/>
            <w:webHidden/>
          </w:rPr>
          <w:t>121</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934" w:history="1">
        <w:r w:rsidR="00BB6F1F" w:rsidRPr="009D3A61">
          <w:rPr>
            <w:rStyle w:val="Hyperlink"/>
            <w:noProof/>
          </w:rPr>
          <w:t>8.2.6</w:t>
        </w:r>
        <w:r w:rsidR="00BB6F1F">
          <w:rPr>
            <w:rFonts w:eastAsiaTheme="minorEastAsia"/>
            <w:noProof/>
            <w:spacing w:val="0"/>
            <w:lang w:eastAsia="en-AU"/>
          </w:rPr>
          <w:tab/>
        </w:r>
        <w:r w:rsidR="00BB6F1F" w:rsidRPr="009D3A61">
          <w:rPr>
            <w:rStyle w:val="Hyperlink"/>
            <w:noProof/>
          </w:rPr>
          <w:t>Details of securities held and included in the balances at 30 June</w:t>
        </w:r>
        <w:r w:rsidR="00BB6F1F">
          <w:rPr>
            <w:noProof/>
            <w:webHidden/>
          </w:rPr>
          <w:tab/>
        </w:r>
        <w:r w:rsidR="00BB6F1F">
          <w:rPr>
            <w:noProof/>
            <w:webHidden/>
          </w:rPr>
          <w:fldChar w:fldCharType="begin"/>
        </w:r>
        <w:r w:rsidR="00BB6F1F">
          <w:rPr>
            <w:noProof/>
            <w:webHidden/>
          </w:rPr>
          <w:instrText xml:space="preserve"> PAGEREF _Toc492984934 \h </w:instrText>
        </w:r>
        <w:r w:rsidR="00BB6F1F">
          <w:rPr>
            <w:noProof/>
            <w:webHidden/>
          </w:rPr>
        </w:r>
        <w:r w:rsidR="00BB6F1F">
          <w:rPr>
            <w:noProof/>
            <w:webHidden/>
          </w:rPr>
          <w:fldChar w:fldCharType="separate"/>
        </w:r>
        <w:r w:rsidR="002C7F26">
          <w:rPr>
            <w:noProof/>
            <w:webHidden/>
          </w:rPr>
          <w:t>122</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935" w:history="1">
        <w:r w:rsidR="00BB6F1F" w:rsidRPr="009D3A61">
          <w:rPr>
            <w:rStyle w:val="Hyperlink"/>
            <w:noProof/>
            <w:lang w:val="en-US"/>
          </w:rPr>
          <w:t>8.2.7</w:t>
        </w:r>
        <w:r w:rsidR="00BB6F1F">
          <w:rPr>
            <w:rFonts w:eastAsiaTheme="minorEastAsia"/>
            <w:noProof/>
            <w:spacing w:val="0"/>
            <w:lang w:eastAsia="en-AU"/>
          </w:rPr>
          <w:tab/>
        </w:r>
        <w:r w:rsidR="00BB6F1F" w:rsidRPr="009D3A61">
          <w:rPr>
            <w:rStyle w:val="Hyperlink"/>
            <w:noProof/>
          </w:rPr>
          <w:t>Consolidated Fund payments: special appropriations</w:t>
        </w:r>
        <w:r w:rsidR="00BB6F1F">
          <w:rPr>
            <w:noProof/>
            <w:webHidden/>
          </w:rPr>
          <w:tab/>
        </w:r>
        <w:r w:rsidR="00BB6F1F">
          <w:rPr>
            <w:noProof/>
            <w:webHidden/>
          </w:rPr>
          <w:fldChar w:fldCharType="begin"/>
        </w:r>
        <w:r w:rsidR="00BB6F1F">
          <w:rPr>
            <w:noProof/>
            <w:webHidden/>
          </w:rPr>
          <w:instrText xml:space="preserve"> PAGEREF _Toc492984935 \h </w:instrText>
        </w:r>
        <w:r w:rsidR="00BB6F1F">
          <w:rPr>
            <w:noProof/>
            <w:webHidden/>
          </w:rPr>
        </w:r>
        <w:r w:rsidR="00BB6F1F">
          <w:rPr>
            <w:noProof/>
            <w:webHidden/>
          </w:rPr>
          <w:fldChar w:fldCharType="separate"/>
        </w:r>
        <w:r w:rsidR="002C7F26">
          <w:rPr>
            <w:noProof/>
            <w:webHidden/>
          </w:rPr>
          <w:t>122</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936" w:history="1">
        <w:r w:rsidR="00BB6F1F" w:rsidRPr="009D3A61">
          <w:rPr>
            <w:rStyle w:val="Hyperlink"/>
            <w:noProof/>
          </w:rPr>
          <w:t>8.2.8</w:t>
        </w:r>
        <w:r w:rsidR="00BB6F1F">
          <w:rPr>
            <w:rFonts w:eastAsiaTheme="minorEastAsia"/>
            <w:noProof/>
            <w:spacing w:val="0"/>
            <w:lang w:eastAsia="en-AU"/>
          </w:rPr>
          <w:tab/>
        </w:r>
        <w:r w:rsidR="00BB6F1F" w:rsidRPr="009D3A61">
          <w:rPr>
            <w:rStyle w:val="Hyperlink"/>
            <w:noProof/>
          </w:rPr>
          <w:t>Consolidated Fund payments: annual appropriations</w:t>
        </w:r>
        <w:r w:rsidR="00BB6F1F">
          <w:rPr>
            <w:noProof/>
            <w:webHidden/>
          </w:rPr>
          <w:tab/>
        </w:r>
        <w:r w:rsidR="00BB6F1F">
          <w:rPr>
            <w:noProof/>
            <w:webHidden/>
          </w:rPr>
          <w:fldChar w:fldCharType="begin"/>
        </w:r>
        <w:r w:rsidR="00BB6F1F">
          <w:rPr>
            <w:noProof/>
            <w:webHidden/>
          </w:rPr>
          <w:instrText xml:space="preserve"> PAGEREF _Toc492984936 \h </w:instrText>
        </w:r>
        <w:r w:rsidR="00BB6F1F">
          <w:rPr>
            <w:noProof/>
            <w:webHidden/>
          </w:rPr>
        </w:r>
        <w:r w:rsidR="00BB6F1F">
          <w:rPr>
            <w:noProof/>
            <w:webHidden/>
          </w:rPr>
          <w:fldChar w:fldCharType="separate"/>
        </w:r>
        <w:r w:rsidR="002C7F26">
          <w:rPr>
            <w:noProof/>
            <w:webHidden/>
          </w:rPr>
          <w:t>123</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937" w:history="1">
        <w:r w:rsidR="00BB6F1F" w:rsidRPr="009D3A61">
          <w:rPr>
            <w:rStyle w:val="Hyperlink"/>
            <w:noProof/>
          </w:rPr>
          <w:t>8.2.9</w:t>
        </w:r>
        <w:r w:rsidR="00BB6F1F">
          <w:rPr>
            <w:rFonts w:eastAsiaTheme="minorEastAsia"/>
            <w:noProof/>
            <w:spacing w:val="0"/>
            <w:lang w:eastAsia="en-AU"/>
          </w:rPr>
          <w:tab/>
        </w:r>
        <w:r w:rsidR="00BB6F1F" w:rsidRPr="009D3A61">
          <w:rPr>
            <w:rStyle w:val="Hyperlink"/>
            <w:noProof/>
          </w:rPr>
          <w:t xml:space="preserve">Amounts paid into working accounts pursuant to Section 23 of the </w:t>
        </w:r>
        <w:r w:rsidR="00BB6F1F" w:rsidRPr="009D3A61">
          <w:rPr>
            <w:rStyle w:val="Hyperlink"/>
            <w:i/>
            <w:noProof/>
          </w:rPr>
          <w:t>Financial Management Act 1994</w:t>
        </w:r>
        <w:r w:rsidR="00BB6F1F" w:rsidRPr="009D3A61">
          <w:rPr>
            <w:rStyle w:val="Hyperlink"/>
            <w:noProof/>
          </w:rPr>
          <w:t xml:space="preserve"> for the year ended 30 June</w:t>
        </w:r>
        <w:r w:rsidR="00BB6F1F">
          <w:rPr>
            <w:noProof/>
            <w:webHidden/>
          </w:rPr>
          <w:tab/>
        </w:r>
        <w:r w:rsidR="00BB6F1F">
          <w:rPr>
            <w:noProof/>
            <w:webHidden/>
          </w:rPr>
          <w:fldChar w:fldCharType="begin"/>
        </w:r>
        <w:r w:rsidR="00BB6F1F">
          <w:rPr>
            <w:noProof/>
            <w:webHidden/>
          </w:rPr>
          <w:instrText xml:space="preserve"> PAGEREF _Toc492984937 \h </w:instrText>
        </w:r>
        <w:r w:rsidR="00BB6F1F">
          <w:rPr>
            <w:noProof/>
            <w:webHidden/>
          </w:rPr>
        </w:r>
        <w:r w:rsidR="00BB6F1F">
          <w:rPr>
            <w:noProof/>
            <w:webHidden/>
          </w:rPr>
          <w:fldChar w:fldCharType="separate"/>
        </w:r>
        <w:r w:rsidR="002C7F26">
          <w:rPr>
            <w:noProof/>
            <w:webHidden/>
          </w:rPr>
          <w:t>123</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938" w:history="1">
        <w:r w:rsidR="00BB6F1F" w:rsidRPr="009D3A61">
          <w:rPr>
            <w:rStyle w:val="Hyperlink"/>
            <w:noProof/>
          </w:rPr>
          <w:t>8.2.10</w:t>
        </w:r>
        <w:r w:rsidR="00BB6F1F">
          <w:rPr>
            <w:rFonts w:eastAsiaTheme="minorEastAsia"/>
            <w:noProof/>
            <w:spacing w:val="0"/>
            <w:lang w:eastAsia="en-AU"/>
          </w:rPr>
          <w:tab/>
        </w:r>
        <w:r w:rsidR="00BB6F1F" w:rsidRPr="009D3A61">
          <w:rPr>
            <w:rStyle w:val="Hyperlink"/>
            <w:noProof/>
          </w:rPr>
          <w:t xml:space="preserve">Allocations pursuant to Section 28 of the </w:t>
        </w:r>
        <w:r w:rsidR="00BB6F1F" w:rsidRPr="009D3A61">
          <w:rPr>
            <w:rStyle w:val="Hyperlink"/>
            <w:i/>
            <w:noProof/>
          </w:rPr>
          <w:t>Financial Management Act 1994</w:t>
        </w:r>
        <w:r w:rsidR="00BB6F1F" w:rsidRPr="009D3A61">
          <w:rPr>
            <w:rStyle w:val="Hyperlink"/>
            <w:noProof/>
          </w:rPr>
          <w:t xml:space="preserve"> for the financial year ended 30 June</w:t>
        </w:r>
        <w:r w:rsidR="00BB6F1F">
          <w:rPr>
            <w:noProof/>
            <w:webHidden/>
          </w:rPr>
          <w:tab/>
        </w:r>
        <w:r w:rsidR="00BB6F1F">
          <w:rPr>
            <w:noProof/>
            <w:webHidden/>
          </w:rPr>
          <w:fldChar w:fldCharType="begin"/>
        </w:r>
        <w:r w:rsidR="00BB6F1F">
          <w:rPr>
            <w:noProof/>
            <w:webHidden/>
          </w:rPr>
          <w:instrText xml:space="preserve"> PAGEREF _Toc492984938 \h </w:instrText>
        </w:r>
        <w:r w:rsidR="00BB6F1F">
          <w:rPr>
            <w:noProof/>
            <w:webHidden/>
          </w:rPr>
        </w:r>
        <w:r w:rsidR="00BB6F1F">
          <w:rPr>
            <w:noProof/>
            <w:webHidden/>
          </w:rPr>
          <w:fldChar w:fldCharType="separate"/>
        </w:r>
        <w:r w:rsidR="002C7F26">
          <w:rPr>
            <w:noProof/>
            <w:webHidden/>
          </w:rPr>
          <w:t>123</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939" w:history="1">
        <w:r w:rsidR="00BB6F1F" w:rsidRPr="009D3A61">
          <w:rPr>
            <w:rStyle w:val="Hyperlink"/>
            <w:noProof/>
          </w:rPr>
          <w:t>8.2.11</w:t>
        </w:r>
        <w:r w:rsidR="00BB6F1F">
          <w:rPr>
            <w:rFonts w:eastAsiaTheme="minorEastAsia"/>
            <w:noProof/>
            <w:spacing w:val="0"/>
            <w:lang w:eastAsia="en-AU"/>
          </w:rPr>
          <w:tab/>
        </w:r>
        <w:r w:rsidR="00BB6F1F" w:rsidRPr="009D3A61">
          <w:rPr>
            <w:rStyle w:val="Hyperlink"/>
            <w:noProof/>
          </w:rPr>
          <w:t xml:space="preserve">Transfers pursuant to Sections 30 and 31 of the </w:t>
        </w:r>
        <w:r w:rsidR="00BB6F1F" w:rsidRPr="009D3A61">
          <w:rPr>
            <w:rStyle w:val="Hyperlink"/>
            <w:i/>
            <w:noProof/>
          </w:rPr>
          <w:t>Financial Management Act 1994</w:t>
        </w:r>
        <w:r w:rsidR="00BB6F1F" w:rsidRPr="009D3A61">
          <w:rPr>
            <w:rStyle w:val="Hyperlink"/>
            <w:noProof/>
          </w:rPr>
          <w:t xml:space="preserve"> for the financial year ended 30 June 2017</w:t>
        </w:r>
        <w:r w:rsidR="00BB6F1F">
          <w:rPr>
            <w:noProof/>
            <w:webHidden/>
          </w:rPr>
          <w:tab/>
        </w:r>
        <w:r w:rsidR="00BB6F1F">
          <w:rPr>
            <w:noProof/>
            <w:webHidden/>
          </w:rPr>
          <w:fldChar w:fldCharType="begin"/>
        </w:r>
        <w:r w:rsidR="00BB6F1F">
          <w:rPr>
            <w:noProof/>
            <w:webHidden/>
          </w:rPr>
          <w:instrText xml:space="preserve"> PAGEREF _Toc492984939 \h </w:instrText>
        </w:r>
        <w:r w:rsidR="00BB6F1F">
          <w:rPr>
            <w:noProof/>
            <w:webHidden/>
          </w:rPr>
        </w:r>
        <w:r w:rsidR="00BB6F1F">
          <w:rPr>
            <w:noProof/>
            <w:webHidden/>
          </w:rPr>
          <w:fldChar w:fldCharType="separate"/>
        </w:r>
        <w:r w:rsidR="002C7F26">
          <w:rPr>
            <w:noProof/>
            <w:webHidden/>
          </w:rPr>
          <w:t>124</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940" w:history="1">
        <w:r w:rsidR="00BB6F1F" w:rsidRPr="009D3A61">
          <w:rPr>
            <w:rStyle w:val="Hyperlink"/>
            <w:noProof/>
          </w:rPr>
          <w:t>8.2.12</w:t>
        </w:r>
        <w:r w:rsidR="00BB6F1F">
          <w:rPr>
            <w:rFonts w:eastAsiaTheme="minorEastAsia"/>
            <w:noProof/>
            <w:spacing w:val="0"/>
            <w:lang w:eastAsia="en-AU"/>
          </w:rPr>
          <w:tab/>
        </w:r>
        <w:r w:rsidR="00BB6F1F" w:rsidRPr="009D3A61">
          <w:rPr>
            <w:rStyle w:val="Hyperlink"/>
            <w:noProof/>
          </w:rPr>
          <w:t xml:space="preserve">Appropriation of revenue and asset sale proceeds pursuant to Section 29 of the </w:t>
        </w:r>
        <w:r w:rsidR="00BB6F1F" w:rsidRPr="009D3A61">
          <w:rPr>
            <w:rStyle w:val="Hyperlink"/>
            <w:i/>
            <w:noProof/>
          </w:rPr>
          <w:t>Financial Management Act 1994</w:t>
        </w:r>
        <w:r w:rsidR="00BB6F1F" w:rsidRPr="009D3A61">
          <w:rPr>
            <w:rStyle w:val="Hyperlink"/>
            <w:noProof/>
          </w:rPr>
          <w:t xml:space="preserve"> for the financial year ended 30 June 2017</w:t>
        </w:r>
        <w:r w:rsidR="00BB6F1F">
          <w:rPr>
            <w:noProof/>
            <w:webHidden/>
          </w:rPr>
          <w:tab/>
        </w:r>
        <w:r w:rsidR="00BB6F1F">
          <w:rPr>
            <w:noProof/>
            <w:webHidden/>
          </w:rPr>
          <w:fldChar w:fldCharType="begin"/>
        </w:r>
        <w:r w:rsidR="00BB6F1F">
          <w:rPr>
            <w:noProof/>
            <w:webHidden/>
          </w:rPr>
          <w:instrText xml:space="preserve"> PAGEREF _Toc492984940 \h </w:instrText>
        </w:r>
        <w:r w:rsidR="00BB6F1F">
          <w:rPr>
            <w:noProof/>
            <w:webHidden/>
          </w:rPr>
        </w:r>
        <w:r w:rsidR="00BB6F1F">
          <w:rPr>
            <w:noProof/>
            <w:webHidden/>
          </w:rPr>
          <w:fldChar w:fldCharType="separate"/>
        </w:r>
        <w:r w:rsidR="002C7F26">
          <w:rPr>
            <w:noProof/>
            <w:webHidden/>
          </w:rPr>
          <w:t>124</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941" w:history="1">
        <w:r w:rsidR="00BB6F1F" w:rsidRPr="009D3A61">
          <w:rPr>
            <w:rStyle w:val="Hyperlink"/>
            <w:noProof/>
          </w:rPr>
          <w:t>8.2.13</w:t>
        </w:r>
        <w:r w:rsidR="00BB6F1F">
          <w:rPr>
            <w:rFonts w:eastAsiaTheme="minorEastAsia"/>
            <w:noProof/>
            <w:spacing w:val="0"/>
            <w:lang w:eastAsia="en-AU"/>
          </w:rPr>
          <w:tab/>
        </w:r>
        <w:r w:rsidR="00BB6F1F" w:rsidRPr="009D3A61">
          <w:rPr>
            <w:rStyle w:val="Hyperlink"/>
            <w:noProof/>
          </w:rPr>
          <w:t xml:space="preserve">Section 32 carryovers – </w:t>
        </w:r>
        <w:r w:rsidR="00BB6F1F" w:rsidRPr="009D3A61">
          <w:rPr>
            <w:rStyle w:val="Hyperlink"/>
            <w:i/>
            <w:noProof/>
          </w:rPr>
          <w:t>Financial Management Act 1994</w:t>
        </w:r>
        <w:r w:rsidR="00BB6F1F" w:rsidRPr="009D3A61">
          <w:rPr>
            <w:rStyle w:val="Hyperlink"/>
            <w:noProof/>
          </w:rPr>
          <w:t xml:space="preserve"> for the financial year ended 30 June</w:t>
        </w:r>
        <w:r w:rsidR="00BB6F1F">
          <w:rPr>
            <w:noProof/>
            <w:webHidden/>
          </w:rPr>
          <w:tab/>
        </w:r>
        <w:r w:rsidR="00BB6F1F">
          <w:rPr>
            <w:noProof/>
            <w:webHidden/>
          </w:rPr>
          <w:fldChar w:fldCharType="begin"/>
        </w:r>
        <w:r w:rsidR="00BB6F1F">
          <w:rPr>
            <w:noProof/>
            <w:webHidden/>
          </w:rPr>
          <w:instrText xml:space="preserve"> PAGEREF _Toc492984941 \h </w:instrText>
        </w:r>
        <w:r w:rsidR="00BB6F1F">
          <w:rPr>
            <w:noProof/>
            <w:webHidden/>
          </w:rPr>
        </w:r>
        <w:r w:rsidR="00BB6F1F">
          <w:rPr>
            <w:noProof/>
            <w:webHidden/>
          </w:rPr>
          <w:fldChar w:fldCharType="separate"/>
        </w:r>
        <w:r w:rsidR="002C7F26">
          <w:rPr>
            <w:noProof/>
            <w:webHidden/>
          </w:rPr>
          <w:t>125</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942" w:history="1">
        <w:r w:rsidR="00BB6F1F" w:rsidRPr="009D3A61">
          <w:rPr>
            <w:rStyle w:val="Hyperlink"/>
            <w:noProof/>
            <w:lang w:val="en-US"/>
          </w:rPr>
          <w:t>8.2.14</w:t>
        </w:r>
        <w:r w:rsidR="00BB6F1F">
          <w:rPr>
            <w:rFonts w:eastAsiaTheme="minorEastAsia"/>
            <w:noProof/>
            <w:spacing w:val="0"/>
            <w:lang w:eastAsia="en-AU"/>
          </w:rPr>
          <w:tab/>
        </w:r>
        <w:r w:rsidR="00BB6F1F" w:rsidRPr="009D3A61">
          <w:rPr>
            <w:rStyle w:val="Hyperlink"/>
            <w:noProof/>
          </w:rPr>
          <w:t>Payments from advance to the Treasurer for the financial year ended 30 June</w:t>
        </w:r>
        <w:r w:rsidR="00BB6F1F">
          <w:rPr>
            <w:noProof/>
            <w:webHidden/>
          </w:rPr>
          <w:tab/>
        </w:r>
        <w:r w:rsidR="00BB6F1F">
          <w:rPr>
            <w:noProof/>
            <w:webHidden/>
          </w:rPr>
          <w:fldChar w:fldCharType="begin"/>
        </w:r>
        <w:r w:rsidR="00BB6F1F">
          <w:rPr>
            <w:noProof/>
            <w:webHidden/>
          </w:rPr>
          <w:instrText xml:space="preserve"> PAGEREF _Toc492984942 \h </w:instrText>
        </w:r>
        <w:r w:rsidR="00BB6F1F">
          <w:rPr>
            <w:noProof/>
            <w:webHidden/>
          </w:rPr>
        </w:r>
        <w:r w:rsidR="00BB6F1F">
          <w:rPr>
            <w:noProof/>
            <w:webHidden/>
          </w:rPr>
          <w:fldChar w:fldCharType="separate"/>
        </w:r>
        <w:r w:rsidR="002C7F26">
          <w:rPr>
            <w:noProof/>
            <w:webHidden/>
          </w:rPr>
          <w:t>126</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943" w:history="1">
        <w:r w:rsidR="00BB6F1F" w:rsidRPr="009D3A61">
          <w:rPr>
            <w:rStyle w:val="Hyperlink"/>
            <w:noProof/>
            <w:lang w:val="en-US"/>
          </w:rPr>
          <w:t>8.2.15</w:t>
        </w:r>
        <w:r w:rsidR="00BB6F1F">
          <w:rPr>
            <w:rFonts w:eastAsiaTheme="minorEastAsia"/>
            <w:noProof/>
            <w:spacing w:val="0"/>
            <w:lang w:eastAsia="en-AU"/>
          </w:rPr>
          <w:tab/>
        </w:r>
        <w:r w:rsidR="00BB6F1F" w:rsidRPr="009D3A61">
          <w:rPr>
            <w:rStyle w:val="Hyperlink"/>
            <w:noProof/>
          </w:rPr>
          <w:t xml:space="preserve">Payments from advances pursuant to Section 35 of the  </w:t>
        </w:r>
        <w:r w:rsidR="00BB6F1F" w:rsidRPr="009D3A61">
          <w:rPr>
            <w:rStyle w:val="Hyperlink"/>
            <w:i/>
            <w:noProof/>
          </w:rPr>
          <w:t>Financial Management Act 1994</w:t>
        </w:r>
        <w:r w:rsidR="00BB6F1F" w:rsidRPr="009D3A61">
          <w:rPr>
            <w:rStyle w:val="Hyperlink"/>
            <w:noProof/>
          </w:rPr>
          <w:t xml:space="preserve"> for the financial year ended 30 June</w:t>
        </w:r>
        <w:r w:rsidR="00BB6F1F">
          <w:rPr>
            <w:noProof/>
            <w:webHidden/>
          </w:rPr>
          <w:tab/>
        </w:r>
        <w:r w:rsidR="00BB6F1F">
          <w:rPr>
            <w:noProof/>
            <w:webHidden/>
          </w:rPr>
          <w:fldChar w:fldCharType="begin"/>
        </w:r>
        <w:r w:rsidR="00BB6F1F">
          <w:rPr>
            <w:noProof/>
            <w:webHidden/>
          </w:rPr>
          <w:instrText xml:space="preserve"> PAGEREF _Toc492984943 \h </w:instrText>
        </w:r>
        <w:r w:rsidR="00BB6F1F">
          <w:rPr>
            <w:noProof/>
            <w:webHidden/>
          </w:rPr>
        </w:r>
        <w:r w:rsidR="00BB6F1F">
          <w:rPr>
            <w:noProof/>
            <w:webHidden/>
          </w:rPr>
          <w:fldChar w:fldCharType="separate"/>
        </w:r>
        <w:r w:rsidR="002C7F26">
          <w:rPr>
            <w:noProof/>
            <w:webHidden/>
          </w:rPr>
          <w:t>128</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944" w:history="1">
        <w:r w:rsidR="00BB6F1F" w:rsidRPr="009D3A61">
          <w:rPr>
            <w:rStyle w:val="Hyperlink"/>
            <w:noProof/>
          </w:rPr>
          <w:t>8.2.16</w:t>
        </w:r>
        <w:r w:rsidR="00BB6F1F">
          <w:rPr>
            <w:rFonts w:eastAsiaTheme="minorEastAsia"/>
            <w:noProof/>
            <w:spacing w:val="0"/>
            <w:lang w:eastAsia="en-AU"/>
          </w:rPr>
          <w:tab/>
        </w:r>
        <w:r w:rsidR="00BB6F1F" w:rsidRPr="009D3A61">
          <w:rPr>
            <w:rStyle w:val="Hyperlink"/>
            <w:noProof/>
          </w:rPr>
          <w:t>Unused a</w:t>
        </w:r>
        <w:r w:rsidR="00BB6F1F">
          <w:rPr>
            <w:rStyle w:val="Hyperlink"/>
            <w:noProof/>
          </w:rPr>
          <w:t>dvances carried forward to 2016</w:t>
        </w:r>
        <w:r w:rsidR="00BB6F1F">
          <w:rPr>
            <w:rStyle w:val="Hyperlink"/>
            <w:noProof/>
          </w:rPr>
          <w:noBreakHyphen/>
        </w:r>
        <w:r w:rsidR="00BB6F1F" w:rsidRPr="009D3A61">
          <w:rPr>
            <w:rStyle w:val="Hyperlink"/>
            <w:noProof/>
          </w:rPr>
          <w:t xml:space="preserve">17 pursuant to Section 35(4) of the </w:t>
        </w:r>
        <w:r w:rsidR="00BB6F1F" w:rsidRPr="009D3A61">
          <w:rPr>
            <w:rStyle w:val="Hyperlink"/>
            <w:i/>
            <w:noProof/>
          </w:rPr>
          <w:t>Financial Management Act 1994</w:t>
        </w:r>
        <w:r w:rsidR="00BB6F1F">
          <w:rPr>
            <w:noProof/>
            <w:webHidden/>
          </w:rPr>
          <w:tab/>
        </w:r>
        <w:r w:rsidR="00BB6F1F">
          <w:rPr>
            <w:noProof/>
            <w:webHidden/>
          </w:rPr>
          <w:fldChar w:fldCharType="begin"/>
        </w:r>
        <w:r w:rsidR="00BB6F1F">
          <w:rPr>
            <w:noProof/>
            <w:webHidden/>
          </w:rPr>
          <w:instrText xml:space="preserve"> PAGEREF _Toc492984944 \h </w:instrText>
        </w:r>
        <w:r w:rsidR="00BB6F1F">
          <w:rPr>
            <w:noProof/>
            <w:webHidden/>
          </w:rPr>
        </w:r>
        <w:r w:rsidR="00BB6F1F">
          <w:rPr>
            <w:noProof/>
            <w:webHidden/>
          </w:rPr>
          <w:fldChar w:fldCharType="separate"/>
        </w:r>
        <w:r w:rsidR="002C7F26">
          <w:rPr>
            <w:noProof/>
            <w:webHidden/>
          </w:rPr>
          <w:t>128</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945" w:history="1">
        <w:r w:rsidR="00BB6F1F" w:rsidRPr="009D3A61">
          <w:rPr>
            <w:rStyle w:val="Hyperlink"/>
            <w:noProof/>
          </w:rPr>
          <w:t>8.2.17</w:t>
        </w:r>
        <w:r w:rsidR="00BB6F1F">
          <w:rPr>
            <w:rFonts w:eastAsiaTheme="minorEastAsia"/>
            <w:noProof/>
            <w:spacing w:val="0"/>
            <w:lang w:eastAsia="en-AU"/>
          </w:rPr>
          <w:tab/>
        </w:r>
        <w:r w:rsidR="00BB6F1F" w:rsidRPr="009D3A61">
          <w:rPr>
            <w:rStyle w:val="Hyperlink"/>
            <w:noProof/>
          </w:rPr>
          <w:t>Government guarantees</w:t>
        </w:r>
        <w:r w:rsidR="00BB6F1F">
          <w:rPr>
            <w:noProof/>
            <w:webHidden/>
          </w:rPr>
          <w:tab/>
        </w:r>
        <w:r w:rsidR="00BB6F1F">
          <w:rPr>
            <w:noProof/>
            <w:webHidden/>
          </w:rPr>
          <w:fldChar w:fldCharType="begin"/>
        </w:r>
        <w:r w:rsidR="00BB6F1F">
          <w:rPr>
            <w:noProof/>
            <w:webHidden/>
          </w:rPr>
          <w:instrText xml:space="preserve"> PAGEREF _Toc492984945 \h </w:instrText>
        </w:r>
        <w:r w:rsidR="00BB6F1F">
          <w:rPr>
            <w:noProof/>
            <w:webHidden/>
          </w:rPr>
        </w:r>
        <w:r w:rsidR="00BB6F1F">
          <w:rPr>
            <w:noProof/>
            <w:webHidden/>
          </w:rPr>
          <w:fldChar w:fldCharType="separate"/>
        </w:r>
        <w:r w:rsidR="002C7F26">
          <w:rPr>
            <w:noProof/>
            <w:webHidden/>
          </w:rPr>
          <w:t>128</w:t>
        </w:r>
        <w:r w:rsidR="00BB6F1F">
          <w:rPr>
            <w:noProof/>
            <w:webHidden/>
          </w:rPr>
          <w:fldChar w:fldCharType="end"/>
        </w:r>
      </w:hyperlink>
    </w:p>
    <w:p w:rsidR="00BB6F1F" w:rsidRDefault="00BB6F1F" w:rsidP="00AC68FF">
      <w:r w:rsidRPr="00E23D04">
        <w:fldChar w:fldCharType="end"/>
      </w:r>
    </w:p>
    <w:p w:rsidR="00BB6F1F" w:rsidRDefault="00BB6F1F" w:rsidP="00AC68FF">
      <w:pPr>
        <w:sectPr w:rsidR="00BB6F1F" w:rsidSect="00AC68FF">
          <w:headerReference w:type="even" r:id="rId131"/>
          <w:headerReference w:type="default" r:id="rId132"/>
          <w:footerReference w:type="even" r:id="rId133"/>
          <w:footerReference w:type="default" r:id="rId134"/>
          <w:pgSz w:w="11907" w:h="16839" w:code="9"/>
          <w:pgMar w:top="1134" w:right="1134" w:bottom="1134" w:left="1134" w:header="624" w:footer="567" w:gutter="0"/>
          <w:cols w:num="2" w:space="567"/>
          <w:docGrid w:linePitch="360"/>
        </w:sectPr>
      </w:pPr>
    </w:p>
    <w:p w:rsidR="00BB6F1F" w:rsidRDefault="00BB6F1F" w:rsidP="00AC68FF"/>
    <w:p w:rsidR="00BB6F1F" w:rsidRPr="0003431C" w:rsidRDefault="00BB6F1F" w:rsidP="00343347">
      <w:pPr>
        <w:pStyle w:val="Heading3"/>
        <w:spacing w:after="0"/>
      </w:pPr>
      <w:bookmarkStart w:id="62" w:name="_Toc492984929"/>
      <w:bookmarkStart w:id="63" w:name="Public_Account"/>
      <w:r w:rsidRPr="0003431C">
        <w:lastRenderedPageBreak/>
        <w:t>Summarised consolidated fund receipts and payments for the financial year ended 30 June</w:t>
      </w:r>
      <w:bookmarkEnd w:id="62"/>
    </w:p>
    <w:p w:rsidR="00BB6F1F" w:rsidRPr="00EC2897" w:rsidRDefault="00BB6F1F" w:rsidP="00AC68FF">
      <w:pPr>
        <w:pStyle w:val="TableUnits"/>
        <w:rPr>
          <w:bCs/>
          <w:lang w:val="en-US"/>
        </w:rPr>
      </w:pPr>
      <w:r>
        <w:t>($ thousand)</w:t>
      </w:r>
    </w:p>
    <w:tbl>
      <w:tblPr>
        <w:tblStyle w:val="DTFTable"/>
        <w:tblW w:w="9638" w:type="dxa"/>
        <w:tblInd w:w="45" w:type="dxa"/>
        <w:tblLayout w:type="fixed"/>
        <w:tblCellMar>
          <w:left w:w="45" w:type="dxa"/>
          <w:right w:w="45" w:type="dxa"/>
        </w:tblCellMar>
        <w:tblLook w:val="06A0" w:firstRow="1" w:lastRow="0" w:firstColumn="1" w:lastColumn="0" w:noHBand="1" w:noVBand="1"/>
      </w:tblPr>
      <w:tblGrid>
        <w:gridCol w:w="6661"/>
        <w:gridCol w:w="709"/>
        <w:gridCol w:w="1134"/>
        <w:gridCol w:w="1134"/>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b/>
                <w:bCs/>
                <w:iCs/>
                <w:color w:val="FFFFFF"/>
                <w:szCs w:val="20"/>
                <w:lang w:eastAsia="en-AU"/>
              </w:rPr>
            </w:pPr>
            <w:r w:rsidRPr="00EC2897">
              <w:rPr>
                <w:rFonts w:eastAsiaTheme="minorEastAsia" w:cs="Calibri"/>
                <w:b/>
                <w:bCs/>
                <w:iCs/>
                <w:color w:val="FFFFFF"/>
                <w:szCs w:val="20"/>
                <w:lang w:eastAsia="en-AU"/>
              </w:rPr>
              <w:t xml:space="preserve"> </w:t>
            </w:r>
          </w:p>
        </w:tc>
        <w:tc>
          <w:tcPr>
            <w:tcW w:w="709" w:type="dxa"/>
            <w:tcBorders>
              <w:top w:val="nil"/>
              <w:left w:val="nil"/>
              <w:bottom w:val="nil"/>
              <w:right w:val="nil"/>
            </w:tcBorders>
            <w:shd w:val="solid" w:color="000000" w:fill="auto"/>
          </w:tcPr>
          <w:p w:rsidR="00BB6F1F" w:rsidRPr="00D54912"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bCs/>
                <w:iCs/>
                <w:color w:val="FFFFFF"/>
                <w:szCs w:val="20"/>
                <w:lang w:eastAsia="en-AU"/>
              </w:rPr>
            </w:pPr>
            <w:r w:rsidRPr="00D54912">
              <w:rPr>
                <w:rFonts w:eastAsiaTheme="minorEastAsia" w:cs="Calibri"/>
                <w:bCs/>
                <w:iCs/>
                <w:color w:val="FFFFFF"/>
                <w:szCs w:val="20"/>
                <w:lang w:eastAsia="en-AU"/>
              </w:rPr>
              <w:t>Notes</w:t>
            </w:r>
          </w:p>
        </w:tc>
        <w:tc>
          <w:tcPr>
            <w:tcW w:w="1134" w:type="dxa"/>
            <w:tcBorders>
              <w:top w:val="nil"/>
              <w:left w:val="nil"/>
              <w:bottom w:val="nil"/>
              <w:right w:val="nil"/>
            </w:tcBorders>
            <w:shd w:val="solid" w:color="000000" w:fill="auto"/>
          </w:tcPr>
          <w:p w:rsidR="00BB6F1F" w:rsidRPr="00D5491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bCs/>
                <w:iCs/>
                <w:color w:val="FFFFFF"/>
                <w:szCs w:val="20"/>
                <w:lang w:eastAsia="en-AU"/>
              </w:rPr>
            </w:pPr>
            <w:r w:rsidRPr="00D54912">
              <w:rPr>
                <w:rFonts w:eastAsiaTheme="minorEastAsia" w:cs="Calibri"/>
                <w:bCs/>
                <w:iCs/>
                <w:color w:val="FFFFFF"/>
                <w:szCs w:val="20"/>
                <w:lang w:eastAsia="en-AU"/>
              </w:rPr>
              <w:t>2017</w:t>
            </w:r>
          </w:p>
        </w:tc>
        <w:tc>
          <w:tcPr>
            <w:tcW w:w="1134" w:type="dxa"/>
            <w:tcBorders>
              <w:top w:val="nil"/>
              <w:left w:val="nil"/>
              <w:bottom w:val="nil"/>
              <w:right w:val="nil"/>
            </w:tcBorders>
            <w:shd w:val="solid" w:color="000000" w:fill="auto"/>
          </w:tcPr>
          <w:p w:rsidR="00BB6F1F" w:rsidRPr="00D54912"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bCs/>
                <w:iCs/>
                <w:color w:val="FFFFFF"/>
                <w:szCs w:val="20"/>
                <w:lang w:eastAsia="en-AU"/>
              </w:rPr>
            </w:pPr>
            <w:r w:rsidRPr="00D54912">
              <w:rPr>
                <w:rFonts w:eastAsiaTheme="minorEastAsia" w:cs="Calibri"/>
                <w:bCs/>
                <w:iCs/>
                <w:color w:val="FFFFFF"/>
                <w:szCs w:val="20"/>
                <w:lang w:eastAsia="en-AU"/>
              </w:rPr>
              <w:t>2016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Receipts</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Taxation</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21 298 506</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20 060 946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Fines and regulatory fees</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784 996</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829 655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Grants received</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17 348 663</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16 924 616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Sales of goods and services</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6 414 154</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5 775 563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Interest received</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501 673</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501 351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Dividends, income tax equivalent and rate equivalent receipts</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716 925</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798 983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Other receipts</w:t>
            </w:r>
          </w:p>
        </w:tc>
        <w:tc>
          <w:tcPr>
            <w:tcW w:w="709" w:type="dxa"/>
            <w:tcBorders>
              <w:top w:val="nil"/>
              <w:left w:val="nil"/>
              <w:bottom w:val="single" w:sz="6" w:space="0" w:color="auto"/>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375 971</w:t>
            </w:r>
          </w:p>
        </w:tc>
        <w:tc>
          <w:tcPr>
            <w:tcW w:w="1134"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1 004 668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Total cash inflows from operating activities</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47 440 888</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45 895 781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Total cash inflows from investing and financing activities</w:t>
            </w:r>
          </w:p>
        </w:tc>
        <w:tc>
          <w:tcPr>
            <w:tcW w:w="709" w:type="dxa"/>
            <w:tcBorders>
              <w:top w:val="nil"/>
              <w:left w:val="nil"/>
              <w:bottom w:val="nil"/>
              <w:right w:val="nil"/>
            </w:tcBorders>
          </w:tcPr>
          <w:p w:rsidR="00BB6F1F" w:rsidRPr="00EC2897"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9 882 445</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584 824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b/>
                <w:bCs/>
                <w:color w:val="000000"/>
                <w:szCs w:val="20"/>
                <w:vertAlign w:val="superscript"/>
                <w:lang w:eastAsia="en-AU"/>
              </w:rPr>
            </w:pPr>
            <w:r w:rsidRPr="00EC2897">
              <w:rPr>
                <w:rFonts w:eastAsiaTheme="minorEastAsia" w:cs="Calibri"/>
                <w:b/>
                <w:bCs/>
                <w:color w:val="000000"/>
                <w:szCs w:val="20"/>
                <w:lang w:eastAsia="en-AU"/>
              </w:rPr>
              <w:t>Total consolidated fund receipts</w:t>
            </w:r>
            <w:r w:rsidRPr="00EC2897">
              <w:rPr>
                <w:rFonts w:eastAsiaTheme="minorEastAsia" w:cs="Calibri"/>
                <w:b/>
                <w:bCs/>
                <w:color w:val="000000"/>
                <w:szCs w:val="20"/>
                <w:vertAlign w:val="superscript"/>
                <w:lang w:eastAsia="en-AU"/>
              </w:rPr>
              <w:t xml:space="preserve"> </w:t>
            </w:r>
          </w:p>
        </w:tc>
        <w:tc>
          <w:tcPr>
            <w:tcW w:w="709" w:type="dxa"/>
            <w:tcBorders>
              <w:top w:val="single" w:sz="6" w:space="0" w:color="auto"/>
              <w:left w:val="nil"/>
              <w:bottom w:val="single" w:sz="6" w:space="0" w:color="auto"/>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4912">
              <w:rPr>
                <w:rFonts w:eastAsiaTheme="minorEastAsia" w:cs="Calibri"/>
                <w:bCs/>
                <w:color w:val="000000"/>
                <w:szCs w:val="20"/>
                <w:lang w:eastAsia="en-AU"/>
              </w:rPr>
              <w:t>8.2.2</w:t>
            </w:r>
          </w:p>
        </w:tc>
        <w:tc>
          <w:tcPr>
            <w:tcW w:w="113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57 323 333</w:t>
            </w:r>
          </w:p>
        </w:tc>
        <w:tc>
          <w:tcPr>
            <w:tcW w:w="113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46 480 605</w:t>
            </w:r>
          </w:p>
        </w:tc>
      </w:tr>
      <w:tr w:rsidR="00BB6F1F" w:rsidRPr="00EC2897"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4912">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Payments</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4912">
              <w:rPr>
                <w:rFonts w:eastAsiaTheme="minorEastAsia" w:cs="Calibri"/>
                <w:b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Special appropriations</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4912">
              <w:rPr>
                <w:rFonts w:eastAsiaTheme="minorEastAsia" w:cs="Calibri"/>
                <w:b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i/>
                <w:iCs/>
                <w:color w:val="000000"/>
                <w:szCs w:val="20"/>
                <w:lang w:eastAsia="en-AU"/>
              </w:rPr>
            </w:pPr>
            <w:r w:rsidRPr="00EC2897">
              <w:rPr>
                <w:rFonts w:eastAsiaTheme="minorEastAsia" w:cs="Calibri"/>
                <w:color w:val="000000"/>
                <w:szCs w:val="20"/>
                <w:lang w:eastAsia="en-AU"/>
              </w:rPr>
              <w:t xml:space="preserve">Special appropriations (excluding Section 33, </w:t>
            </w:r>
            <w:r w:rsidRPr="00EC2897">
              <w:rPr>
                <w:rFonts w:eastAsiaTheme="minorEastAsia" w:cs="Calibri"/>
                <w:i/>
                <w:iCs/>
                <w:color w:val="000000"/>
                <w:szCs w:val="20"/>
                <w:lang w:eastAsia="en-AU"/>
              </w:rPr>
              <w:t>Financial Management Act, No. 18 of 1994)</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4912">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8 838 856</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3 886 531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i/>
                <w:iCs/>
                <w:color w:val="000000"/>
                <w:szCs w:val="20"/>
                <w:lang w:eastAsia="en-AU"/>
              </w:rPr>
            </w:pPr>
            <w:r w:rsidRPr="00EC2897">
              <w:rPr>
                <w:rFonts w:eastAsiaTheme="minorEastAsia" w:cs="Calibri"/>
                <w:color w:val="000000"/>
                <w:szCs w:val="20"/>
                <w:lang w:eastAsia="en-AU"/>
              </w:rPr>
              <w:t xml:space="preserve">Section 28 </w:t>
            </w:r>
            <w:r w:rsidRPr="00EC2897">
              <w:rPr>
                <w:rFonts w:eastAsiaTheme="minorEastAsia" w:cs="Calibri"/>
                <w:i/>
                <w:iCs/>
                <w:color w:val="000000"/>
                <w:szCs w:val="20"/>
                <w:lang w:eastAsia="en-AU"/>
              </w:rPr>
              <w:t>Financial M</w:t>
            </w:r>
            <w:r w:rsidR="00155927">
              <w:rPr>
                <w:rFonts w:eastAsiaTheme="minorEastAsia" w:cs="Calibri"/>
                <w:i/>
                <w:iCs/>
                <w:color w:val="000000"/>
                <w:szCs w:val="20"/>
                <w:lang w:eastAsia="en-AU"/>
              </w:rPr>
              <w:t xml:space="preserve">anagement Act, No. 18 of 1994 </w:t>
            </w:r>
            <w:r w:rsidR="00155927" w:rsidRPr="00155927">
              <w:rPr>
                <w:rFonts w:eastAsiaTheme="minorEastAsia" w:cs="Calibri"/>
                <w:iCs/>
                <w:color w:val="000000"/>
                <w:szCs w:val="20"/>
                <w:lang w:eastAsia="en-AU"/>
              </w:rPr>
              <w:t>(a</w:t>
            </w:r>
            <w:r w:rsidRPr="00155927">
              <w:rPr>
                <w:rFonts w:eastAsiaTheme="minorEastAsia" w:cs="Calibri"/>
                <w:iCs/>
                <w:color w:val="000000"/>
                <w:szCs w:val="20"/>
                <w:lang w:eastAsia="en-AU"/>
              </w:rPr>
              <w:t>ppropriation for borrowing against future appropriations)</w:t>
            </w:r>
            <w:r w:rsidRPr="00EC2897">
              <w:rPr>
                <w:rFonts w:eastAsiaTheme="minorEastAsia" w:cs="Calibri"/>
                <w:i/>
                <w:iCs/>
                <w:color w:val="000000"/>
                <w:szCs w:val="20"/>
                <w:lang w:eastAsia="en-AU"/>
              </w:rPr>
              <w:t xml:space="preserve"> </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8.2.10</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5 594</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i/>
                <w:iCs/>
                <w:color w:val="000000"/>
                <w:szCs w:val="20"/>
                <w:lang w:eastAsia="en-AU"/>
              </w:rPr>
            </w:pPr>
            <w:r w:rsidRPr="00EC2897">
              <w:rPr>
                <w:rFonts w:eastAsiaTheme="minorEastAsia" w:cs="Calibri"/>
                <w:color w:val="000000"/>
                <w:szCs w:val="20"/>
                <w:lang w:eastAsia="en-AU"/>
              </w:rPr>
              <w:t xml:space="preserve">Section 33 </w:t>
            </w:r>
            <w:r w:rsidRPr="00EC2897">
              <w:rPr>
                <w:rFonts w:eastAsiaTheme="minorEastAsia" w:cs="Calibri"/>
                <w:i/>
                <w:iCs/>
                <w:color w:val="000000"/>
                <w:szCs w:val="20"/>
                <w:lang w:eastAsia="en-AU"/>
              </w:rPr>
              <w:t xml:space="preserve">Financial Management Act, No. 18 of 1994 </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463 129</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359 183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single" w:sz="6" w:space="0" w:color="auto"/>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vertAlign w:val="superscript"/>
                <w:lang w:eastAsia="en-AU"/>
              </w:rPr>
            </w:pPr>
            <w:r w:rsidRPr="00EC2897">
              <w:rPr>
                <w:rFonts w:eastAsiaTheme="minorEastAsia" w:cs="Calibri"/>
                <w:b/>
                <w:bCs/>
                <w:color w:val="000000"/>
                <w:szCs w:val="20"/>
                <w:lang w:eastAsia="en-AU"/>
              </w:rPr>
              <w:t>Total special appropriations</w:t>
            </w:r>
            <w:r w:rsidRPr="00EC2897">
              <w:rPr>
                <w:rFonts w:eastAsiaTheme="minorEastAsia" w:cs="Calibri"/>
                <w:b/>
                <w:bCs/>
                <w:color w:val="000000"/>
                <w:szCs w:val="20"/>
                <w:vertAlign w:val="superscript"/>
                <w:lang w:eastAsia="en-AU"/>
              </w:rPr>
              <w:t xml:space="preserve"> </w:t>
            </w:r>
          </w:p>
        </w:tc>
        <w:tc>
          <w:tcPr>
            <w:tcW w:w="709" w:type="dxa"/>
            <w:tcBorders>
              <w:top w:val="single" w:sz="6" w:space="0" w:color="auto"/>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8.2.7</w:t>
            </w:r>
          </w:p>
        </w:tc>
        <w:tc>
          <w:tcPr>
            <w:tcW w:w="1134" w:type="dxa"/>
            <w:tcBorders>
              <w:top w:val="single" w:sz="6" w:space="0" w:color="auto"/>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9 307 579</w:t>
            </w:r>
          </w:p>
        </w:tc>
        <w:tc>
          <w:tcPr>
            <w:tcW w:w="1134" w:type="dxa"/>
            <w:tcBorders>
              <w:top w:val="single" w:sz="6" w:space="0" w:color="auto"/>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4 245 714</w:t>
            </w:r>
          </w:p>
        </w:tc>
      </w:tr>
      <w:tr w:rsidR="00BB6F1F" w:rsidRPr="00EC2897"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4912">
              <w:rPr>
                <w:rFonts w:eastAsiaTheme="minorEastAsia" w:cs="Calibri"/>
                <w:b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Annual appropriations</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4912">
              <w:rPr>
                <w:rFonts w:eastAsiaTheme="minorEastAsia" w:cs="Calibri"/>
                <w:b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Provision of outputs</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4912">
              <w:rPr>
                <w:rFonts w:eastAsiaTheme="minorEastAsia" w:cs="Calibri"/>
                <w:b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Provision of outputs – net application</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8.2.8</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37 812 300</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34 852 019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Section 29 </w:t>
            </w:r>
            <w:r w:rsidRPr="00EC2897">
              <w:rPr>
                <w:rFonts w:eastAsiaTheme="minorEastAsia" w:cs="Calibri"/>
                <w:i/>
                <w:iCs/>
                <w:color w:val="000000"/>
                <w:szCs w:val="20"/>
                <w:lang w:eastAsia="en-AU"/>
              </w:rPr>
              <w:t>Financial Management Act, No. 18 of 1994</w:t>
            </w:r>
            <w:r w:rsidRPr="00EC2897">
              <w:rPr>
                <w:rFonts w:eastAsiaTheme="minorEastAsia" w:cs="Calibri"/>
                <w:color w:val="000000"/>
                <w:szCs w:val="20"/>
                <w:lang w:eastAsia="en-AU"/>
              </w:rPr>
              <w:t xml:space="preserve"> (appropriation of annotated receipts)</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8.2.12</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2 010 503</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2 118 374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Section 32</w:t>
            </w:r>
            <w:r w:rsidRPr="00EC2897">
              <w:rPr>
                <w:rFonts w:eastAsiaTheme="minorEastAsia" w:cs="Calibri"/>
                <w:i/>
                <w:iCs/>
                <w:color w:val="000000"/>
                <w:szCs w:val="20"/>
                <w:lang w:eastAsia="en-AU"/>
              </w:rPr>
              <w:t xml:space="preserve"> Financial Management Act, No. 18 of 1994</w:t>
            </w:r>
            <w:r w:rsidRPr="00EC2897">
              <w:rPr>
                <w:rFonts w:eastAsiaTheme="minorEastAsia" w:cs="Calibri"/>
                <w:color w:val="000000"/>
                <w:szCs w:val="20"/>
                <w:lang w:eastAsia="en-AU"/>
              </w:rPr>
              <w:t xml:space="preserve"> (prior year unspent appropriations brought forward)</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8.2.13</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831 123</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808 281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Section 35 </w:t>
            </w:r>
            <w:r w:rsidRPr="00EC2897">
              <w:rPr>
                <w:rFonts w:eastAsiaTheme="minorEastAsia" w:cs="Calibri"/>
                <w:i/>
                <w:iCs/>
                <w:color w:val="000000"/>
                <w:szCs w:val="20"/>
                <w:lang w:eastAsia="en-AU"/>
              </w:rPr>
              <w:t xml:space="preserve">Financial Management Act, No. 18 of 1994 </w:t>
            </w:r>
            <w:r w:rsidRPr="00EC2897">
              <w:rPr>
                <w:rFonts w:eastAsiaTheme="minorEastAsia" w:cs="Calibri"/>
                <w:color w:val="000000"/>
                <w:szCs w:val="20"/>
                <w:lang w:eastAsia="en-AU"/>
              </w:rPr>
              <w:t>(temporary advances)</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8.2.15</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129</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27 973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Advance to Treasurer to be sanctioned</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8.2.14</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1 102 267</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596 422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single" w:sz="6" w:space="0" w:color="auto"/>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 xml:space="preserve">Total provision of outputs </w:t>
            </w:r>
          </w:p>
        </w:tc>
        <w:tc>
          <w:tcPr>
            <w:tcW w:w="709" w:type="dxa"/>
            <w:tcBorders>
              <w:top w:val="single" w:sz="6" w:space="0" w:color="auto"/>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4912">
              <w:rPr>
                <w:rFonts w:eastAsiaTheme="minorEastAsia" w:cs="Calibri"/>
                <w:bCs/>
                <w:color w:val="000000"/>
                <w:szCs w:val="20"/>
                <w:lang w:eastAsia="en-AU"/>
              </w:rPr>
              <w:t xml:space="preserve"> </w:t>
            </w:r>
          </w:p>
        </w:tc>
        <w:tc>
          <w:tcPr>
            <w:tcW w:w="1134" w:type="dxa"/>
            <w:tcBorders>
              <w:top w:val="single" w:sz="6" w:space="0" w:color="auto"/>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41 756 322</w:t>
            </w:r>
          </w:p>
        </w:tc>
        <w:tc>
          <w:tcPr>
            <w:tcW w:w="1134" w:type="dxa"/>
            <w:tcBorders>
              <w:top w:val="single" w:sz="6" w:space="0" w:color="auto"/>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38 403 070</w:t>
            </w:r>
          </w:p>
        </w:tc>
      </w:tr>
      <w:tr w:rsidR="00BB6F1F" w:rsidRPr="00EC2897"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4912">
              <w:rPr>
                <w:rFonts w:eastAsiaTheme="minorEastAsia" w:cs="Calibri"/>
                <w:b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Additions to net asset base</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4912">
              <w:rPr>
                <w:rFonts w:eastAsiaTheme="minorEastAsia" w:cs="Calibri"/>
                <w:b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Additions to net asset base – net application</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8.2.8</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1 249 481</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1 669 334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Section 29 </w:t>
            </w:r>
            <w:r w:rsidRPr="00EC2897">
              <w:rPr>
                <w:rFonts w:eastAsiaTheme="minorEastAsia" w:cs="Calibri"/>
                <w:i/>
                <w:iCs/>
                <w:color w:val="000000"/>
                <w:szCs w:val="20"/>
                <w:lang w:eastAsia="en-AU"/>
              </w:rPr>
              <w:t xml:space="preserve">Financial Management Act, No. 18 of 1994 </w:t>
            </w:r>
            <w:r w:rsidRPr="00EC2897">
              <w:rPr>
                <w:rFonts w:eastAsiaTheme="minorEastAsia" w:cs="Calibri"/>
                <w:color w:val="000000"/>
                <w:szCs w:val="20"/>
                <w:lang w:eastAsia="en-AU"/>
              </w:rPr>
              <w:t>(appropriation of annotated receipts)</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8.2.12</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90 395</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125 268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Section 32</w:t>
            </w:r>
            <w:r w:rsidRPr="00EC2897">
              <w:rPr>
                <w:rFonts w:eastAsiaTheme="minorEastAsia" w:cs="Calibri"/>
                <w:i/>
                <w:iCs/>
                <w:color w:val="000000"/>
                <w:szCs w:val="20"/>
                <w:lang w:eastAsia="en-AU"/>
              </w:rPr>
              <w:t xml:space="preserve"> Financial Management Act, No. 18 of 1994</w:t>
            </w:r>
            <w:r w:rsidRPr="00EC2897">
              <w:rPr>
                <w:rFonts w:eastAsiaTheme="minorEastAsia" w:cs="Calibri"/>
                <w:color w:val="000000"/>
                <w:szCs w:val="20"/>
                <w:lang w:eastAsia="en-AU"/>
              </w:rPr>
              <w:t xml:space="preserve"> (prior year unspent appropriations brought forward) </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8.2.13</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234 286</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192 926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Section 35 </w:t>
            </w:r>
            <w:r w:rsidRPr="00EC2897">
              <w:rPr>
                <w:rFonts w:eastAsiaTheme="minorEastAsia" w:cs="Calibri"/>
                <w:i/>
                <w:iCs/>
                <w:color w:val="000000"/>
                <w:szCs w:val="20"/>
                <w:lang w:eastAsia="en-AU"/>
              </w:rPr>
              <w:t>Financial Management Act, No. 18 of 1994</w:t>
            </w:r>
            <w:r w:rsidRPr="00EC2897">
              <w:rPr>
                <w:rFonts w:eastAsiaTheme="minorEastAsia" w:cs="Calibri"/>
                <w:color w:val="000000"/>
                <w:szCs w:val="20"/>
                <w:lang w:eastAsia="en-AU"/>
              </w:rPr>
              <w:t xml:space="preserve"> (temporary advances)</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8.2.15</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20 000</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156 562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Advance to Treasurer to be sanctioned</w:t>
            </w:r>
          </w:p>
        </w:tc>
        <w:tc>
          <w:tcPr>
            <w:tcW w:w="709" w:type="dxa"/>
            <w:tcBorders>
              <w:top w:val="nil"/>
              <w:left w:val="nil"/>
              <w:bottom w:val="single" w:sz="6" w:space="0" w:color="auto"/>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8.2.14</w:t>
            </w:r>
          </w:p>
        </w:tc>
        <w:tc>
          <w:tcPr>
            <w:tcW w:w="1134"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418 929</w:t>
            </w:r>
          </w:p>
        </w:tc>
        <w:tc>
          <w:tcPr>
            <w:tcW w:w="1134"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296 394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Total additions to net asset base</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4912">
              <w:rPr>
                <w:rFonts w:eastAsiaTheme="minorEastAsia" w:cs="Calibri"/>
                <w:b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2 013 090</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2 440 485</w:t>
            </w:r>
          </w:p>
        </w:tc>
      </w:tr>
      <w:tr w:rsidR="00BB6F1F" w:rsidRPr="00EC2897"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4912">
              <w:rPr>
                <w:rFonts w:eastAsiaTheme="minorEastAsia" w:cs="Calibri"/>
                <w:b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Payments made on behalf of the State</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4912">
              <w:rPr>
                <w:rFonts w:eastAsiaTheme="minorEastAsia" w:cs="Calibri"/>
                <w:b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Payments made on behalf of the State</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8.2.8</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5 192 224</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2 444 003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Section 32 </w:t>
            </w:r>
            <w:r w:rsidRPr="00EC2897">
              <w:rPr>
                <w:rFonts w:eastAsiaTheme="minorEastAsia" w:cs="Calibri"/>
                <w:i/>
                <w:iCs/>
                <w:color w:val="000000"/>
                <w:szCs w:val="20"/>
                <w:lang w:eastAsia="en-AU"/>
              </w:rPr>
              <w:t>Financial Management Act, No. 18 of 1994</w:t>
            </w:r>
            <w:r w:rsidRPr="00EC2897">
              <w:rPr>
                <w:rFonts w:eastAsiaTheme="minorEastAsia" w:cs="Calibri"/>
                <w:color w:val="000000"/>
                <w:szCs w:val="20"/>
                <w:lang w:eastAsia="en-AU"/>
              </w:rPr>
              <w:t xml:space="preserve"> (prior year unspent appropriations brought forward) </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8.2.13</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14 546</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11 991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Section 35 </w:t>
            </w:r>
            <w:r w:rsidRPr="00EC2897">
              <w:rPr>
                <w:rFonts w:eastAsiaTheme="minorEastAsia" w:cs="Calibri"/>
                <w:i/>
                <w:iCs/>
                <w:color w:val="000000"/>
                <w:szCs w:val="20"/>
                <w:lang w:eastAsia="en-AU"/>
              </w:rPr>
              <w:t>Financial Management Act, No. 18 of 1994</w:t>
            </w:r>
            <w:r w:rsidRPr="00EC2897">
              <w:rPr>
                <w:rFonts w:eastAsiaTheme="minorEastAsia" w:cs="Calibri"/>
                <w:color w:val="000000"/>
                <w:szCs w:val="20"/>
                <w:lang w:eastAsia="en-AU"/>
              </w:rPr>
              <w:t xml:space="preserve"> (temporary advances)</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8.2.15</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Advance to Treasurer to be sanctioned</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8.2.14</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50 000</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single" w:sz="6" w:space="0" w:color="auto"/>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Total payments made on behalf of State</w:t>
            </w:r>
          </w:p>
        </w:tc>
        <w:tc>
          <w:tcPr>
            <w:tcW w:w="709" w:type="dxa"/>
            <w:tcBorders>
              <w:top w:val="single" w:sz="6" w:space="0" w:color="auto"/>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4912">
              <w:rPr>
                <w:rFonts w:eastAsiaTheme="minorEastAsia" w:cs="Calibri"/>
                <w:bCs/>
                <w:color w:val="000000"/>
                <w:szCs w:val="20"/>
                <w:lang w:eastAsia="en-AU"/>
              </w:rPr>
              <w:t xml:space="preserve"> </w:t>
            </w:r>
          </w:p>
        </w:tc>
        <w:tc>
          <w:tcPr>
            <w:tcW w:w="1134" w:type="dxa"/>
            <w:tcBorders>
              <w:top w:val="single" w:sz="6" w:space="0" w:color="auto"/>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5 256 770</w:t>
            </w:r>
          </w:p>
        </w:tc>
        <w:tc>
          <w:tcPr>
            <w:tcW w:w="1134" w:type="dxa"/>
            <w:tcBorders>
              <w:top w:val="single" w:sz="6" w:space="0" w:color="auto"/>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2 455 994</w:t>
            </w:r>
          </w:p>
        </w:tc>
      </w:tr>
      <w:tr w:rsidR="00BB6F1F" w:rsidRPr="00EC2897"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4912">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Other</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4912">
              <w:rPr>
                <w:rFonts w:eastAsiaTheme="minorEastAsia" w:cs="Calibri"/>
                <w:b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i/>
                <w:iCs/>
                <w:color w:val="000000"/>
                <w:szCs w:val="20"/>
                <w:lang w:eastAsia="en-AU"/>
              </w:rPr>
            </w:pPr>
            <w:r w:rsidRPr="00EC2897">
              <w:rPr>
                <w:rFonts w:eastAsiaTheme="minorEastAsia" w:cs="Calibri"/>
                <w:color w:val="000000"/>
                <w:szCs w:val="20"/>
                <w:lang w:eastAsia="en-AU"/>
              </w:rPr>
              <w:t xml:space="preserve">Contribution by the State under agreements pursuant to Section 25 of </w:t>
            </w:r>
            <w:r w:rsidRPr="00155927">
              <w:t>the</w:t>
            </w:r>
            <w:r w:rsidRPr="00EC2897">
              <w:rPr>
                <w:rFonts w:eastAsiaTheme="minorEastAsia" w:cs="Calibri"/>
                <w:i/>
                <w:iCs/>
                <w:color w:val="000000"/>
                <w:szCs w:val="20"/>
                <w:lang w:eastAsia="en-AU"/>
              </w:rPr>
              <w:t xml:space="preserve"> Murray-Darling Basin Act 1993</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8.2.8</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20 124</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14 856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i/>
                <w:iCs/>
                <w:color w:val="000000"/>
                <w:szCs w:val="20"/>
                <w:lang w:eastAsia="en-AU"/>
              </w:rPr>
            </w:pPr>
            <w:r w:rsidRPr="009406ED">
              <w:rPr>
                <w:rFonts w:eastAsiaTheme="minorEastAsia" w:cs="Calibri"/>
                <w:iCs/>
                <w:color w:val="000000"/>
                <w:szCs w:val="20"/>
                <w:lang w:eastAsia="en-AU"/>
              </w:rPr>
              <w:t>Section 32</w:t>
            </w:r>
            <w:r w:rsidRPr="00EC2897">
              <w:rPr>
                <w:rFonts w:eastAsiaTheme="minorEastAsia" w:cs="Calibri"/>
                <w:i/>
                <w:iCs/>
                <w:color w:val="000000"/>
                <w:szCs w:val="20"/>
                <w:lang w:eastAsia="en-AU"/>
              </w:rPr>
              <w:t xml:space="preserve"> Financial Management Act, No. 18 of 1994 – </w:t>
            </w:r>
            <w:r w:rsidRPr="00EC2897">
              <w:rPr>
                <w:rFonts w:eastAsiaTheme="minorEastAsia" w:cs="Calibri"/>
                <w:color w:val="000000"/>
                <w:szCs w:val="20"/>
                <w:lang w:eastAsia="en-AU"/>
              </w:rPr>
              <w:t xml:space="preserve">Section 25 </w:t>
            </w:r>
            <w:r w:rsidRPr="00EC2897">
              <w:rPr>
                <w:rFonts w:eastAsiaTheme="minorEastAsia" w:cs="Calibri"/>
                <w:i/>
                <w:iCs/>
                <w:color w:val="000000"/>
                <w:szCs w:val="20"/>
                <w:lang w:eastAsia="en-AU"/>
              </w:rPr>
              <w:t xml:space="preserve">of </w:t>
            </w:r>
            <w:r w:rsidRPr="00155927">
              <w:t>the</w:t>
            </w:r>
            <w:r w:rsidRPr="00EC2897">
              <w:rPr>
                <w:rFonts w:eastAsiaTheme="minorEastAsia" w:cs="Calibri"/>
                <w:i/>
                <w:iCs/>
                <w:color w:val="000000"/>
                <w:szCs w:val="20"/>
                <w:lang w:eastAsia="en-AU"/>
              </w:rPr>
              <w:t xml:space="preserve"> Murray-Darling Basin Act 1993</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6 944</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8 712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Victorian Law Reform Commission – pursuant to Section 17</w:t>
            </w:r>
            <w:r w:rsidRPr="00155927">
              <w:t>(b)</w:t>
            </w:r>
            <w:r w:rsidRPr="00EC2897">
              <w:rPr>
                <w:rFonts w:eastAsiaTheme="minorEastAsia" w:cs="Calibri"/>
                <w:color w:val="000000"/>
                <w:szCs w:val="20"/>
                <w:lang w:eastAsia="en-AU"/>
              </w:rPr>
              <w:t xml:space="preserve"> of the </w:t>
            </w:r>
            <w:r w:rsidRPr="00155927">
              <w:rPr>
                <w:rFonts w:eastAsiaTheme="minorEastAsia" w:cs="Calibri"/>
                <w:i/>
                <w:color w:val="000000"/>
                <w:szCs w:val="20"/>
                <w:lang w:eastAsia="en-AU"/>
              </w:rPr>
              <w:t>Victorian Law Reform Commission Act 2000</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8.2.8</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694</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706</w:t>
            </w:r>
          </w:p>
        </w:tc>
      </w:tr>
      <w:tr w:rsidR="00BB6F1F" w:rsidRPr="00EC2897" w:rsidTr="00155927">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single" w:sz="6" w:space="0" w:color="auto"/>
              <w:right w:val="nil"/>
            </w:tcBorders>
          </w:tcPr>
          <w:p w:rsidR="00BB6F1F" w:rsidRPr="00EC2897" w:rsidRDefault="00BB6F1F" w:rsidP="00BB5411">
            <w:pPr>
              <w:keepLines w:val="0"/>
              <w:autoSpaceDE w:val="0"/>
              <w:autoSpaceDN w:val="0"/>
              <w:adjustRightInd w:val="0"/>
              <w:rPr>
                <w:rFonts w:eastAsiaTheme="minorEastAsia" w:cs="Calibri"/>
                <w:i/>
                <w:iCs/>
                <w:color w:val="000000"/>
                <w:szCs w:val="20"/>
                <w:lang w:eastAsia="en-AU"/>
              </w:rPr>
            </w:pPr>
            <w:r w:rsidRPr="00EC2897">
              <w:rPr>
                <w:rFonts w:eastAsiaTheme="minorEastAsia" w:cs="Calibri"/>
                <w:color w:val="000000"/>
                <w:szCs w:val="20"/>
                <w:lang w:eastAsia="en-AU"/>
              </w:rPr>
              <w:t xml:space="preserve">Payment to Regional Growth Fund pursuant to Section 4 of </w:t>
            </w:r>
            <w:r w:rsidRPr="00155927">
              <w:t>the</w:t>
            </w:r>
            <w:r w:rsidRPr="00EC2897">
              <w:rPr>
                <w:rFonts w:eastAsiaTheme="minorEastAsia" w:cs="Calibri"/>
                <w:i/>
                <w:iCs/>
                <w:color w:val="000000"/>
                <w:szCs w:val="20"/>
                <w:lang w:eastAsia="en-AU"/>
              </w:rPr>
              <w:t xml:space="preserve"> Regional Growth Fund Act No.</w:t>
            </w:r>
            <w:r w:rsidR="00BB5411">
              <w:rPr>
                <w:rFonts w:eastAsiaTheme="minorEastAsia" w:cs="Calibri"/>
                <w:i/>
                <w:iCs/>
                <w:color w:val="000000"/>
                <w:szCs w:val="20"/>
                <w:lang w:eastAsia="en-AU"/>
              </w:rPr>
              <w:t> </w:t>
            </w:r>
            <w:r w:rsidRPr="00EC2897">
              <w:rPr>
                <w:rFonts w:eastAsiaTheme="minorEastAsia" w:cs="Calibri"/>
                <w:i/>
                <w:iCs/>
                <w:color w:val="000000"/>
                <w:szCs w:val="20"/>
                <w:lang w:eastAsia="en-AU"/>
              </w:rPr>
              <w:t>8 of 2011</w:t>
            </w:r>
          </w:p>
        </w:tc>
        <w:tc>
          <w:tcPr>
            <w:tcW w:w="709" w:type="dxa"/>
            <w:tcBorders>
              <w:top w:val="nil"/>
              <w:left w:val="nil"/>
              <w:bottom w:val="single" w:sz="6" w:space="0" w:color="auto"/>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8.2.8</w:t>
            </w:r>
          </w:p>
        </w:tc>
        <w:tc>
          <w:tcPr>
            <w:tcW w:w="1134"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125 000</w:t>
            </w:r>
          </w:p>
        </w:tc>
        <w:tc>
          <w:tcPr>
            <w:tcW w:w="1134"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125 000</w:t>
            </w:r>
          </w:p>
        </w:tc>
      </w:tr>
      <w:tr w:rsidR="00BB6F1F" w:rsidRPr="00EC2897" w:rsidTr="00155927">
        <w:tc>
          <w:tcPr>
            <w:cnfStyle w:val="001000000000" w:firstRow="0" w:lastRow="0" w:firstColumn="1" w:lastColumn="0" w:oddVBand="0" w:evenVBand="0" w:oddHBand="0" w:evenHBand="0" w:firstRowFirstColumn="0" w:firstRowLastColumn="0" w:lastRowFirstColumn="0" w:lastRowLastColumn="0"/>
            <w:tcW w:w="6661"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Total other</w:t>
            </w:r>
          </w:p>
        </w:tc>
        <w:tc>
          <w:tcPr>
            <w:tcW w:w="709" w:type="dxa"/>
            <w:tcBorders>
              <w:top w:val="single" w:sz="6" w:space="0" w:color="auto"/>
              <w:left w:val="nil"/>
              <w:bottom w:val="single" w:sz="6" w:space="0" w:color="auto"/>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4912">
              <w:rPr>
                <w:rFonts w:eastAsiaTheme="minorEastAsia" w:cs="Calibri"/>
                <w:bCs/>
                <w:color w:val="000000"/>
                <w:szCs w:val="20"/>
                <w:lang w:eastAsia="en-AU"/>
              </w:rPr>
              <w:t xml:space="preserve"> </w:t>
            </w:r>
          </w:p>
        </w:tc>
        <w:tc>
          <w:tcPr>
            <w:tcW w:w="113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152 762</w:t>
            </w:r>
          </w:p>
        </w:tc>
        <w:tc>
          <w:tcPr>
            <w:tcW w:w="113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149 274</w:t>
            </w:r>
          </w:p>
        </w:tc>
      </w:tr>
      <w:tr w:rsidR="00BB6F1F" w:rsidRPr="00EC2897" w:rsidTr="00155927">
        <w:trPr>
          <w:trHeight w:hRule="exact" w:val="120"/>
        </w:trPr>
        <w:tc>
          <w:tcPr>
            <w:cnfStyle w:val="001000000000" w:firstRow="0" w:lastRow="0" w:firstColumn="1" w:lastColumn="0" w:oddVBand="0" w:evenVBand="0" w:oddHBand="0" w:evenHBand="0" w:firstRowFirstColumn="0" w:firstRowLastColumn="0" w:lastRowFirstColumn="0" w:lastRowLastColumn="0"/>
            <w:tcW w:w="6661" w:type="dxa"/>
            <w:tcBorders>
              <w:top w:val="single" w:sz="6" w:space="0" w:color="auto"/>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709" w:type="dxa"/>
            <w:tcBorders>
              <w:top w:val="single" w:sz="6" w:space="0" w:color="auto"/>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4912">
              <w:rPr>
                <w:rFonts w:eastAsiaTheme="minorEastAsia" w:cs="Calibri"/>
                <w:color w:val="000000"/>
                <w:szCs w:val="20"/>
                <w:lang w:eastAsia="en-AU"/>
              </w:rPr>
              <w:t xml:space="preserve"> </w:t>
            </w:r>
          </w:p>
        </w:tc>
        <w:tc>
          <w:tcPr>
            <w:tcW w:w="1134" w:type="dxa"/>
            <w:tcBorders>
              <w:top w:val="single" w:sz="6" w:space="0" w:color="auto"/>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single" w:sz="6" w:space="0" w:color="auto"/>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bl>
    <w:p w:rsidR="00626AEF" w:rsidRDefault="00626AEF" w:rsidP="00626AEF">
      <w:pPr>
        <w:pStyle w:val="Heading30"/>
        <w:pBdr>
          <w:bottom w:val="none" w:sz="0" w:space="0" w:color="auto"/>
        </w:pBdr>
        <w:tabs>
          <w:tab w:val="left" w:pos="851"/>
        </w:tabs>
      </w:pPr>
      <w:r>
        <w:lastRenderedPageBreak/>
        <w:t>8.2.1</w:t>
      </w:r>
      <w:r>
        <w:tab/>
        <w:t xml:space="preserve">Summarised consolidated fund receipts and payments for the financial year ended 30 June </w:t>
      </w:r>
      <w:r>
        <w:br/>
      </w:r>
      <w:r>
        <w:tab/>
      </w:r>
      <w:r w:rsidRPr="00626AEF">
        <w:rPr>
          <w:i/>
        </w:rPr>
        <w:t>(continued)</w:t>
      </w:r>
    </w:p>
    <w:p w:rsidR="00626AEF" w:rsidRDefault="00626AEF" w:rsidP="00626AEF">
      <w:pPr>
        <w:pStyle w:val="TableUnits"/>
      </w:pPr>
      <w:r>
        <w:t>($ thousand)</w:t>
      </w:r>
    </w:p>
    <w:tbl>
      <w:tblPr>
        <w:tblStyle w:val="DTFTable"/>
        <w:tblW w:w="9638" w:type="dxa"/>
        <w:tblInd w:w="57" w:type="dxa"/>
        <w:tblLayout w:type="fixed"/>
        <w:tblLook w:val="04A0" w:firstRow="1" w:lastRow="0" w:firstColumn="1" w:lastColumn="0" w:noHBand="0" w:noVBand="1"/>
      </w:tblPr>
      <w:tblGrid>
        <w:gridCol w:w="6661"/>
        <w:gridCol w:w="709"/>
        <w:gridCol w:w="1134"/>
        <w:gridCol w:w="1134"/>
      </w:tblGrid>
      <w:tr w:rsidR="00626AEF" w:rsidRPr="00EC2897" w:rsidTr="00626A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1" w:type="dxa"/>
          </w:tcPr>
          <w:p w:rsidR="00626AEF" w:rsidRPr="00EC2897" w:rsidRDefault="00626AEF" w:rsidP="00C14F47">
            <w:pPr>
              <w:autoSpaceDE w:val="0"/>
              <w:autoSpaceDN w:val="0"/>
              <w:adjustRightInd w:val="0"/>
              <w:rPr>
                <w:rFonts w:eastAsiaTheme="minorEastAsia" w:cs="Calibri"/>
                <w:b/>
                <w:bCs/>
                <w:iCs/>
                <w:color w:val="FFFFFF"/>
                <w:szCs w:val="20"/>
                <w:lang w:eastAsia="en-AU"/>
              </w:rPr>
            </w:pPr>
          </w:p>
        </w:tc>
        <w:tc>
          <w:tcPr>
            <w:tcW w:w="709" w:type="dxa"/>
          </w:tcPr>
          <w:p w:rsidR="00626AEF" w:rsidRPr="00D54912" w:rsidRDefault="00626AEF" w:rsidP="00C14F47">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bCs/>
                <w:iCs/>
                <w:color w:val="FFFFFF"/>
                <w:szCs w:val="20"/>
                <w:lang w:eastAsia="en-AU"/>
              </w:rPr>
            </w:pPr>
            <w:r w:rsidRPr="00D54912">
              <w:rPr>
                <w:rFonts w:eastAsiaTheme="minorEastAsia" w:cs="Calibri"/>
                <w:bCs/>
                <w:iCs/>
                <w:color w:val="FFFFFF"/>
                <w:szCs w:val="20"/>
                <w:lang w:eastAsia="en-AU"/>
              </w:rPr>
              <w:t>Notes</w:t>
            </w:r>
          </w:p>
        </w:tc>
        <w:tc>
          <w:tcPr>
            <w:tcW w:w="1134" w:type="dxa"/>
          </w:tcPr>
          <w:p w:rsidR="00626AEF" w:rsidRPr="00D54912" w:rsidRDefault="00626AEF" w:rsidP="00C14F4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bCs/>
                <w:iCs/>
                <w:color w:val="FFFFFF"/>
                <w:szCs w:val="20"/>
                <w:lang w:eastAsia="en-AU"/>
              </w:rPr>
            </w:pPr>
            <w:r w:rsidRPr="00D54912">
              <w:rPr>
                <w:rFonts w:eastAsiaTheme="minorEastAsia" w:cs="Calibri"/>
                <w:bCs/>
                <w:iCs/>
                <w:color w:val="FFFFFF"/>
                <w:szCs w:val="20"/>
                <w:lang w:eastAsia="en-AU"/>
              </w:rPr>
              <w:t>2017</w:t>
            </w:r>
          </w:p>
        </w:tc>
        <w:tc>
          <w:tcPr>
            <w:tcW w:w="1134" w:type="dxa"/>
          </w:tcPr>
          <w:p w:rsidR="00626AEF" w:rsidRPr="00D54912" w:rsidRDefault="00626AEF" w:rsidP="00C14F4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bCs/>
                <w:iCs/>
                <w:color w:val="FFFFFF"/>
                <w:szCs w:val="20"/>
                <w:lang w:eastAsia="en-AU"/>
              </w:rPr>
            </w:pPr>
            <w:r w:rsidRPr="00D54912">
              <w:rPr>
                <w:rFonts w:eastAsiaTheme="minorEastAsia" w:cs="Calibri"/>
                <w:bCs/>
                <w:iCs/>
                <w:color w:val="FFFFFF"/>
                <w:szCs w:val="20"/>
                <w:lang w:eastAsia="en-AU"/>
              </w:rPr>
              <w:t>2016</w:t>
            </w:r>
          </w:p>
        </w:tc>
      </w:tr>
      <w:tr w:rsidR="00BB6F1F" w:rsidRPr="00D54912" w:rsidTr="00626AEF">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D54912" w:rsidRDefault="00BB6F1F" w:rsidP="00626AEF">
            <w:pPr>
              <w:keepLines w:val="0"/>
              <w:autoSpaceDE w:val="0"/>
              <w:autoSpaceDN w:val="0"/>
              <w:adjustRightInd w:val="0"/>
              <w:rPr>
                <w:rFonts w:eastAsiaTheme="minorEastAsia" w:cs="Calibri"/>
                <w:b/>
                <w:bCs/>
                <w:color w:val="000000"/>
                <w:szCs w:val="20"/>
                <w:lang w:eastAsia="en-AU"/>
              </w:rPr>
            </w:pPr>
            <w:r w:rsidRPr="00D54912">
              <w:rPr>
                <w:rFonts w:eastAsiaTheme="minorEastAsia" w:cs="Calibri"/>
                <w:b/>
                <w:bCs/>
                <w:color w:val="000000"/>
                <w:szCs w:val="20"/>
                <w:lang w:eastAsia="en-AU"/>
              </w:rPr>
              <w:t>Total annual appropriations</w:t>
            </w:r>
          </w:p>
        </w:tc>
        <w:tc>
          <w:tcPr>
            <w:tcW w:w="709" w:type="dxa"/>
            <w:tcBorders>
              <w:top w:val="nil"/>
              <w:left w:val="nil"/>
              <w:bottom w:val="nil"/>
              <w:right w:val="nil"/>
            </w:tcBorders>
          </w:tcPr>
          <w:p w:rsidR="00BB6F1F" w:rsidRPr="00D54912" w:rsidRDefault="00BB6F1F" w:rsidP="00A351BA">
            <w:pPr>
              <w:keepLines w:val="0"/>
              <w:pageBreakBefore/>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D54912">
              <w:rPr>
                <w:rFonts w:eastAsiaTheme="minorEastAsia" w:cs="Calibri"/>
                <w:b/>
                <w:bCs/>
                <w:color w:val="000000"/>
                <w:szCs w:val="20"/>
                <w:lang w:eastAsia="en-AU"/>
              </w:rPr>
              <w:t xml:space="preserve"> </w:t>
            </w:r>
          </w:p>
        </w:tc>
        <w:tc>
          <w:tcPr>
            <w:tcW w:w="1134" w:type="dxa"/>
            <w:tcBorders>
              <w:top w:val="nil"/>
              <w:left w:val="nil"/>
              <w:bottom w:val="nil"/>
              <w:right w:val="nil"/>
            </w:tcBorders>
          </w:tcPr>
          <w:p w:rsidR="00BB6F1F" w:rsidRPr="00D54912" w:rsidRDefault="00BB6F1F" w:rsidP="00A351BA">
            <w:pPr>
              <w:keepLines w:val="0"/>
              <w:pageBreakBefore/>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20"/>
                <w:lang w:eastAsia="en-AU"/>
              </w:rPr>
            </w:pPr>
            <w:r w:rsidRPr="00D54912">
              <w:rPr>
                <w:rFonts w:eastAsiaTheme="minorEastAsia" w:cs="Calibri"/>
                <w:b/>
                <w:color w:val="000000"/>
                <w:szCs w:val="20"/>
                <w:lang w:eastAsia="en-AU"/>
              </w:rPr>
              <w:t>49 178 944</w:t>
            </w:r>
          </w:p>
        </w:tc>
        <w:tc>
          <w:tcPr>
            <w:tcW w:w="1134" w:type="dxa"/>
            <w:tcBorders>
              <w:top w:val="nil"/>
              <w:left w:val="nil"/>
              <w:bottom w:val="nil"/>
              <w:right w:val="nil"/>
            </w:tcBorders>
          </w:tcPr>
          <w:p w:rsidR="00BB6F1F" w:rsidRPr="00D54912" w:rsidRDefault="00BB6F1F" w:rsidP="00A351BA">
            <w:pPr>
              <w:keepLines w:val="0"/>
              <w:pageBreakBefore/>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20"/>
                <w:lang w:eastAsia="en-AU"/>
              </w:rPr>
            </w:pPr>
            <w:r w:rsidRPr="00D54912">
              <w:rPr>
                <w:rFonts w:eastAsiaTheme="minorEastAsia" w:cs="Calibri"/>
                <w:b/>
                <w:color w:val="000000"/>
                <w:szCs w:val="20"/>
                <w:lang w:eastAsia="en-AU"/>
              </w:rPr>
              <w:t>43 448 823</w:t>
            </w:r>
          </w:p>
        </w:tc>
      </w:tr>
      <w:tr w:rsidR="00BB6F1F" w:rsidRPr="00EC2897" w:rsidTr="00626AEF">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Applied appropriations remaining unspent relating to the 2016-17 appropriations</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4912">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(705 557)</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(1 095 338)</w:t>
            </w:r>
          </w:p>
        </w:tc>
      </w:tr>
      <w:tr w:rsidR="00BB6F1F" w:rsidRPr="00EC2897" w:rsidTr="00626AEF">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 xml:space="preserve">Total payments </w:t>
            </w:r>
          </w:p>
        </w:tc>
        <w:tc>
          <w:tcPr>
            <w:tcW w:w="709" w:type="dxa"/>
            <w:tcBorders>
              <w:top w:val="single" w:sz="6" w:space="0" w:color="auto"/>
              <w:left w:val="nil"/>
              <w:bottom w:val="single" w:sz="6" w:space="0" w:color="auto"/>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4912">
              <w:rPr>
                <w:rFonts w:eastAsiaTheme="minorEastAsia" w:cs="Calibri"/>
                <w:bCs/>
                <w:color w:val="000000"/>
                <w:szCs w:val="20"/>
                <w:lang w:eastAsia="en-AU"/>
              </w:rPr>
              <w:t xml:space="preserve"> </w:t>
            </w:r>
          </w:p>
        </w:tc>
        <w:tc>
          <w:tcPr>
            <w:tcW w:w="113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57 780 966</w:t>
            </w:r>
          </w:p>
        </w:tc>
        <w:tc>
          <w:tcPr>
            <w:tcW w:w="113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46 599 199</w:t>
            </w:r>
          </w:p>
        </w:tc>
      </w:tr>
      <w:tr w:rsidR="00BB6F1F" w:rsidRPr="00EC2897" w:rsidTr="00626AEF">
        <w:tblPrEx>
          <w:tblCellMar>
            <w:left w:w="45" w:type="dxa"/>
            <w:right w:w="45" w:type="dxa"/>
          </w:tblCellMar>
          <w:tblLook w:val="06A0" w:firstRow="1" w:lastRow="0" w:firstColumn="1" w:lastColumn="0" w:noHBand="1" w:noVBand="1"/>
        </w:tblPrEx>
        <w:trPr>
          <w:trHeight w:hRule="exact" w:val="120"/>
        </w:trPr>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4912">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single" w:sz="6" w:space="0" w:color="auto"/>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r>
      <w:tr w:rsidR="00BB6F1F" w:rsidRPr="00EC2897" w:rsidTr="00626AEF">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 xml:space="preserve">Consolidated fund balance 1 July </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4912">
              <w:rPr>
                <w:rFonts w:eastAsiaTheme="minorEastAsia" w:cs="Calibri"/>
                <w:b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520 516</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639 110</w:t>
            </w:r>
          </w:p>
        </w:tc>
      </w:tr>
      <w:tr w:rsidR="00BB6F1F" w:rsidRPr="00EC2897" w:rsidTr="00626AEF">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 xml:space="preserve">Add total receipts for year </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4912">
              <w:rPr>
                <w:rFonts w:eastAsiaTheme="minorEastAsia" w:cs="Calibri"/>
                <w:b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57 323 333</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46 480 605</w:t>
            </w:r>
          </w:p>
        </w:tc>
      </w:tr>
      <w:tr w:rsidR="00BB6F1F" w:rsidRPr="00EC2897" w:rsidTr="00626AEF">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Less total payments for year</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4912">
              <w:rPr>
                <w:rFonts w:eastAsiaTheme="minorEastAsia" w:cs="Calibri"/>
                <w:b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(57 780 966)</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(46 599 199)</w:t>
            </w:r>
          </w:p>
        </w:tc>
      </w:tr>
      <w:tr w:rsidR="00BB6F1F" w:rsidRPr="00EC2897" w:rsidTr="00626AEF">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 xml:space="preserve">Consolidated fund balance 30 June </w:t>
            </w:r>
          </w:p>
        </w:tc>
        <w:tc>
          <w:tcPr>
            <w:tcW w:w="709" w:type="dxa"/>
            <w:tcBorders>
              <w:top w:val="single" w:sz="6" w:space="0" w:color="auto"/>
              <w:left w:val="nil"/>
              <w:bottom w:val="single" w:sz="6" w:space="0" w:color="auto"/>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D54912">
              <w:rPr>
                <w:rFonts w:eastAsiaTheme="minorEastAsia" w:cs="Calibri"/>
                <w:bCs/>
                <w:color w:val="000000"/>
                <w:szCs w:val="20"/>
                <w:lang w:eastAsia="en-AU"/>
              </w:rPr>
              <w:t xml:space="preserve"> </w:t>
            </w:r>
          </w:p>
        </w:tc>
        <w:tc>
          <w:tcPr>
            <w:tcW w:w="113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62 884</w:t>
            </w:r>
          </w:p>
        </w:tc>
        <w:tc>
          <w:tcPr>
            <w:tcW w:w="113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520 516</w:t>
            </w:r>
          </w:p>
        </w:tc>
      </w:tr>
      <w:tr w:rsidR="00BB6F1F" w:rsidRPr="00EC2897" w:rsidTr="00626AEF">
        <w:tblPrEx>
          <w:tblCellMar>
            <w:left w:w="45" w:type="dxa"/>
            <w:right w:w="45" w:type="dxa"/>
          </w:tblCellMar>
          <w:tblLook w:val="06A0" w:firstRow="1" w:lastRow="0" w:firstColumn="1" w:lastColumn="0" w:noHBand="1" w:noVBand="1"/>
        </w:tblPrEx>
        <w:trPr>
          <w:trHeight w:hRule="exact" w:val="120"/>
        </w:trPr>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709" w:type="dxa"/>
            <w:tcBorders>
              <w:top w:val="nil"/>
              <w:left w:val="nil"/>
              <w:bottom w:val="nil"/>
              <w:right w:val="nil"/>
            </w:tcBorders>
            <w:shd w:val="solid" w:color="FFFFFF" w:fill="auto"/>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D54912">
              <w:rPr>
                <w:rFonts w:eastAsiaTheme="minorEastAsia" w:cs="Calibri"/>
                <w:color w:val="000000"/>
                <w:szCs w:val="20"/>
                <w:lang w:eastAsia="en-AU"/>
              </w:rPr>
              <w:t xml:space="preserve"> </w:t>
            </w:r>
          </w:p>
        </w:tc>
        <w:tc>
          <w:tcPr>
            <w:tcW w:w="1134"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r>
      <w:tr w:rsidR="00BB6F1F" w:rsidRPr="00EC2897" w:rsidTr="00626AEF">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i/>
                <w:iCs/>
                <w:color w:val="000000"/>
                <w:szCs w:val="20"/>
                <w:lang w:eastAsia="en-AU"/>
              </w:rPr>
            </w:pPr>
            <w:r w:rsidRPr="00EC2897">
              <w:rPr>
                <w:rFonts w:eastAsiaTheme="minorEastAsia" w:cs="Calibri"/>
                <w:i/>
                <w:iCs/>
                <w:color w:val="000000"/>
                <w:szCs w:val="20"/>
                <w:lang w:eastAsia="en-AU"/>
              </w:rPr>
              <w:t>Reconciliation of unspent appropriations:</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20"/>
                <w:lang w:eastAsia="en-AU"/>
              </w:rPr>
            </w:pPr>
            <w:r w:rsidRPr="00EC2897">
              <w:rPr>
                <w:rFonts w:eastAsiaTheme="minorEastAsia" w:cs="Calibri"/>
                <w:i/>
                <w:i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r>
      <w:tr w:rsidR="00BB6F1F" w:rsidRPr="00EC2897" w:rsidTr="00626AEF">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i/>
                <w:iCs/>
                <w:color w:val="000000"/>
                <w:szCs w:val="20"/>
                <w:vertAlign w:val="superscript"/>
                <w:lang w:eastAsia="en-AU"/>
              </w:rPr>
            </w:pPr>
            <w:r w:rsidRPr="00EC2897">
              <w:rPr>
                <w:rFonts w:eastAsiaTheme="minorEastAsia" w:cs="Calibri"/>
                <w:i/>
                <w:iCs/>
                <w:color w:val="000000"/>
                <w:szCs w:val="20"/>
                <w:lang w:eastAsia="en-AU"/>
              </w:rPr>
              <w:t xml:space="preserve">   Applied appropriations unspent at end of year</w:t>
            </w:r>
            <w:r w:rsidRPr="00EC2897">
              <w:rPr>
                <w:rFonts w:eastAsiaTheme="minorEastAsia" w:cs="Calibri"/>
                <w:i/>
                <w:iCs/>
                <w:color w:val="000000"/>
                <w:szCs w:val="20"/>
                <w:vertAlign w:val="superscript"/>
                <w:lang w:eastAsia="en-AU"/>
              </w:rPr>
              <w:t xml:space="preserve"> </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7 284 728</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7 042 300</w:t>
            </w:r>
          </w:p>
        </w:tc>
      </w:tr>
      <w:tr w:rsidR="00BB6F1F" w:rsidRPr="00EC2897" w:rsidTr="00626AEF">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i/>
                <w:iCs/>
                <w:color w:val="000000"/>
                <w:szCs w:val="20"/>
                <w:lang w:eastAsia="en-AU"/>
              </w:rPr>
            </w:pPr>
            <w:r w:rsidRPr="00EC2897">
              <w:rPr>
                <w:rFonts w:eastAsiaTheme="minorEastAsia" w:cs="Calibri"/>
                <w:i/>
                <w:iCs/>
                <w:color w:val="000000"/>
                <w:szCs w:val="20"/>
                <w:lang w:eastAsia="en-AU"/>
              </w:rPr>
              <w:t xml:space="preserve">   </w:t>
            </w:r>
            <w:r w:rsidR="009406ED" w:rsidRPr="00EC2897">
              <w:rPr>
                <w:rFonts w:eastAsiaTheme="minorEastAsia" w:cs="Calibri"/>
                <w:i/>
                <w:iCs/>
                <w:color w:val="000000"/>
                <w:szCs w:val="20"/>
                <w:lang w:eastAsia="en-AU"/>
              </w:rPr>
              <w:t xml:space="preserve">Add </w:t>
            </w:r>
            <w:r w:rsidRPr="00EC2897">
              <w:rPr>
                <w:rFonts w:eastAsiaTheme="minorEastAsia" w:cs="Calibri"/>
                <w:i/>
                <w:iCs/>
                <w:color w:val="000000"/>
                <w:szCs w:val="20"/>
                <w:lang w:eastAsia="en-AU"/>
              </w:rPr>
              <w:t xml:space="preserve">payments made during the year under the </w:t>
            </w:r>
            <w:r w:rsidRPr="00155927">
              <w:rPr>
                <w:rFonts w:eastAsiaTheme="minorEastAsia" w:cs="Calibri"/>
                <w:iCs/>
                <w:color w:val="000000"/>
                <w:szCs w:val="20"/>
                <w:lang w:eastAsia="en-AU"/>
              </w:rPr>
              <w:t>Financial Management Act, No. 18 of 1994</w:t>
            </w:r>
            <w:r w:rsidRPr="00EC2897">
              <w:rPr>
                <w:rFonts w:eastAsiaTheme="minorEastAsia" w:cs="Calibri"/>
                <w:i/>
                <w:iCs/>
                <w:color w:val="000000"/>
                <w:szCs w:val="20"/>
                <w:lang w:eastAsia="en-AU"/>
              </w:rPr>
              <w:t>, Section 33</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463 129</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359 183</w:t>
            </w:r>
          </w:p>
        </w:tc>
      </w:tr>
      <w:tr w:rsidR="00BB6F1F" w:rsidRPr="00EC2897" w:rsidTr="00626AEF">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single" w:sz="6" w:space="0" w:color="auto"/>
              <w:left w:val="nil"/>
              <w:bottom w:val="nil"/>
              <w:right w:val="nil"/>
            </w:tcBorders>
          </w:tcPr>
          <w:p w:rsidR="00BB6F1F" w:rsidRPr="00EC2897" w:rsidRDefault="00BB6F1F" w:rsidP="00AC68FF">
            <w:pPr>
              <w:keepLines w:val="0"/>
              <w:autoSpaceDE w:val="0"/>
              <w:autoSpaceDN w:val="0"/>
              <w:adjustRightInd w:val="0"/>
              <w:rPr>
                <w:rFonts w:eastAsiaTheme="minorEastAsia" w:cs="Calibri"/>
                <w:b/>
                <w:bCs/>
                <w:i/>
                <w:iCs/>
                <w:color w:val="000000"/>
                <w:szCs w:val="20"/>
                <w:vertAlign w:val="superscript"/>
                <w:lang w:eastAsia="en-AU"/>
              </w:rPr>
            </w:pPr>
            <w:r w:rsidRPr="00EC2897">
              <w:rPr>
                <w:rFonts w:eastAsiaTheme="minorEastAsia" w:cs="Calibri"/>
                <w:b/>
                <w:bCs/>
                <w:i/>
                <w:iCs/>
                <w:color w:val="000000"/>
                <w:szCs w:val="20"/>
                <w:lang w:eastAsia="en-AU"/>
              </w:rPr>
              <w:t xml:space="preserve">   Subtotal</w:t>
            </w:r>
            <w:r w:rsidRPr="00EC2897">
              <w:rPr>
                <w:rFonts w:eastAsiaTheme="minorEastAsia" w:cs="Calibri"/>
                <w:b/>
                <w:bCs/>
                <w:i/>
                <w:iCs/>
                <w:color w:val="000000"/>
                <w:szCs w:val="20"/>
                <w:vertAlign w:val="superscript"/>
                <w:lang w:eastAsia="en-AU"/>
              </w:rPr>
              <w:t xml:space="preserve"> </w:t>
            </w:r>
          </w:p>
        </w:tc>
        <w:tc>
          <w:tcPr>
            <w:tcW w:w="709" w:type="dxa"/>
            <w:tcBorders>
              <w:top w:val="single" w:sz="6" w:space="0" w:color="auto"/>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iCs/>
                <w:color w:val="000000"/>
                <w:szCs w:val="20"/>
                <w:lang w:eastAsia="en-AU"/>
              </w:rPr>
            </w:pPr>
            <w:r w:rsidRPr="00D54912">
              <w:rPr>
                <w:rFonts w:eastAsiaTheme="minorEastAsia" w:cs="Calibri"/>
                <w:bCs/>
                <w:iCs/>
                <w:color w:val="000000"/>
                <w:szCs w:val="20"/>
                <w:lang w:eastAsia="en-AU"/>
              </w:rPr>
              <w:t xml:space="preserve"> </w:t>
            </w:r>
          </w:p>
        </w:tc>
        <w:tc>
          <w:tcPr>
            <w:tcW w:w="1134" w:type="dxa"/>
            <w:tcBorders>
              <w:top w:val="single" w:sz="6" w:space="0" w:color="auto"/>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7 747 857</w:t>
            </w:r>
          </w:p>
        </w:tc>
        <w:tc>
          <w:tcPr>
            <w:tcW w:w="1134" w:type="dxa"/>
            <w:tcBorders>
              <w:top w:val="single" w:sz="6" w:space="0" w:color="auto"/>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7 401 483</w:t>
            </w:r>
          </w:p>
        </w:tc>
      </w:tr>
      <w:tr w:rsidR="00BB6F1F" w:rsidRPr="00EC2897" w:rsidTr="00626AEF">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i/>
                <w:iCs/>
                <w:color w:val="000000"/>
                <w:szCs w:val="20"/>
                <w:lang w:eastAsia="en-AU"/>
              </w:rPr>
            </w:pPr>
            <w:r w:rsidRPr="00EC2897">
              <w:rPr>
                <w:rFonts w:eastAsiaTheme="minorEastAsia" w:cs="Calibri"/>
                <w:i/>
                <w:iCs/>
                <w:color w:val="000000"/>
                <w:szCs w:val="20"/>
                <w:lang w:eastAsia="en-AU"/>
              </w:rPr>
              <w:t xml:space="preserve">   </w:t>
            </w:r>
            <w:r w:rsidR="009406ED" w:rsidRPr="00EC2897">
              <w:rPr>
                <w:rFonts w:eastAsiaTheme="minorEastAsia" w:cs="Calibri"/>
                <w:i/>
                <w:iCs/>
                <w:color w:val="000000"/>
                <w:szCs w:val="20"/>
                <w:lang w:eastAsia="en-AU"/>
              </w:rPr>
              <w:t xml:space="preserve">Less </w:t>
            </w:r>
            <w:r w:rsidRPr="00EC2897">
              <w:rPr>
                <w:rFonts w:eastAsiaTheme="minorEastAsia" w:cs="Calibri"/>
                <w:i/>
                <w:iCs/>
                <w:color w:val="000000"/>
                <w:szCs w:val="20"/>
                <w:lang w:eastAsia="en-AU"/>
              </w:rPr>
              <w:t>applied appropriations unspent at beginning of year</w:t>
            </w:r>
          </w:p>
        </w:tc>
        <w:tc>
          <w:tcPr>
            <w:tcW w:w="709" w:type="dxa"/>
            <w:tcBorders>
              <w:top w:val="nil"/>
              <w:left w:val="nil"/>
              <w:bottom w:val="nil"/>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D54912">
              <w:rPr>
                <w:rFonts w:eastAsiaTheme="minorEastAsia" w:cs="Calibri"/>
                <w:i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(7 042 300)</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(6 306 145)</w:t>
            </w:r>
          </w:p>
        </w:tc>
      </w:tr>
      <w:tr w:rsidR="00BB6F1F" w:rsidRPr="00EC2897" w:rsidTr="00626AEF">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rPr>
                <w:rFonts w:eastAsiaTheme="minorEastAsia" w:cs="Calibri"/>
                <w:i/>
                <w:iCs/>
                <w:color w:val="000000"/>
                <w:szCs w:val="20"/>
                <w:vertAlign w:val="superscript"/>
                <w:lang w:eastAsia="en-AU"/>
              </w:rPr>
            </w:pPr>
            <w:r w:rsidRPr="00EC2897">
              <w:rPr>
                <w:rFonts w:eastAsiaTheme="minorEastAsia" w:cs="Calibri"/>
                <w:i/>
                <w:iCs/>
                <w:color w:val="000000"/>
                <w:szCs w:val="20"/>
                <w:lang w:eastAsia="en-AU"/>
              </w:rPr>
              <w:t xml:space="preserve">   Current year appropriations remaining unspent as at 30 June</w:t>
            </w:r>
            <w:r w:rsidRPr="00EC2897">
              <w:rPr>
                <w:rFonts w:eastAsiaTheme="minorEastAsia" w:cs="Calibri"/>
                <w:i/>
                <w:iCs/>
                <w:color w:val="000000"/>
                <w:szCs w:val="20"/>
                <w:vertAlign w:val="superscript"/>
                <w:lang w:eastAsia="en-AU"/>
              </w:rPr>
              <w:t xml:space="preserve"> </w:t>
            </w:r>
          </w:p>
        </w:tc>
        <w:tc>
          <w:tcPr>
            <w:tcW w:w="709" w:type="dxa"/>
            <w:tcBorders>
              <w:top w:val="single" w:sz="6" w:space="0" w:color="auto"/>
              <w:left w:val="nil"/>
              <w:bottom w:val="single" w:sz="12" w:space="0" w:color="auto"/>
              <w:right w:val="nil"/>
            </w:tcBorders>
          </w:tcPr>
          <w:p w:rsidR="00BB6F1F" w:rsidRPr="00D54912" w:rsidRDefault="00BB6F1F" w:rsidP="00AC68FF">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
                <w:iCs/>
                <w:color w:val="000000"/>
                <w:szCs w:val="20"/>
                <w:lang w:eastAsia="en-AU"/>
              </w:rPr>
            </w:pPr>
            <w:r w:rsidRPr="00D54912">
              <w:rPr>
                <w:rFonts w:eastAsiaTheme="minorEastAsia" w:cs="Calibri"/>
                <w:b/>
                <w:iCs/>
                <w:color w:val="000000"/>
                <w:szCs w:val="20"/>
                <w:lang w:eastAsia="en-AU"/>
              </w:rPr>
              <w:t xml:space="preserve"> </w:t>
            </w:r>
          </w:p>
        </w:tc>
        <w:tc>
          <w:tcPr>
            <w:tcW w:w="1134"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705 557</w:t>
            </w:r>
          </w:p>
        </w:tc>
        <w:tc>
          <w:tcPr>
            <w:tcW w:w="1134"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1 095 338</w:t>
            </w:r>
          </w:p>
        </w:tc>
      </w:tr>
    </w:tbl>
    <w:p w:rsidR="00BB6F1F" w:rsidRPr="009E73EA" w:rsidRDefault="00BB6F1F" w:rsidP="00AC68FF">
      <w:pPr>
        <w:pStyle w:val="Note"/>
      </w:pPr>
    </w:p>
    <w:p w:rsidR="00BB6F1F" w:rsidRDefault="00BB6F1F">
      <w:pPr>
        <w:keepLines w:val="0"/>
        <w:rPr>
          <w:rFonts w:asciiTheme="majorHAnsi" w:eastAsiaTheme="majorEastAsia" w:hAnsiTheme="majorHAnsi" w:cstheme="majorBidi"/>
          <w:b/>
          <w:bCs/>
          <w:spacing w:val="-2"/>
          <w:sz w:val="23"/>
          <w:szCs w:val="26"/>
        </w:rPr>
      </w:pPr>
      <w:r>
        <w:br w:type="page"/>
      </w:r>
    </w:p>
    <w:p w:rsidR="00BB6F1F" w:rsidRPr="007B2989" w:rsidRDefault="00BB6F1F" w:rsidP="00343347">
      <w:pPr>
        <w:pStyle w:val="Heading3"/>
        <w:numPr>
          <w:ilvl w:val="2"/>
          <w:numId w:val="24"/>
        </w:numPr>
        <w:tabs>
          <w:tab w:val="right" w:pos="14572"/>
        </w:tabs>
        <w:spacing w:after="0"/>
        <w:ind w:left="851"/>
      </w:pPr>
      <w:bookmarkStart w:id="64" w:name="_Toc492984930"/>
      <w:r w:rsidRPr="007B2989">
        <w:lastRenderedPageBreak/>
        <w:t xml:space="preserve">Consolidated fund receipts for the financial year ended 30 June </w:t>
      </w:r>
      <w:r w:rsidRPr="007B2989">
        <w:rPr>
          <w:vertAlign w:val="superscript"/>
        </w:rPr>
        <w:t>(a)</w:t>
      </w:r>
      <w:bookmarkEnd w:id="64"/>
    </w:p>
    <w:p w:rsidR="00BB6F1F" w:rsidRPr="00EC2897" w:rsidRDefault="00BB6F1F" w:rsidP="00AC68FF">
      <w:pPr>
        <w:pStyle w:val="TableUnits"/>
        <w:rPr>
          <w:bCs/>
          <w:lang w:val="en-US"/>
        </w:rPr>
      </w:pPr>
      <w:r w:rsidRPr="00546346">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355"/>
        <w:gridCol w:w="1134"/>
        <w:gridCol w:w="1037"/>
        <w:gridCol w:w="1111"/>
      </w:tblGrid>
      <w:tr w:rsidR="00A351BA" w:rsidRPr="00EC2897" w:rsidTr="00A351BA">
        <w:trPr>
          <w:cnfStyle w:val="100000000000" w:firstRow="1" w:lastRow="0" w:firstColumn="0" w:lastColumn="0" w:oddVBand="0" w:evenVBand="0" w:oddHBand="0" w:evenHBand="0" w:firstRowFirstColumn="0" w:firstRowLastColumn="0" w:lastRowFirstColumn="0" w:lastRowLastColumn="0"/>
          <w:trHeight w:val="207"/>
          <w:tblHeader/>
        </w:trPr>
        <w:tc>
          <w:tcPr>
            <w:cnfStyle w:val="001000000000" w:firstRow="0" w:lastRow="0" w:firstColumn="1" w:lastColumn="0" w:oddVBand="0" w:evenVBand="0" w:oddHBand="0" w:evenHBand="0" w:firstRowFirstColumn="0" w:firstRowLastColumn="0" w:lastRowFirstColumn="0" w:lastRowLastColumn="0"/>
            <w:tcW w:w="6355" w:type="dxa"/>
            <w:tcBorders>
              <w:top w:val="nil"/>
              <w:left w:val="nil"/>
              <w:right w:val="nil"/>
            </w:tcBorders>
            <w:shd w:val="solid" w:color="000000" w:fill="auto"/>
          </w:tcPr>
          <w:p w:rsidR="00A351BA" w:rsidRPr="00EC2897" w:rsidRDefault="00A351BA" w:rsidP="00AC68FF">
            <w:pPr>
              <w:autoSpaceDE w:val="0"/>
              <w:autoSpaceDN w:val="0"/>
              <w:adjustRightInd w:val="0"/>
              <w:rPr>
                <w:rFonts w:eastAsiaTheme="minorEastAsia" w:cs="Calibri"/>
                <w:iCs/>
                <w:color w:val="FFFFFF"/>
                <w:szCs w:val="20"/>
                <w:lang w:eastAsia="en-AU"/>
              </w:rPr>
            </w:pPr>
          </w:p>
        </w:tc>
        <w:tc>
          <w:tcPr>
            <w:tcW w:w="1134" w:type="dxa"/>
            <w:tcBorders>
              <w:top w:val="nil"/>
              <w:left w:val="nil"/>
              <w:right w:val="nil"/>
            </w:tcBorders>
            <w:shd w:val="solid" w:color="000000" w:fill="auto"/>
          </w:tcPr>
          <w:p w:rsidR="00A351BA" w:rsidRPr="00EC2897" w:rsidRDefault="00A351BA" w:rsidP="00A351B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Estimate</w:t>
            </w:r>
            <w:r>
              <w:rPr>
                <w:rFonts w:eastAsiaTheme="minorEastAsia" w:cs="Calibri"/>
                <w:iCs/>
                <w:color w:val="FFFFFF"/>
                <w:szCs w:val="20"/>
                <w:lang w:eastAsia="en-AU"/>
              </w:rPr>
              <w:br/>
            </w:r>
            <w:r w:rsidRPr="00EC2897">
              <w:rPr>
                <w:rFonts w:eastAsiaTheme="minorEastAsia" w:cs="Calibri"/>
                <w:iCs/>
                <w:color w:val="FFFFFF"/>
                <w:szCs w:val="20"/>
                <w:lang w:eastAsia="en-AU"/>
              </w:rPr>
              <w:t>2017</w:t>
            </w:r>
          </w:p>
        </w:tc>
        <w:tc>
          <w:tcPr>
            <w:tcW w:w="1037" w:type="dxa"/>
            <w:tcBorders>
              <w:top w:val="nil"/>
              <w:left w:val="nil"/>
              <w:right w:val="nil"/>
            </w:tcBorders>
            <w:shd w:val="solid" w:color="000000" w:fill="auto"/>
          </w:tcPr>
          <w:p w:rsidR="00A351BA" w:rsidRPr="00EC2897" w:rsidRDefault="00A351BA" w:rsidP="00A351B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Actual</w:t>
            </w:r>
            <w:r>
              <w:rPr>
                <w:rFonts w:eastAsiaTheme="minorEastAsia" w:cs="Calibri"/>
                <w:iCs/>
                <w:color w:val="FFFFFF"/>
                <w:szCs w:val="20"/>
                <w:lang w:eastAsia="en-AU"/>
              </w:rPr>
              <w:br/>
            </w:r>
            <w:r w:rsidRPr="00EC2897">
              <w:rPr>
                <w:rFonts w:eastAsiaTheme="minorEastAsia" w:cs="Calibri"/>
                <w:iCs/>
                <w:color w:val="FFFFFF"/>
                <w:szCs w:val="20"/>
                <w:lang w:eastAsia="en-AU"/>
              </w:rPr>
              <w:t>2017</w:t>
            </w:r>
          </w:p>
        </w:tc>
        <w:tc>
          <w:tcPr>
            <w:tcW w:w="1111" w:type="dxa"/>
            <w:tcBorders>
              <w:top w:val="nil"/>
              <w:left w:val="nil"/>
              <w:right w:val="nil"/>
            </w:tcBorders>
            <w:shd w:val="solid" w:color="000000" w:fill="auto"/>
          </w:tcPr>
          <w:p w:rsidR="00A351BA" w:rsidRPr="00EC2897" w:rsidRDefault="00A351BA" w:rsidP="00A351B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Actual</w:t>
            </w:r>
            <w:r>
              <w:rPr>
                <w:rFonts w:eastAsiaTheme="minorEastAsia" w:cs="Calibri"/>
                <w:iCs/>
                <w:color w:val="FFFFFF"/>
                <w:szCs w:val="20"/>
                <w:lang w:eastAsia="en-AU"/>
              </w:rPr>
              <w:br/>
            </w:r>
            <w:r w:rsidRPr="00EC2897">
              <w:rPr>
                <w:rFonts w:eastAsiaTheme="minorEastAsia" w:cs="Calibri"/>
                <w:iCs/>
                <w:color w:val="FFFFFF"/>
                <w:szCs w:val="20"/>
                <w:lang w:eastAsia="en-AU"/>
              </w:rPr>
              <w:t>2016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Operating activities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Taxation</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FF0000"/>
                <w:szCs w:val="20"/>
                <w:lang w:eastAsia="en-AU"/>
              </w:rPr>
            </w:pPr>
            <w:r w:rsidRPr="00EC2897">
              <w:rPr>
                <w:rFonts w:eastAsiaTheme="minorEastAsia" w:cs="Calibri"/>
                <w:color w:val="FF0000"/>
                <w:szCs w:val="20"/>
                <w:lang w:eastAsia="en-AU"/>
              </w:rPr>
              <w:t xml:space="preserve"> </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FF0000"/>
                <w:szCs w:val="20"/>
                <w:lang w:eastAsia="en-AU"/>
              </w:rPr>
            </w:pPr>
            <w:r w:rsidRPr="00EC2897">
              <w:rPr>
                <w:rFonts w:eastAsiaTheme="minorEastAsia" w:cs="Calibri"/>
                <w:color w:val="FF0000"/>
                <w:szCs w:val="20"/>
                <w:lang w:eastAsia="en-AU"/>
              </w:rPr>
              <w:t xml:space="preserve"> </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Payroll tax</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6 304 407</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6 312 891</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5 948 733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Land tax</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2 226 318</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2 458 830</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1 786 066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Fire Services Property Levy</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673 600</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675 645</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674 063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Congestion levy</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114 827</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119 381</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102 053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Duties from financial and capital transactions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Land transfer duty</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5 765 586</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5 940 034</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5 873 586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Other property duties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2 425</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421</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1 831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9406ED" w:rsidRPr="00EC2897" w:rsidRDefault="00BB6F1F" w:rsidP="009406ED">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Financial accommodation levy</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148 812</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135 111</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146 742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Growth areas infrastructure contribution</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79 352</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132 555</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87 170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Levies on statutory corporations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112 000</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111 963</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111 963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Gambling</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9406ED">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Public lotteries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500 581</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426 598</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455 144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9406ED">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Electronic gaming machines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913 138</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872 230</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884 378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9406ED">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Casino taxes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250 731</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223 432</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227 005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9406ED">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Racing</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45 117</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40 507</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42 759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9406ED" w:rsidRPr="00EC2897" w:rsidRDefault="00BB6F1F" w:rsidP="009406ED">
            <w:pPr>
              <w:keepLines w:val="0"/>
              <w:autoSpaceDE w:val="0"/>
              <w:autoSpaceDN w:val="0"/>
              <w:adjustRightInd w:val="0"/>
              <w:rPr>
                <w:rFonts w:eastAsiaTheme="minorEastAsia" w:cs="Calibri"/>
                <w:color w:val="000000"/>
                <w:szCs w:val="20"/>
                <w:vertAlign w:val="superscript"/>
                <w:lang w:eastAsia="en-AU"/>
              </w:rPr>
            </w:pPr>
            <w:r w:rsidRPr="00EC2897">
              <w:rPr>
                <w:rFonts w:eastAsiaTheme="minorEastAsia" w:cs="Calibri"/>
                <w:color w:val="000000"/>
                <w:szCs w:val="20"/>
                <w:lang w:eastAsia="en-AU"/>
              </w:rPr>
              <w:t xml:space="preserve">   Other gambling</w:t>
            </w:r>
            <w:r w:rsidRPr="00EC2897">
              <w:rPr>
                <w:rFonts w:eastAsiaTheme="minorEastAsia" w:cs="Calibri"/>
                <w:color w:val="000000"/>
                <w:szCs w:val="20"/>
                <w:vertAlign w:val="superscript"/>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108 049</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94 360</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89 799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Insurance</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1 219 857</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1 217 554</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1 151 337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Motor vehicle</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243E2F">
            <w:pPr>
              <w:keepLines w:val="0"/>
              <w:autoSpaceDE w:val="0"/>
              <w:autoSpaceDN w:val="0"/>
              <w:adjustRightInd w:val="0"/>
              <w:rPr>
                <w:rFonts w:eastAsiaTheme="minorEastAsia" w:cs="Calibri"/>
                <w:i/>
                <w:iCs/>
                <w:color w:val="000000"/>
                <w:szCs w:val="20"/>
                <w:lang w:eastAsia="en-AU"/>
              </w:rPr>
            </w:pPr>
            <w:r w:rsidRPr="00EC2897">
              <w:rPr>
                <w:rFonts w:eastAsiaTheme="minorEastAsia" w:cs="Calibri"/>
                <w:color w:val="000000"/>
                <w:szCs w:val="20"/>
                <w:lang w:eastAsia="en-AU"/>
              </w:rPr>
              <w:t xml:space="preserve">   Registration fees pursuant to the </w:t>
            </w:r>
            <w:r w:rsidRPr="00EC2897">
              <w:rPr>
                <w:rFonts w:eastAsiaTheme="minorEastAsia" w:cs="Calibri"/>
                <w:i/>
                <w:iCs/>
                <w:color w:val="000000"/>
                <w:szCs w:val="20"/>
                <w:lang w:eastAsia="en-AU"/>
              </w:rPr>
              <w:t>Road Safety Act, No. 127 of 1986</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1 542 382</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1 561 746</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1 464 912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243E2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Stamp duty on vehicle transfers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802 371</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818 096</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779 262</w:t>
            </w:r>
          </w:p>
        </w:tc>
      </w:tr>
      <w:tr w:rsidR="00243E2F" w:rsidRPr="00243E2F"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243E2F" w:rsidRPr="00243E2F" w:rsidRDefault="00243E2F" w:rsidP="00243E2F">
            <w:pPr>
              <w:keepLines w:val="0"/>
              <w:autoSpaceDE w:val="0"/>
              <w:autoSpaceDN w:val="0"/>
              <w:adjustRightInd w:val="0"/>
              <w:rPr>
                <w:rFonts w:eastAsiaTheme="minorEastAsia" w:cs="Calibri"/>
                <w:b/>
                <w:color w:val="000000"/>
                <w:szCs w:val="20"/>
                <w:lang w:eastAsia="en-AU"/>
              </w:rPr>
            </w:pPr>
            <w:r w:rsidRPr="00243E2F">
              <w:rPr>
                <w:rFonts w:eastAsiaTheme="minorEastAsia" w:cs="Calibri"/>
                <w:b/>
                <w:color w:val="000000"/>
                <w:szCs w:val="20"/>
                <w:lang w:eastAsia="en-AU"/>
              </w:rPr>
              <w:t>Franchise fees</w:t>
            </w:r>
          </w:p>
        </w:tc>
        <w:tc>
          <w:tcPr>
            <w:tcW w:w="1134" w:type="dxa"/>
            <w:tcBorders>
              <w:top w:val="nil"/>
              <w:left w:val="nil"/>
              <w:bottom w:val="nil"/>
              <w:right w:val="nil"/>
            </w:tcBorders>
          </w:tcPr>
          <w:p w:rsidR="00243E2F" w:rsidRPr="00243E2F" w:rsidRDefault="00243E2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20"/>
                <w:lang w:eastAsia="en-AU"/>
              </w:rPr>
            </w:pPr>
          </w:p>
        </w:tc>
        <w:tc>
          <w:tcPr>
            <w:tcW w:w="1037" w:type="dxa"/>
            <w:tcBorders>
              <w:top w:val="nil"/>
              <w:left w:val="nil"/>
              <w:bottom w:val="nil"/>
              <w:right w:val="nil"/>
            </w:tcBorders>
          </w:tcPr>
          <w:p w:rsidR="00243E2F" w:rsidRPr="00243E2F" w:rsidRDefault="00243E2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20"/>
                <w:lang w:eastAsia="en-AU"/>
              </w:rPr>
            </w:pPr>
          </w:p>
        </w:tc>
        <w:tc>
          <w:tcPr>
            <w:tcW w:w="1111" w:type="dxa"/>
            <w:tcBorders>
              <w:top w:val="nil"/>
              <w:left w:val="nil"/>
              <w:bottom w:val="nil"/>
              <w:right w:val="nil"/>
            </w:tcBorders>
          </w:tcPr>
          <w:p w:rsidR="00243E2F" w:rsidRPr="00243E2F" w:rsidRDefault="00243E2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20"/>
                <w:lang w:eastAsia="en-AU"/>
              </w:rPr>
            </w:pP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9406ED" w:rsidRPr="00EC2897" w:rsidRDefault="00243E2F" w:rsidP="00243E2F">
            <w:pPr>
              <w:keepLines w:val="0"/>
              <w:autoSpaceDE w:val="0"/>
              <w:autoSpaceDN w:val="0"/>
              <w:adjustRightInd w:val="0"/>
              <w:rPr>
                <w:rFonts w:eastAsiaTheme="minorEastAsia" w:cs="Calibri"/>
                <w:color w:val="000000"/>
                <w:szCs w:val="20"/>
                <w:lang w:eastAsia="en-AU"/>
              </w:rPr>
            </w:pPr>
            <w:r>
              <w:rPr>
                <w:rFonts w:eastAsiaTheme="minorEastAsia" w:cs="Calibri"/>
                <w:color w:val="000000"/>
                <w:szCs w:val="20"/>
                <w:lang w:eastAsia="en-AU"/>
              </w:rPr>
              <w:t xml:space="preserve">   </w:t>
            </w:r>
            <w:r w:rsidR="00BB6F1F" w:rsidRPr="00EC2897">
              <w:rPr>
                <w:rFonts w:eastAsiaTheme="minorEastAsia" w:cs="Calibri"/>
                <w:color w:val="000000"/>
                <w:szCs w:val="20"/>
                <w:lang w:eastAsia="en-AU"/>
              </w:rPr>
              <w:t xml:space="preserve">Liquor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22 428</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22 657</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22 026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Other taxes</w:t>
            </w:r>
          </w:p>
        </w:tc>
        <w:tc>
          <w:tcPr>
            <w:tcW w:w="1134"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74 091</w:t>
            </w:r>
          </w:p>
        </w:tc>
        <w:tc>
          <w:tcPr>
            <w:tcW w:w="1037"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134 495</w:t>
            </w:r>
          </w:p>
        </w:tc>
        <w:tc>
          <w:tcPr>
            <w:tcW w:w="1111"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212 118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Total taxation</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20 906 070</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21 298 506</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20 060 946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Fines and regulatory fees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Fines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371 792</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218 476</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297 931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Regulatory fees</w:t>
            </w:r>
          </w:p>
        </w:tc>
        <w:tc>
          <w:tcPr>
            <w:tcW w:w="1134"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506 591</w:t>
            </w:r>
          </w:p>
        </w:tc>
        <w:tc>
          <w:tcPr>
            <w:tcW w:w="1037"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566 520</w:t>
            </w:r>
          </w:p>
        </w:tc>
        <w:tc>
          <w:tcPr>
            <w:tcW w:w="1111"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531 724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Total fines and regulatory fees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878 383</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784 996</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829 655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Grants received</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Department of Economic Development, Jobs, Transport and Resources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2 000</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992</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488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Department of Education and Training</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2 636</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Department of Environment, Land, Water and Planning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30 660</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24 770</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26 686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Department of Health and Human Services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28 765</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80 286</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42 080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Department of Justice and Regulation</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3 214</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2 597</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2 408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Department of Premier and Cabinet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4 818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Department of Treasury and Finance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18 153 382</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17 237 357</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16 848 135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Regulatory bodies and other part budget funded agencies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single" w:sz="6" w:space="0" w:color="auto"/>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vertAlign w:val="superscript"/>
                <w:lang w:eastAsia="en-AU"/>
              </w:rPr>
            </w:pPr>
            <w:r w:rsidRPr="00EC2897">
              <w:rPr>
                <w:rFonts w:eastAsiaTheme="minorEastAsia" w:cs="Calibri"/>
                <w:b/>
                <w:bCs/>
                <w:color w:val="000000"/>
                <w:szCs w:val="20"/>
                <w:lang w:eastAsia="en-AU"/>
              </w:rPr>
              <w:t>Total grants received</w:t>
            </w:r>
            <w:r w:rsidRPr="00EC2897">
              <w:rPr>
                <w:rFonts w:eastAsiaTheme="minorEastAsia" w:cs="Calibri"/>
                <w:b/>
                <w:bCs/>
                <w:color w:val="000000"/>
                <w:szCs w:val="20"/>
                <w:vertAlign w:val="superscript"/>
                <w:lang w:eastAsia="en-AU"/>
              </w:rPr>
              <w:t xml:space="preserve"> </w:t>
            </w:r>
          </w:p>
        </w:tc>
        <w:tc>
          <w:tcPr>
            <w:tcW w:w="1134" w:type="dxa"/>
            <w:tcBorders>
              <w:top w:val="single" w:sz="6" w:space="0" w:color="auto"/>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18 218 020</w:t>
            </w:r>
          </w:p>
        </w:tc>
        <w:tc>
          <w:tcPr>
            <w:tcW w:w="1037" w:type="dxa"/>
            <w:tcBorders>
              <w:top w:val="single" w:sz="6" w:space="0" w:color="auto"/>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17 348 663</w:t>
            </w:r>
          </w:p>
        </w:tc>
        <w:tc>
          <w:tcPr>
            <w:tcW w:w="1111" w:type="dxa"/>
            <w:tcBorders>
              <w:top w:val="single" w:sz="6" w:space="0" w:color="auto"/>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16 924 616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Sales of goods and services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Capital asset charge</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4 994 718</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5 125 834</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4 647 788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Other sales of goods and services</w:t>
            </w:r>
          </w:p>
        </w:tc>
        <w:tc>
          <w:tcPr>
            <w:tcW w:w="1134"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1 131 727</w:t>
            </w:r>
          </w:p>
        </w:tc>
        <w:tc>
          <w:tcPr>
            <w:tcW w:w="1037"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1 288 320</w:t>
            </w:r>
          </w:p>
        </w:tc>
        <w:tc>
          <w:tcPr>
            <w:tcW w:w="1111"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1 127 774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Total sales of goods and services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6 126 445</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6 414 154</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5 775 563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Interest received</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518 425</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501 673</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501 351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Dividends, income tax equivalent and rate equivalent revenue</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w:t>
            </w:r>
            <w:r w:rsidR="009406ED">
              <w:rPr>
                <w:rFonts w:eastAsiaTheme="minorEastAsia" w:cs="Calibri"/>
                <w:color w:val="000000"/>
                <w:szCs w:val="20"/>
                <w:lang w:eastAsia="en-AU"/>
              </w:rPr>
              <w:t xml:space="preserve"> </w:t>
            </w:r>
            <w:r w:rsidRPr="00EC2897">
              <w:rPr>
                <w:rFonts w:eastAsiaTheme="minorEastAsia" w:cs="Calibri"/>
                <w:color w:val="000000"/>
                <w:szCs w:val="20"/>
                <w:lang w:eastAsia="en-AU"/>
              </w:rPr>
              <w:t xml:space="preserve"> Dividends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776 420</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370 563</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385 540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w:t>
            </w:r>
            <w:r w:rsidR="009406ED">
              <w:rPr>
                <w:rFonts w:eastAsiaTheme="minorEastAsia" w:cs="Calibri"/>
                <w:color w:val="000000"/>
                <w:szCs w:val="20"/>
                <w:lang w:eastAsia="en-AU"/>
              </w:rPr>
              <w:t xml:space="preserve"> </w:t>
            </w:r>
            <w:r w:rsidRPr="00EC2897">
              <w:rPr>
                <w:rFonts w:eastAsiaTheme="minorEastAsia" w:cs="Calibri"/>
                <w:color w:val="000000"/>
                <w:szCs w:val="20"/>
                <w:lang w:eastAsia="en-AU"/>
              </w:rPr>
              <w:t xml:space="preserve"> Income tax equivalent revenue</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263 072</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341 916</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408 921</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5" w:type="dxa"/>
            <w:tcBorders>
              <w:top w:val="nil"/>
              <w:bottom w:val="single" w:sz="6" w:space="0" w:color="auto"/>
            </w:tcBorders>
          </w:tcPr>
          <w:p w:rsidR="00BB6F1F" w:rsidRPr="00EC2897" w:rsidRDefault="009406ED" w:rsidP="00AC68FF">
            <w:pPr>
              <w:keepLines w:val="0"/>
              <w:autoSpaceDE w:val="0"/>
              <w:autoSpaceDN w:val="0"/>
              <w:adjustRightInd w:val="0"/>
              <w:rPr>
                <w:rFonts w:eastAsiaTheme="minorEastAsia" w:cs="Calibri"/>
                <w:color w:val="000000"/>
                <w:szCs w:val="20"/>
                <w:lang w:eastAsia="en-AU"/>
              </w:rPr>
            </w:pPr>
            <w:r>
              <w:rPr>
                <w:rFonts w:eastAsiaTheme="minorEastAsia" w:cs="Calibri"/>
                <w:color w:val="000000"/>
                <w:szCs w:val="20"/>
                <w:lang w:eastAsia="en-AU"/>
              </w:rPr>
              <w:t xml:space="preserve"> </w:t>
            </w:r>
            <w:r w:rsidR="00BB6F1F" w:rsidRPr="00EC2897">
              <w:rPr>
                <w:rFonts w:eastAsiaTheme="minorEastAsia" w:cs="Calibri"/>
                <w:color w:val="000000"/>
                <w:szCs w:val="20"/>
                <w:lang w:eastAsia="en-AU"/>
              </w:rPr>
              <w:t xml:space="preserve">  Local government tax equivalent revenue</w:t>
            </w:r>
          </w:p>
        </w:tc>
        <w:tc>
          <w:tcPr>
            <w:tcW w:w="1134" w:type="dxa"/>
            <w:tcBorders>
              <w:top w:val="nil"/>
              <w:bottom w:val="single" w:sz="6"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11 141</w:t>
            </w:r>
          </w:p>
        </w:tc>
        <w:tc>
          <w:tcPr>
            <w:tcW w:w="1037" w:type="dxa"/>
            <w:tcBorders>
              <w:top w:val="nil"/>
              <w:bottom w:val="single" w:sz="6"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4 446</w:t>
            </w:r>
          </w:p>
        </w:tc>
        <w:tc>
          <w:tcPr>
            <w:tcW w:w="1111" w:type="dxa"/>
            <w:tcBorders>
              <w:top w:val="nil"/>
              <w:bottom w:val="single" w:sz="6"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4 522</w:t>
            </w:r>
          </w:p>
        </w:tc>
      </w:tr>
    </w:tbl>
    <w:p w:rsidR="00626AEF" w:rsidRDefault="00626AEF"/>
    <w:p w:rsidR="00626AEF" w:rsidRDefault="00626AEF" w:rsidP="00626AEF">
      <w:pPr>
        <w:pStyle w:val="Heading30"/>
        <w:pBdr>
          <w:bottom w:val="none" w:sz="0" w:space="0" w:color="auto"/>
        </w:pBdr>
        <w:tabs>
          <w:tab w:val="left" w:pos="851"/>
        </w:tabs>
      </w:pPr>
      <w:r>
        <w:lastRenderedPageBreak/>
        <w:t>8.2.2</w:t>
      </w:r>
      <w:r>
        <w:tab/>
        <w:t xml:space="preserve">Consolidated fund receipts for the financial year ended 30 June </w:t>
      </w:r>
      <w:r w:rsidRPr="00626AEF">
        <w:rPr>
          <w:i/>
        </w:rPr>
        <w:t>(continued)</w:t>
      </w:r>
    </w:p>
    <w:p w:rsidR="00626AEF" w:rsidRDefault="00626AEF" w:rsidP="00626AEF">
      <w:pPr>
        <w:pStyle w:val="TableUnits"/>
      </w:pPr>
      <w:r>
        <w:t>($ thousand)</w:t>
      </w:r>
    </w:p>
    <w:tbl>
      <w:tblPr>
        <w:tblStyle w:val="DTFTable"/>
        <w:tblW w:w="9637" w:type="dxa"/>
        <w:tblInd w:w="57" w:type="dxa"/>
        <w:tblLayout w:type="fixed"/>
        <w:tblLook w:val="04A0" w:firstRow="1" w:lastRow="0" w:firstColumn="1" w:lastColumn="0" w:noHBand="0" w:noVBand="1"/>
      </w:tblPr>
      <w:tblGrid>
        <w:gridCol w:w="6355"/>
        <w:gridCol w:w="1134"/>
        <w:gridCol w:w="1037"/>
        <w:gridCol w:w="1111"/>
      </w:tblGrid>
      <w:tr w:rsidR="00626AEF" w:rsidRPr="00EC2897" w:rsidTr="00626AEF">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6355" w:type="dxa"/>
          </w:tcPr>
          <w:p w:rsidR="00626AEF" w:rsidRPr="00EC2897" w:rsidRDefault="00626AEF" w:rsidP="00C14F47">
            <w:pPr>
              <w:autoSpaceDE w:val="0"/>
              <w:autoSpaceDN w:val="0"/>
              <w:adjustRightInd w:val="0"/>
              <w:rPr>
                <w:rFonts w:eastAsiaTheme="minorEastAsia" w:cs="Calibri"/>
                <w:iCs/>
                <w:color w:val="FFFFFF"/>
                <w:szCs w:val="20"/>
                <w:lang w:eastAsia="en-AU"/>
              </w:rPr>
            </w:pPr>
          </w:p>
        </w:tc>
        <w:tc>
          <w:tcPr>
            <w:tcW w:w="1134" w:type="dxa"/>
          </w:tcPr>
          <w:p w:rsidR="00626AEF" w:rsidRPr="00EC2897" w:rsidRDefault="00626AEF" w:rsidP="00C14F4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Estimate</w:t>
            </w:r>
            <w:r>
              <w:rPr>
                <w:rFonts w:eastAsiaTheme="minorEastAsia" w:cs="Calibri"/>
                <w:iCs/>
                <w:color w:val="FFFFFF"/>
                <w:szCs w:val="20"/>
                <w:lang w:eastAsia="en-AU"/>
              </w:rPr>
              <w:br/>
            </w:r>
            <w:r w:rsidRPr="00EC2897">
              <w:rPr>
                <w:rFonts w:eastAsiaTheme="minorEastAsia" w:cs="Calibri"/>
                <w:iCs/>
                <w:color w:val="FFFFFF"/>
                <w:szCs w:val="20"/>
                <w:lang w:eastAsia="en-AU"/>
              </w:rPr>
              <w:t>2017</w:t>
            </w:r>
          </w:p>
        </w:tc>
        <w:tc>
          <w:tcPr>
            <w:tcW w:w="1037" w:type="dxa"/>
          </w:tcPr>
          <w:p w:rsidR="00626AEF" w:rsidRPr="00EC2897" w:rsidRDefault="00626AEF" w:rsidP="00C14F4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Actual</w:t>
            </w:r>
            <w:r>
              <w:rPr>
                <w:rFonts w:eastAsiaTheme="minorEastAsia" w:cs="Calibri"/>
                <w:iCs/>
                <w:color w:val="FFFFFF"/>
                <w:szCs w:val="20"/>
                <w:lang w:eastAsia="en-AU"/>
              </w:rPr>
              <w:br/>
            </w:r>
            <w:r w:rsidRPr="00EC2897">
              <w:rPr>
                <w:rFonts w:eastAsiaTheme="minorEastAsia" w:cs="Calibri"/>
                <w:iCs/>
                <w:color w:val="FFFFFF"/>
                <w:szCs w:val="20"/>
                <w:lang w:eastAsia="en-AU"/>
              </w:rPr>
              <w:t>2017</w:t>
            </w:r>
          </w:p>
        </w:tc>
        <w:tc>
          <w:tcPr>
            <w:tcW w:w="1111" w:type="dxa"/>
          </w:tcPr>
          <w:p w:rsidR="00626AEF" w:rsidRPr="00EC2897" w:rsidRDefault="00626AEF" w:rsidP="00C14F4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Actual</w:t>
            </w:r>
            <w:r>
              <w:rPr>
                <w:rFonts w:eastAsiaTheme="minorEastAsia" w:cs="Calibri"/>
                <w:iCs/>
                <w:color w:val="FFFFFF"/>
                <w:szCs w:val="20"/>
                <w:lang w:eastAsia="en-AU"/>
              </w:rPr>
              <w:br/>
            </w:r>
            <w:r w:rsidRPr="00EC2897">
              <w:rPr>
                <w:rFonts w:eastAsiaTheme="minorEastAsia" w:cs="Calibri"/>
                <w:iCs/>
                <w:color w:val="FFFFFF"/>
                <w:szCs w:val="20"/>
                <w:lang w:eastAsia="en-AU"/>
              </w:rPr>
              <w:t>2016</w:t>
            </w:r>
          </w:p>
        </w:tc>
      </w:tr>
      <w:tr w:rsidR="00BB6F1F"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626AE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Total dividends, income tax equivalent and rate equivalent revenue</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1 050 634</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716 925</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798 983</w:t>
            </w:r>
          </w:p>
        </w:tc>
      </w:tr>
      <w:tr w:rsidR="00BB6F1F"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Other receipts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9406ED">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Land rent received</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19 517</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21 201</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21 296</w:t>
            </w:r>
          </w:p>
        </w:tc>
      </w:tr>
      <w:tr w:rsidR="00BB6F1F"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9406ED">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Royalties received</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84 902</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84 768</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49 184</w:t>
            </w:r>
          </w:p>
        </w:tc>
      </w:tr>
      <w:tr w:rsidR="00BB6F1F"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single" w:sz="6" w:space="0" w:color="auto"/>
              <w:right w:val="nil"/>
            </w:tcBorders>
          </w:tcPr>
          <w:p w:rsidR="00BB6F1F" w:rsidRPr="00EC2897" w:rsidRDefault="00BB6F1F" w:rsidP="009406ED">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w:t>
            </w:r>
            <w:r w:rsidR="009406ED">
              <w:rPr>
                <w:rFonts w:eastAsiaTheme="minorEastAsia" w:cs="Calibri"/>
                <w:color w:val="000000"/>
                <w:szCs w:val="20"/>
                <w:lang w:eastAsia="en-AU"/>
              </w:rPr>
              <w:t xml:space="preserve"> </w:t>
            </w:r>
            <w:r w:rsidRPr="00EC2897">
              <w:rPr>
                <w:rFonts w:eastAsiaTheme="minorEastAsia" w:cs="Calibri"/>
                <w:color w:val="000000"/>
                <w:szCs w:val="20"/>
                <w:lang w:eastAsia="en-AU"/>
              </w:rPr>
              <w:t>Other</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437 462</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270 001</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934 188</w:t>
            </w:r>
          </w:p>
        </w:tc>
      </w:tr>
      <w:tr w:rsidR="00BB6F1F"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355"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Total other receipts</w:t>
            </w:r>
          </w:p>
        </w:tc>
        <w:tc>
          <w:tcPr>
            <w:tcW w:w="113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541 881</w:t>
            </w:r>
          </w:p>
        </w:tc>
        <w:tc>
          <w:tcPr>
            <w:tcW w:w="1037"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375 971</w:t>
            </w:r>
          </w:p>
        </w:tc>
        <w:tc>
          <w:tcPr>
            <w:tcW w:w="1111"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1 004 668</w:t>
            </w:r>
          </w:p>
        </w:tc>
      </w:tr>
      <w:tr w:rsidR="00BB6F1F"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b/>
                <w:bCs/>
                <w:color w:val="000000"/>
                <w:szCs w:val="20"/>
                <w:vertAlign w:val="superscript"/>
                <w:lang w:eastAsia="en-AU"/>
              </w:rPr>
            </w:pPr>
            <w:r w:rsidRPr="00EC2897">
              <w:rPr>
                <w:rFonts w:eastAsiaTheme="minorEastAsia" w:cs="Calibri"/>
                <w:b/>
                <w:bCs/>
                <w:color w:val="000000"/>
                <w:szCs w:val="20"/>
                <w:lang w:eastAsia="en-AU"/>
              </w:rPr>
              <w:t>Total cash inflows from operating activities</w:t>
            </w:r>
            <w:r w:rsidRPr="00EC2897">
              <w:rPr>
                <w:rFonts w:eastAsiaTheme="minorEastAsia" w:cs="Calibri"/>
                <w:b/>
                <w:bCs/>
                <w:color w:val="000000"/>
                <w:szCs w:val="20"/>
                <w:vertAlign w:val="superscript"/>
                <w:lang w:eastAsia="en-AU"/>
              </w:rPr>
              <w:t xml:space="preserve"> </w:t>
            </w:r>
          </w:p>
        </w:tc>
        <w:tc>
          <w:tcPr>
            <w:tcW w:w="1134"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48 239 858</w:t>
            </w:r>
          </w:p>
        </w:tc>
        <w:tc>
          <w:tcPr>
            <w:tcW w:w="1037"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47 440 888</w:t>
            </w:r>
          </w:p>
        </w:tc>
        <w:tc>
          <w:tcPr>
            <w:tcW w:w="1111"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45 895 781</w:t>
            </w:r>
          </w:p>
        </w:tc>
      </w:tr>
      <w:tr w:rsidR="00BB6F1F"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Cash inflows from investing activities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single" w:sz="6" w:space="0" w:color="auto"/>
              <w:right w:val="nil"/>
            </w:tcBorders>
          </w:tcPr>
          <w:p w:rsidR="00BB6F1F" w:rsidRPr="00EC2897" w:rsidRDefault="00BB6F1F" w:rsidP="00243E2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Proceeds from investing activities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749 066</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209 482</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565 111</w:t>
            </w:r>
          </w:p>
        </w:tc>
      </w:tr>
      <w:tr w:rsidR="00BB6F1F"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b/>
                <w:bCs/>
                <w:color w:val="000000"/>
                <w:szCs w:val="20"/>
                <w:vertAlign w:val="superscript"/>
                <w:lang w:eastAsia="en-AU"/>
              </w:rPr>
            </w:pPr>
            <w:r w:rsidRPr="00EC2897">
              <w:rPr>
                <w:rFonts w:eastAsiaTheme="minorEastAsia" w:cs="Calibri"/>
                <w:b/>
                <w:bCs/>
                <w:color w:val="000000"/>
                <w:szCs w:val="20"/>
                <w:lang w:eastAsia="en-AU"/>
              </w:rPr>
              <w:t xml:space="preserve">Total cash inflows from investing activities </w:t>
            </w:r>
            <w:r w:rsidRPr="00EC2897">
              <w:rPr>
                <w:rFonts w:eastAsiaTheme="minorEastAsia" w:cs="Calibri"/>
                <w:b/>
                <w:bCs/>
                <w:color w:val="000000"/>
                <w:szCs w:val="20"/>
                <w:vertAlign w:val="superscript"/>
                <w:lang w:eastAsia="en-AU"/>
              </w:rPr>
              <w:t>(b)</w:t>
            </w:r>
          </w:p>
        </w:tc>
        <w:tc>
          <w:tcPr>
            <w:tcW w:w="113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749 066</w:t>
            </w:r>
          </w:p>
        </w:tc>
        <w:tc>
          <w:tcPr>
            <w:tcW w:w="1037"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209 482</w:t>
            </w:r>
          </w:p>
        </w:tc>
        <w:tc>
          <w:tcPr>
            <w:tcW w:w="1111"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565 111</w:t>
            </w:r>
          </w:p>
        </w:tc>
      </w:tr>
      <w:tr w:rsidR="00BB6F1F"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Cash inflows from financing activities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rsidR="00BB6F1F" w:rsidRPr="00EC2897" w:rsidRDefault="00BB6F1F" w:rsidP="00243E2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Borrowings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11 761 566</w:t>
            </w:r>
          </w:p>
        </w:tc>
        <w:tc>
          <w:tcPr>
            <w:tcW w:w="103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9 672 963</w:t>
            </w:r>
          </w:p>
        </w:tc>
        <w:tc>
          <w:tcPr>
            <w:tcW w:w="111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19 714</w:t>
            </w:r>
          </w:p>
        </w:tc>
      </w:tr>
      <w:tr w:rsidR="00BB6F1F"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355"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b/>
                <w:bCs/>
                <w:color w:val="000000"/>
                <w:szCs w:val="20"/>
                <w:vertAlign w:val="superscript"/>
                <w:lang w:eastAsia="en-AU"/>
              </w:rPr>
            </w:pPr>
            <w:r w:rsidRPr="00EC2897">
              <w:rPr>
                <w:rFonts w:eastAsiaTheme="minorEastAsia" w:cs="Calibri"/>
                <w:b/>
                <w:bCs/>
                <w:color w:val="000000"/>
                <w:szCs w:val="20"/>
                <w:lang w:eastAsia="en-AU"/>
              </w:rPr>
              <w:t xml:space="preserve">Total cash inflows from financing activities </w:t>
            </w:r>
            <w:r w:rsidRPr="00EC2897">
              <w:rPr>
                <w:rFonts w:eastAsiaTheme="minorEastAsia" w:cs="Calibri"/>
                <w:b/>
                <w:bCs/>
                <w:color w:val="000000"/>
                <w:szCs w:val="20"/>
                <w:vertAlign w:val="superscript"/>
                <w:lang w:eastAsia="en-AU"/>
              </w:rPr>
              <w:t>(b)</w:t>
            </w:r>
          </w:p>
        </w:tc>
        <w:tc>
          <w:tcPr>
            <w:tcW w:w="113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11 761 566</w:t>
            </w:r>
          </w:p>
        </w:tc>
        <w:tc>
          <w:tcPr>
            <w:tcW w:w="1037"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9 672 963</w:t>
            </w:r>
          </w:p>
        </w:tc>
        <w:tc>
          <w:tcPr>
            <w:tcW w:w="1111"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19 714</w:t>
            </w:r>
          </w:p>
        </w:tc>
      </w:tr>
      <w:tr w:rsidR="00BB6F1F"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355"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b/>
                <w:bCs/>
                <w:color w:val="000000"/>
                <w:szCs w:val="20"/>
                <w:vertAlign w:val="superscript"/>
                <w:lang w:eastAsia="en-AU"/>
              </w:rPr>
            </w:pPr>
            <w:r w:rsidRPr="00EC2897">
              <w:rPr>
                <w:rFonts w:eastAsiaTheme="minorEastAsia" w:cs="Calibri"/>
                <w:b/>
                <w:bCs/>
                <w:color w:val="000000"/>
                <w:szCs w:val="20"/>
                <w:lang w:eastAsia="en-AU"/>
              </w:rPr>
              <w:t>Total cash inflows from investing and financing activities</w:t>
            </w:r>
            <w:r w:rsidRPr="00EC2897">
              <w:rPr>
                <w:rFonts w:eastAsiaTheme="minorEastAsia" w:cs="Calibri"/>
                <w:b/>
                <w:bCs/>
                <w:color w:val="000000"/>
                <w:szCs w:val="20"/>
                <w:vertAlign w:val="superscript"/>
                <w:lang w:eastAsia="en-AU"/>
              </w:rPr>
              <w:t xml:space="preserve"> </w:t>
            </w:r>
          </w:p>
        </w:tc>
        <w:tc>
          <w:tcPr>
            <w:tcW w:w="113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12 510 631</w:t>
            </w:r>
          </w:p>
        </w:tc>
        <w:tc>
          <w:tcPr>
            <w:tcW w:w="1037"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9 882 445</w:t>
            </w:r>
          </w:p>
        </w:tc>
        <w:tc>
          <w:tcPr>
            <w:tcW w:w="1111"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584 824</w:t>
            </w:r>
          </w:p>
        </w:tc>
      </w:tr>
      <w:tr w:rsidR="00BB6F1F" w:rsidRPr="00EC2897" w:rsidTr="00626AEF">
        <w:tblPrEx>
          <w:tblCellMar>
            <w:left w:w="45" w:type="dxa"/>
            <w:right w:w="45" w:type="dxa"/>
          </w:tblCellMar>
          <w:tblLook w:val="06E0" w:firstRow="1" w:lastRow="1" w:firstColumn="1" w:lastColumn="0" w:noHBand="1" w:noVBand="1"/>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5" w:type="dxa"/>
            <w:tcBorders>
              <w:top w:val="nil"/>
              <w:bottom w:val="single" w:sz="12" w:space="0" w:color="auto"/>
            </w:tcBorders>
          </w:tcPr>
          <w:p w:rsidR="00BB6F1F" w:rsidRPr="00EC2897" w:rsidRDefault="00BB6F1F" w:rsidP="00AC68FF">
            <w:pPr>
              <w:keepLines w:val="0"/>
              <w:autoSpaceDE w:val="0"/>
              <w:autoSpaceDN w:val="0"/>
              <w:adjustRightInd w:val="0"/>
              <w:rPr>
                <w:rFonts w:eastAsiaTheme="minorEastAsia" w:cs="Calibri"/>
                <w:bCs/>
                <w:color w:val="000000"/>
                <w:szCs w:val="20"/>
                <w:lang w:eastAsia="en-AU"/>
              </w:rPr>
            </w:pPr>
            <w:r w:rsidRPr="00EC2897">
              <w:rPr>
                <w:rFonts w:eastAsiaTheme="minorEastAsia" w:cs="Calibri"/>
                <w:bCs/>
                <w:color w:val="000000"/>
                <w:szCs w:val="20"/>
                <w:lang w:eastAsia="en-AU"/>
              </w:rPr>
              <w:t>Total consolidated fund receipts</w:t>
            </w:r>
          </w:p>
        </w:tc>
        <w:tc>
          <w:tcPr>
            <w:tcW w:w="1134" w:type="dxa"/>
            <w:tcBorders>
              <w:top w:val="nil"/>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60 750 490</w:t>
            </w:r>
          </w:p>
        </w:tc>
        <w:tc>
          <w:tcPr>
            <w:tcW w:w="1037" w:type="dxa"/>
            <w:tcBorders>
              <w:top w:val="nil"/>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57 323 333</w:t>
            </w:r>
          </w:p>
        </w:tc>
        <w:tc>
          <w:tcPr>
            <w:tcW w:w="1111" w:type="dxa"/>
            <w:tcBorders>
              <w:top w:val="nil"/>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46 480 605</w:t>
            </w:r>
          </w:p>
        </w:tc>
      </w:tr>
    </w:tbl>
    <w:p w:rsidR="00BB6F1F" w:rsidRDefault="00BB6F1F" w:rsidP="00AC68FF">
      <w:pPr>
        <w:pStyle w:val="Note"/>
      </w:pPr>
      <w:r>
        <w:t>Notes:</w:t>
      </w:r>
    </w:p>
    <w:p w:rsidR="00BB6F1F" w:rsidRDefault="00BB6F1F" w:rsidP="00AC68FF">
      <w:pPr>
        <w:pStyle w:val="Note"/>
      </w:pPr>
      <w:r>
        <w:t>(a)</w:t>
      </w:r>
      <w:r>
        <w:tab/>
        <w:t>Certain line items have been aggregated in the table above due to commercial sensitivities of balances.</w:t>
      </w:r>
    </w:p>
    <w:p w:rsidR="00BB6F1F" w:rsidRDefault="00BB6F1F" w:rsidP="00AC68FF">
      <w:pPr>
        <w:pStyle w:val="Note"/>
      </w:pPr>
      <w:r>
        <w:t>(b)</w:t>
      </w:r>
      <w:r>
        <w:tab/>
        <w:t>June 2016 comparative figures have been reclassified to reflect more correct classification of the transactions.</w:t>
      </w:r>
    </w:p>
    <w:p w:rsidR="00BB6F1F" w:rsidRDefault="00BB6F1F" w:rsidP="00AC68FF"/>
    <w:p w:rsidR="00BB6F1F" w:rsidRPr="007B2989" w:rsidRDefault="00BB6F1F" w:rsidP="00343347">
      <w:pPr>
        <w:pStyle w:val="Heading3"/>
        <w:numPr>
          <w:ilvl w:val="2"/>
          <w:numId w:val="24"/>
        </w:numPr>
        <w:tabs>
          <w:tab w:val="right" w:pos="14572"/>
        </w:tabs>
        <w:spacing w:after="0"/>
        <w:ind w:left="851"/>
      </w:pPr>
      <w:bookmarkStart w:id="65" w:name="_Toc492984931"/>
      <w:r w:rsidRPr="007B2989">
        <w:t>Trust fund cash flow statement for the financial year ended 30 June</w:t>
      </w:r>
      <w:bookmarkEnd w:id="65"/>
    </w:p>
    <w:p w:rsidR="00BB6F1F" w:rsidRPr="00EC2897" w:rsidRDefault="00BB6F1F" w:rsidP="00AC68FF">
      <w:pPr>
        <w:pStyle w:val="TableUnits"/>
        <w:rPr>
          <w:bCs/>
          <w:lang w:val="en-US"/>
        </w:rPr>
      </w:pPr>
      <w:r w:rsidRPr="006D0203">
        <w:t>($ thousand)</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512"/>
        <w:gridCol w:w="992"/>
        <w:gridCol w:w="1134"/>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iCs/>
                <w:color w:val="FFFFFF"/>
                <w:szCs w:val="20"/>
                <w:lang w:eastAsia="en-AU"/>
              </w:rPr>
            </w:pPr>
            <w:r w:rsidRPr="00EC2897">
              <w:rPr>
                <w:rFonts w:eastAsiaTheme="minorEastAsia" w:cs="Calibri"/>
                <w:iCs/>
                <w:color w:val="FFFFFF"/>
                <w:szCs w:val="20"/>
                <w:lang w:eastAsia="en-AU"/>
              </w:rPr>
              <w:t xml:space="preserve"> </w:t>
            </w:r>
          </w:p>
        </w:tc>
        <w:tc>
          <w:tcPr>
            <w:tcW w:w="992"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Cash flows from operating activities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Receipts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Taxation</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1 150 536</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260 612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Regulatory fees and fines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64 909</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53 607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Grants received</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14 477 804</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12 522 509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Sale of goods and services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164 650</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200 847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Interest received</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184 056</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99 402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Dividend received</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23 281</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11 023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Net transfers from the consolidated fund</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2 933 673</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7 458 930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Other receipts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81 759</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164 571</w:t>
            </w:r>
          </w:p>
        </w:tc>
      </w:tr>
      <w:tr w:rsidR="00BB6F1F" w:rsidRPr="00EC2897"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Payments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Payments for employees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(180 401)</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(153 625)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Superannuation</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(15 239)</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(13 343)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Interest paid</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(4 041)</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(4 721)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vertAlign w:val="superscript"/>
                <w:lang w:eastAsia="en-AU"/>
              </w:rPr>
            </w:pPr>
            <w:r w:rsidRPr="00EC2897">
              <w:rPr>
                <w:rFonts w:eastAsiaTheme="minorEastAsia" w:cs="Calibri"/>
                <w:color w:val="000000"/>
                <w:szCs w:val="20"/>
                <w:lang w:eastAsia="en-AU"/>
              </w:rPr>
              <w:t>Grants and subsidies</w:t>
            </w:r>
            <w:r w:rsidRPr="00EC2897">
              <w:rPr>
                <w:rFonts w:eastAsiaTheme="minorEastAsia" w:cs="Calibri"/>
                <w:color w:val="000000"/>
                <w:szCs w:val="20"/>
                <w:vertAlign w:val="superscript"/>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(15 640 414)</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(18 332 824)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Goods and services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(1 524 629)</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(1 933 455)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Other payments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Net cash flows from operating activities</w:t>
            </w:r>
          </w:p>
        </w:tc>
        <w:tc>
          <w:tcPr>
            <w:tcW w:w="992"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1 715 944</w:t>
            </w:r>
          </w:p>
        </w:tc>
        <w:tc>
          <w:tcPr>
            <w:tcW w:w="113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333 515</w:t>
            </w:r>
          </w:p>
        </w:tc>
      </w:tr>
      <w:tr w:rsidR="00BB6F1F" w:rsidRPr="00EC2897"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Cash flows from investing activities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Purchase of non-financial assets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(127 654)</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(12 030)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Sales of non-financial assets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59 428</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65 973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Net proceeds from customer loans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(8 273 205)</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(6 163)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Other investing activities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6 821 302</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(195 989)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Net cash flows from investing activities</w:t>
            </w:r>
          </w:p>
        </w:tc>
        <w:tc>
          <w:tcPr>
            <w:tcW w:w="992"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(1 520 130)</w:t>
            </w:r>
          </w:p>
        </w:tc>
        <w:tc>
          <w:tcPr>
            <w:tcW w:w="113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(148 209)</w:t>
            </w:r>
          </w:p>
        </w:tc>
      </w:tr>
      <w:tr w:rsidR="00BB6F1F" w:rsidRPr="00EC2897"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Cash flows from financing activities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Net borrowings</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365 671</w:t>
            </w:r>
          </w:p>
        </w:tc>
        <w:tc>
          <w:tcPr>
            <w:tcW w:w="1134"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(469 464)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Net cash flows from financing activities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365 671</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(469 464)</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2" w:type="dxa"/>
            <w:tcBorders>
              <w:top w:val="single" w:sz="6" w:space="0" w:color="auto"/>
              <w:bottom w:val="single" w:sz="12" w:space="0" w:color="auto"/>
            </w:tcBorders>
          </w:tcPr>
          <w:p w:rsidR="00BB6F1F" w:rsidRPr="00EC2897" w:rsidRDefault="00BB6F1F" w:rsidP="00AC68FF">
            <w:pPr>
              <w:keepLines w:val="0"/>
              <w:autoSpaceDE w:val="0"/>
              <w:autoSpaceDN w:val="0"/>
              <w:adjustRightInd w:val="0"/>
              <w:rPr>
                <w:rFonts w:eastAsiaTheme="minorEastAsia" w:cs="Calibri"/>
                <w:bCs/>
                <w:color w:val="000000"/>
                <w:szCs w:val="20"/>
                <w:lang w:eastAsia="en-AU"/>
              </w:rPr>
            </w:pPr>
            <w:r w:rsidRPr="00EC2897">
              <w:rPr>
                <w:rFonts w:eastAsiaTheme="minorEastAsia" w:cs="Calibri"/>
                <w:bCs/>
                <w:color w:val="000000"/>
                <w:szCs w:val="20"/>
                <w:lang w:eastAsia="en-AU"/>
              </w:rPr>
              <w:t>Net increase/(decrease) in trust fund cash and deposits</w:t>
            </w:r>
          </w:p>
        </w:tc>
        <w:tc>
          <w:tcPr>
            <w:tcW w:w="992"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561 485</w:t>
            </w:r>
          </w:p>
        </w:tc>
        <w:tc>
          <w:tcPr>
            <w:tcW w:w="1134"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(284 158)</w:t>
            </w:r>
          </w:p>
        </w:tc>
      </w:tr>
    </w:tbl>
    <w:p w:rsidR="00BB6F1F" w:rsidRDefault="00BB6F1F" w:rsidP="00AC68FF">
      <w:pPr>
        <w:pStyle w:val="Note"/>
      </w:pPr>
      <w:r>
        <w:t xml:space="preserve"> </w:t>
      </w:r>
    </w:p>
    <w:p w:rsidR="00BB6F1F" w:rsidRPr="007B2989" w:rsidRDefault="00BB6F1F" w:rsidP="00343347">
      <w:pPr>
        <w:pStyle w:val="Heading3"/>
        <w:numPr>
          <w:ilvl w:val="2"/>
          <w:numId w:val="24"/>
        </w:numPr>
        <w:tabs>
          <w:tab w:val="right" w:pos="14572"/>
        </w:tabs>
        <w:spacing w:after="0"/>
        <w:ind w:left="851"/>
      </w:pPr>
      <w:bookmarkStart w:id="66" w:name="_Toc492984932"/>
      <w:bookmarkStart w:id="67" w:name="_Toc462418831"/>
      <w:r w:rsidRPr="007B2989">
        <w:lastRenderedPageBreak/>
        <w:t>Trust fund summary for the financial year ended 30 June</w:t>
      </w:r>
      <w:bookmarkEnd w:id="66"/>
    </w:p>
    <w:p w:rsidR="00BB6F1F" w:rsidRPr="00EC2897" w:rsidRDefault="00BB6F1F" w:rsidP="00AC68FF">
      <w:pPr>
        <w:pStyle w:val="TableUnits"/>
        <w:rPr>
          <w:bCs/>
          <w:lang w:val="en-US"/>
        </w:rPr>
      </w:pPr>
      <w:r w:rsidRPr="00A22117">
        <w:t>($ thousand)</w:t>
      </w:r>
      <w:bookmarkEnd w:id="67"/>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512"/>
        <w:gridCol w:w="992"/>
        <w:gridCol w:w="1134"/>
      </w:tblGrid>
      <w:tr w:rsidR="00A351BA" w:rsidRPr="00EC2897" w:rsidTr="00A351BA">
        <w:trPr>
          <w:cnfStyle w:val="100000000000" w:firstRow="1" w:lastRow="0" w:firstColumn="0" w:lastColumn="0" w:oddVBand="0" w:evenVBand="0" w:oddHBand="0" w:evenHBand="0" w:firstRowFirstColumn="0" w:firstRowLastColumn="0" w:lastRowFirstColumn="0" w:lastRowLastColumn="0"/>
          <w:trHeight w:val="207"/>
          <w:tblHeader/>
        </w:trPr>
        <w:tc>
          <w:tcPr>
            <w:cnfStyle w:val="001000000000" w:firstRow="0" w:lastRow="0" w:firstColumn="1" w:lastColumn="0" w:oddVBand="0" w:evenVBand="0" w:oddHBand="0" w:evenHBand="0" w:firstRowFirstColumn="0" w:firstRowLastColumn="0" w:lastRowFirstColumn="0" w:lastRowLastColumn="0"/>
            <w:tcW w:w="7512" w:type="dxa"/>
            <w:tcBorders>
              <w:top w:val="nil"/>
              <w:left w:val="nil"/>
              <w:right w:val="nil"/>
            </w:tcBorders>
            <w:shd w:val="solid" w:color="000000" w:fill="auto"/>
          </w:tcPr>
          <w:p w:rsidR="00A351BA" w:rsidRPr="00EC2897" w:rsidRDefault="00A351BA" w:rsidP="00AC68FF">
            <w:pPr>
              <w:autoSpaceDE w:val="0"/>
              <w:autoSpaceDN w:val="0"/>
              <w:adjustRightInd w:val="0"/>
              <w:rPr>
                <w:rFonts w:eastAsiaTheme="minorEastAsia" w:cs="Calibri"/>
                <w:b/>
                <w:bCs/>
                <w:i w:val="0"/>
                <w:iCs/>
                <w:color w:val="FFFFFF"/>
                <w:szCs w:val="20"/>
                <w:lang w:eastAsia="en-AU"/>
              </w:rPr>
            </w:pPr>
            <w:r w:rsidRPr="00EC2897">
              <w:rPr>
                <w:rFonts w:eastAsiaTheme="minorEastAsia" w:cs="Calibri"/>
                <w:b/>
                <w:bCs/>
                <w:iCs/>
                <w:color w:val="FFFFFF"/>
                <w:szCs w:val="20"/>
                <w:lang w:eastAsia="en-AU"/>
              </w:rPr>
              <w:t xml:space="preserve"> </w:t>
            </w:r>
          </w:p>
          <w:p w:rsidR="00A351BA" w:rsidRPr="00EC2897" w:rsidRDefault="00A351BA" w:rsidP="00AC68FF">
            <w:pPr>
              <w:autoSpaceDE w:val="0"/>
              <w:autoSpaceDN w:val="0"/>
              <w:adjustRightInd w:val="0"/>
              <w:rPr>
                <w:rFonts w:eastAsiaTheme="minorEastAsia" w:cs="Calibri"/>
                <w:b/>
                <w:bCs/>
                <w:iCs/>
                <w:color w:val="FFFFFF"/>
                <w:szCs w:val="20"/>
                <w:lang w:eastAsia="en-AU"/>
              </w:rPr>
            </w:pPr>
            <w:r w:rsidRPr="00EC2897">
              <w:rPr>
                <w:rFonts w:eastAsiaTheme="minorEastAsia" w:cs="Calibri"/>
                <w:b/>
                <w:bCs/>
                <w:iCs/>
                <w:color w:val="FFFFFF"/>
                <w:szCs w:val="20"/>
                <w:lang w:eastAsia="en-AU"/>
              </w:rPr>
              <w:t xml:space="preserve"> </w:t>
            </w:r>
          </w:p>
        </w:tc>
        <w:tc>
          <w:tcPr>
            <w:tcW w:w="992" w:type="dxa"/>
            <w:tcBorders>
              <w:top w:val="nil"/>
              <w:left w:val="nil"/>
              <w:right w:val="nil"/>
            </w:tcBorders>
            <w:shd w:val="solid" w:color="000000" w:fill="auto"/>
          </w:tcPr>
          <w:p w:rsidR="00A351BA" w:rsidRPr="00EC2897" w:rsidRDefault="00A351BA" w:rsidP="00A351B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Balances held 2017</w:t>
            </w:r>
          </w:p>
        </w:tc>
        <w:tc>
          <w:tcPr>
            <w:tcW w:w="1134" w:type="dxa"/>
            <w:tcBorders>
              <w:top w:val="nil"/>
              <w:left w:val="nil"/>
              <w:right w:val="nil"/>
            </w:tcBorders>
            <w:shd w:val="solid" w:color="000000" w:fill="auto"/>
          </w:tcPr>
          <w:p w:rsidR="00A351BA" w:rsidRPr="00EC2897" w:rsidRDefault="00A351BA" w:rsidP="00A351B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 xml:space="preserve">Balances </w:t>
            </w:r>
            <w:r>
              <w:rPr>
                <w:rFonts w:eastAsiaTheme="minorEastAsia" w:cs="Calibri"/>
                <w:iCs/>
                <w:color w:val="FFFFFF"/>
                <w:szCs w:val="20"/>
                <w:lang w:eastAsia="en-AU"/>
              </w:rPr>
              <w:br/>
            </w:r>
            <w:r w:rsidRPr="00EC2897">
              <w:rPr>
                <w:rFonts w:eastAsiaTheme="minorEastAsia" w:cs="Calibri"/>
                <w:iCs/>
                <w:color w:val="FFFFFF"/>
                <w:szCs w:val="20"/>
                <w:lang w:eastAsia="en-AU"/>
              </w:rPr>
              <w:t>held 2016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State Government funds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Accounts established to receive levies imposed by Parliament and record the expenditure thereof</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821 737</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705 608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Accounts established to receive monies provided in the annual budget and record the expenditure thereof</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1 972 027</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1 524 848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Specific purpose operating accounts established for various authorities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544 713</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358 204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Suspense and clearing accounts to facilitate accounting procedures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496 074</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9 230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Treasury Trust Fund</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276 914</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329 772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Agency and deposit accounts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507 025</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641 150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single" w:sz="6" w:space="0" w:color="auto"/>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Total State Government funds</w:t>
            </w:r>
          </w:p>
        </w:tc>
        <w:tc>
          <w:tcPr>
            <w:tcW w:w="992" w:type="dxa"/>
            <w:tcBorders>
              <w:top w:val="single" w:sz="6" w:space="0" w:color="auto"/>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4 618 490</w:t>
            </w:r>
          </w:p>
        </w:tc>
        <w:tc>
          <w:tcPr>
            <w:tcW w:w="1134" w:type="dxa"/>
            <w:tcBorders>
              <w:top w:val="single" w:sz="6" w:space="0" w:color="auto"/>
              <w:left w:val="nil"/>
              <w:bottom w:val="nil"/>
              <w:right w:val="nil"/>
            </w:tcBorders>
            <w:shd w:val="solid" w:color="FFFFFF" w:fill="auto"/>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3 568 811</w:t>
            </w:r>
          </w:p>
        </w:tc>
      </w:tr>
      <w:tr w:rsidR="00BB6F1F" w:rsidRPr="00EC2897"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i/>
                <w:iCs/>
                <w:color w:val="000000"/>
                <w:szCs w:val="20"/>
                <w:lang w:eastAsia="en-AU"/>
              </w:rPr>
            </w:pPr>
            <w:r w:rsidRPr="00EC2897">
              <w:rPr>
                <w:rFonts w:eastAsiaTheme="minorEastAsia" w:cs="Calibri"/>
                <w:i/>
                <w:iCs/>
                <w:color w:val="000000"/>
                <w:szCs w:val="20"/>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Joint Commonwealth and State funds</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146 677</w:t>
            </w:r>
          </w:p>
        </w:tc>
        <w:tc>
          <w:tcPr>
            <w:tcW w:w="1134"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321 412</w:t>
            </w:r>
          </w:p>
        </w:tc>
      </w:tr>
      <w:tr w:rsidR="00BB6F1F" w:rsidRPr="00EC2897"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i/>
                <w:iCs/>
                <w:color w:val="000000"/>
                <w:szCs w:val="20"/>
                <w:lang w:eastAsia="en-AU"/>
              </w:rPr>
            </w:pPr>
            <w:r w:rsidRPr="00EC2897">
              <w:rPr>
                <w:rFonts w:eastAsiaTheme="minorEastAsia" w:cs="Calibri"/>
                <w:i/>
                <w:iCs/>
                <w:color w:val="000000"/>
                <w:szCs w:val="20"/>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Commonwealth Government funds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Commonwealth Grants passed on to individuals and organisations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132 234</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115 306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Total Commonwealth Government funds</w:t>
            </w:r>
          </w:p>
        </w:tc>
        <w:tc>
          <w:tcPr>
            <w:tcW w:w="992"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132 234</w:t>
            </w:r>
          </w:p>
        </w:tc>
        <w:tc>
          <w:tcPr>
            <w:tcW w:w="113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115 306</w:t>
            </w:r>
          </w:p>
        </w:tc>
      </w:tr>
      <w:tr w:rsidR="00BB6F1F" w:rsidRPr="00EC2897"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i/>
                <w:iCs/>
                <w:color w:val="000000"/>
                <w:szCs w:val="20"/>
                <w:lang w:eastAsia="en-AU"/>
              </w:rPr>
            </w:pPr>
            <w:r w:rsidRPr="00EC2897">
              <w:rPr>
                <w:rFonts w:eastAsiaTheme="minorEastAsia" w:cs="Calibri"/>
                <w:i/>
                <w:iCs/>
                <w:color w:val="000000"/>
                <w:szCs w:val="20"/>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Prizes, scholarships, research and private donations</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213 194</w:t>
            </w:r>
          </w:p>
        </w:tc>
        <w:tc>
          <w:tcPr>
            <w:tcW w:w="1134"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172 049</w:t>
            </w:r>
          </w:p>
        </w:tc>
      </w:tr>
      <w:tr w:rsidR="00BB6F1F" w:rsidRPr="00EC2897"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i/>
                <w:iCs/>
                <w:color w:val="000000"/>
                <w:szCs w:val="20"/>
                <w:lang w:eastAsia="en-AU"/>
              </w:rPr>
            </w:pPr>
            <w:r w:rsidRPr="00EC2897">
              <w:rPr>
                <w:rFonts w:eastAsiaTheme="minorEastAsia" w:cs="Calibri"/>
                <w:i/>
                <w:iCs/>
                <w:color w:val="000000"/>
                <w:szCs w:val="20"/>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2" w:type="dxa"/>
            <w:tcBorders>
              <w:top w:val="nil"/>
              <w:bottom w:val="single" w:sz="12" w:space="0" w:color="auto"/>
            </w:tcBorders>
          </w:tcPr>
          <w:p w:rsidR="00BB6F1F" w:rsidRPr="00EC2897" w:rsidRDefault="00BB6F1F" w:rsidP="00AC68FF">
            <w:pPr>
              <w:keepLines w:val="0"/>
              <w:autoSpaceDE w:val="0"/>
              <w:autoSpaceDN w:val="0"/>
              <w:adjustRightInd w:val="0"/>
              <w:rPr>
                <w:rFonts w:eastAsiaTheme="minorEastAsia" w:cs="Calibri"/>
                <w:bCs/>
                <w:color w:val="000000"/>
                <w:szCs w:val="20"/>
                <w:vertAlign w:val="superscript"/>
                <w:lang w:eastAsia="en-AU"/>
              </w:rPr>
            </w:pPr>
            <w:r w:rsidRPr="00EC2897">
              <w:rPr>
                <w:rFonts w:eastAsiaTheme="minorEastAsia" w:cs="Calibri"/>
                <w:bCs/>
                <w:color w:val="000000"/>
                <w:szCs w:val="20"/>
                <w:lang w:eastAsia="en-AU"/>
              </w:rPr>
              <w:t>Total trust fund</w:t>
            </w:r>
            <w:r w:rsidRPr="00EC2897">
              <w:rPr>
                <w:rFonts w:eastAsiaTheme="minorEastAsia" w:cs="Calibri"/>
                <w:bCs/>
                <w:color w:val="000000"/>
                <w:szCs w:val="20"/>
                <w:vertAlign w:val="superscript"/>
                <w:lang w:eastAsia="en-AU"/>
              </w:rPr>
              <w:t xml:space="preserve"> </w:t>
            </w:r>
          </w:p>
        </w:tc>
        <w:tc>
          <w:tcPr>
            <w:tcW w:w="992" w:type="dxa"/>
            <w:tcBorders>
              <w:top w:val="nil"/>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5 110 595</w:t>
            </w:r>
          </w:p>
        </w:tc>
        <w:tc>
          <w:tcPr>
            <w:tcW w:w="1134" w:type="dxa"/>
            <w:tcBorders>
              <w:top w:val="nil"/>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4 177 577</w:t>
            </w:r>
          </w:p>
        </w:tc>
      </w:tr>
    </w:tbl>
    <w:p w:rsidR="00BB6F1F" w:rsidRPr="00BF2109" w:rsidRDefault="00BB6F1F" w:rsidP="00AC68FF"/>
    <w:p w:rsidR="00BB6F1F" w:rsidRPr="007B2989" w:rsidRDefault="00BB6F1F" w:rsidP="00343347">
      <w:pPr>
        <w:pStyle w:val="Heading3"/>
        <w:numPr>
          <w:ilvl w:val="2"/>
          <w:numId w:val="24"/>
        </w:numPr>
        <w:tabs>
          <w:tab w:val="right" w:pos="14572"/>
        </w:tabs>
        <w:spacing w:after="0"/>
        <w:ind w:left="851"/>
      </w:pPr>
      <w:bookmarkStart w:id="68" w:name="_Toc492984933"/>
      <w:bookmarkStart w:id="69" w:name="_Toc462418832"/>
      <w:r w:rsidRPr="007B2989">
        <w:t>Reconciliation of cash flows to balances held</w:t>
      </w:r>
      <w:bookmarkEnd w:id="68"/>
    </w:p>
    <w:p w:rsidR="00BB6F1F" w:rsidRPr="00EC2897" w:rsidRDefault="00BB6F1F" w:rsidP="00AC68FF">
      <w:pPr>
        <w:pStyle w:val="TableUnits"/>
        <w:rPr>
          <w:bCs/>
          <w:lang w:val="en-US"/>
        </w:rPr>
      </w:pPr>
      <w:r w:rsidRPr="00A22117">
        <w:t>($ thousand)</w:t>
      </w:r>
      <w:bookmarkEnd w:id="69"/>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6236"/>
        <w:gridCol w:w="1276"/>
        <w:gridCol w:w="992"/>
        <w:gridCol w:w="1134"/>
      </w:tblGrid>
      <w:tr w:rsidR="00A351BA" w:rsidRPr="00EC2897" w:rsidTr="00A351BA">
        <w:trPr>
          <w:cnfStyle w:val="100000000000" w:firstRow="1" w:lastRow="0" w:firstColumn="0" w:lastColumn="0" w:oddVBand="0" w:evenVBand="0" w:oddHBand="0" w:evenHBand="0" w:firstRowFirstColumn="0" w:firstRowLastColumn="0" w:lastRowFirstColumn="0" w:lastRowLastColumn="0"/>
          <w:trHeight w:val="743"/>
          <w:tblHeader/>
        </w:trPr>
        <w:tc>
          <w:tcPr>
            <w:cnfStyle w:val="001000000000" w:firstRow="0" w:lastRow="0" w:firstColumn="1" w:lastColumn="0" w:oddVBand="0" w:evenVBand="0" w:oddHBand="0" w:evenHBand="0" w:firstRowFirstColumn="0" w:firstRowLastColumn="0" w:lastRowFirstColumn="0" w:lastRowLastColumn="0"/>
            <w:tcW w:w="6236" w:type="dxa"/>
            <w:tcBorders>
              <w:top w:val="nil"/>
              <w:left w:val="nil"/>
              <w:right w:val="nil"/>
            </w:tcBorders>
            <w:shd w:val="solid" w:color="000000" w:fill="auto"/>
          </w:tcPr>
          <w:p w:rsidR="00A351BA" w:rsidRPr="00EC2897" w:rsidRDefault="00A351BA" w:rsidP="00AC68FF">
            <w:pPr>
              <w:autoSpaceDE w:val="0"/>
              <w:autoSpaceDN w:val="0"/>
              <w:adjustRightInd w:val="0"/>
              <w:rPr>
                <w:rFonts w:eastAsiaTheme="minorEastAsia" w:cs="Calibri"/>
                <w:iCs/>
                <w:color w:val="FFFFFF"/>
                <w:szCs w:val="20"/>
                <w:lang w:eastAsia="en-AU"/>
              </w:rPr>
            </w:pPr>
          </w:p>
        </w:tc>
        <w:tc>
          <w:tcPr>
            <w:tcW w:w="1276" w:type="dxa"/>
            <w:tcBorders>
              <w:top w:val="nil"/>
              <w:left w:val="nil"/>
              <w:right w:val="nil"/>
            </w:tcBorders>
            <w:shd w:val="solid" w:color="000000" w:fill="auto"/>
          </w:tcPr>
          <w:p w:rsidR="00A351BA" w:rsidRPr="00EC2897" w:rsidRDefault="00A351BA" w:rsidP="00A351B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Balances</w:t>
            </w:r>
            <w:r>
              <w:rPr>
                <w:rFonts w:eastAsiaTheme="minorEastAsia" w:cs="Calibri"/>
                <w:iCs/>
                <w:color w:val="FFFFFF"/>
                <w:szCs w:val="20"/>
                <w:lang w:eastAsia="en-AU"/>
              </w:rPr>
              <w:t xml:space="preserve"> </w:t>
            </w:r>
            <w:r>
              <w:rPr>
                <w:rFonts w:eastAsiaTheme="minorEastAsia" w:cs="Calibri"/>
                <w:iCs/>
                <w:color w:val="FFFFFF"/>
                <w:szCs w:val="20"/>
                <w:lang w:eastAsia="en-AU"/>
              </w:rPr>
              <w:br/>
            </w:r>
            <w:r w:rsidRPr="00EC2897">
              <w:rPr>
                <w:rFonts w:eastAsiaTheme="minorEastAsia" w:cs="Calibri"/>
                <w:iCs/>
                <w:color w:val="FFFFFF"/>
                <w:szCs w:val="20"/>
                <w:lang w:eastAsia="en-AU"/>
              </w:rPr>
              <w:t>held at</w:t>
            </w:r>
            <w:r>
              <w:rPr>
                <w:rFonts w:eastAsiaTheme="minorEastAsia" w:cs="Calibri"/>
                <w:iCs/>
                <w:color w:val="FFFFFF"/>
                <w:szCs w:val="20"/>
                <w:lang w:eastAsia="en-AU"/>
              </w:rPr>
              <w:t xml:space="preserve"> </w:t>
            </w:r>
            <w:r>
              <w:rPr>
                <w:rFonts w:eastAsiaTheme="minorEastAsia" w:cs="Calibri"/>
                <w:iCs/>
                <w:color w:val="FFFFFF"/>
                <w:szCs w:val="20"/>
                <w:lang w:eastAsia="en-AU"/>
              </w:rPr>
              <w:br/>
            </w:r>
            <w:r w:rsidRPr="00EC2897">
              <w:rPr>
                <w:rFonts w:eastAsiaTheme="minorEastAsia" w:cs="Calibri"/>
                <w:iCs/>
                <w:color w:val="FFFFFF"/>
                <w:szCs w:val="20"/>
                <w:lang w:eastAsia="en-AU"/>
              </w:rPr>
              <w:t>30 June 2016</w:t>
            </w:r>
          </w:p>
        </w:tc>
        <w:tc>
          <w:tcPr>
            <w:tcW w:w="992" w:type="dxa"/>
            <w:tcBorders>
              <w:top w:val="nil"/>
              <w:left w:val="nil"/>
              <w:right w:val="nil"/>
            </w:tcBorders>
            <w:shd w:val="solid" w:color="000000" w:fill="auto"/>
          </w:tcPr>
          <w:p w:rsidR="00A351BA" w:rsidRPr="00EC2897" w:rsidRDefault="00A351BA" w:rsidP="00A351B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Net</w:t>
            </w:r>
            <w:r>
              <w:rPr>
                <w:rFonts w:eastAsiaTheme="minorEastAsia" w:cs="Calibri"/>
                <w:iCs/>
                <w:color w:val="FFFFFF"/>
                <w:szCs w:val="20"/>
                <w:lang w:eastAsia="en-AU"/>
              </w:rPr>
              <w:t xml:space="preserve"> </w:t>
            </w:r>
            <w:r w:rsidRPr="00EC2897">
              <w:rPr>
                <w:rFonts w:eastAsiaTheme="minorEastAsia" w:cs="Calibri"/>
                <w:iCs/>
                <w:color w:val="FFFFFF"/>
                <w:szCs w:val="20"/>
                <w:lang w:eastAsia="en-AU"/>
              </w:rPr>
              <w:t>movement</w:t>
            </w:r>
            <w:r>
              <w:rPr>
                <w:rFonts w:eastAsiaTheme="minorEastAsia" w:cs="Calibri"/>
                <w:iCs/>
                <w:color w:val="FFFFFF"/>
                <w:szCs w:val="20"/>
                <w:lang w:eastAsia="en-AU"/>
              </w:rPr>
              <w:t xml:space="preserve"> </w:t>
            </w:r>
            <w:r w:rsidRPr="00EC2897">
              <w:rPr>
                <w:rFonts w:eastAsiaTheme="minorEastAsia" w:cs="Calibri"/>
                <w:iCs/>
                <w:color w:val="FFFFFF"/>
                <w:szCs w:val="20"/>
                <w:lang w:eastAsia="en-AU"/>
              </w:rPr>
              <w:t>for year</w:t>
            </w:r>
          </w:p>
        </w:tc>
        <w:tc>
          <w:tcPr>
            <w:tcW w:w="1134" w:type="dxa"/>
            <w:tcBorders>
              <w:top w:val="nil"/>
              <w:left w:val="nil"/>
              <w:right w:val="nil"/>
            </w:tcBorders>
            <w:shd w:val="solid" w:color="000000" w:fill="auto"/>
          </w:tcPr>
          <w:p w:rsidR="00A351BA" w:rsidRPr="00EC2897" w:rsidRDefault="00A351BA" w:rsidP="00A351B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 xml:space="preserve">Balances </w:t>
            </w:r>
            <w:r>
              <w:rPr>
                <w:rFonts w:eastAsiaTheme="minorEastAsia" w:cs="Calibri"/>
                <w:iCs/>
                <w:color w:val="FFFFFF"/>
                <w:szCs w:val="20"/>
                <w:lang w:eastAsia="en-AU"/>
              </w:rPr>
              <w:br/>
            </w:r>
            <w:r w:rsidRPr="00EC2897">
              <w:rPr>
                <w:rFonts w:eastAsiaTheme="minorEastAsia" w:cs="Calibri"/>
                <w:iCs/>
                <w:color w:val="FFFFFF"/>
                <w:szCs w:val="20"/>
                <w:lang w:eastAsia="en-AU"/>
              </w:rPr>
              <w:t>held at</w:t>
            </w:r>
            <w:r>
              <w:rPr>
                <w:rFonts w:eastAsiaTheme="minorEastAsia" w:cs="Calibri"/>
                <w:iCs/>
                <w:color w:val="FFFFFF"/>
                <w:szCs w:val="20"/>
                <w:lang w:eastAsia="en-AU"/>
              </w:rPr>
              <w:t xml:space="preserve"> </w:t>
            </w:r>
            <w:r>
              <w:rPr>
                <w:rFonts w:eastAsiaTheme="minorEastAsia" w:cs="Calibri"/>
                <w:iCs/>
                <w:color w:val="FFFFFF"/>
                <w:szCs w:val="20"/>
                <w:lang w:eastAsia="en-AU"/>
              </w:rPr>
              <w:br/>
            </w:r>
            <w:r w:rsidRPr="00EC2897">
              <w:rPr>
                <w:rFonts w:eastAsiaTheme="minorEastAsia" w:cs="Calibri"/>
                <w:iCs/>
                <w:color w:val="FFFFFF"/>
                <w:szCs w:val="20"/>
                <w:lang w:eastAsia="en-AU"/>
              </w:rPr>
              <w:t>30 June 2017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Cash and deposits</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Cash balances outside the Public Account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(377)</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(61)</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Deposits held with the Public Account – specific trusts</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775 866</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(214 807)</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561 059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Deposits held with the Public Account – general trusts</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Other balances held in the Public Account</w:t>
            </w:r>
          </w:p>
        </w:tc>
        <w:tc>
          <w:tcPr>
            <w:tcW w:w="1276"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3 019 403</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308 328</w:t>
            </w:r>
          </w:p>
        </w:tc>
        <w:tc>
          <w:tcPr>
            <w:tcW w:w="1134"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3 327 731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Total cash and deposits</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3 794 905</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93 460</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3 888 365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Investments</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Investments held with the Public Account – specific trusts</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903 188</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381 928</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1 285 115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Total investments</w:t>
            </w:r>
          </w:p>
        </w:tc>
        <w:tc>
          <w:tcPr>
            <w:tcW w:w="1276"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903 188</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381 928</w:t>
            </w:r>
          </w:p>
        </w:tc>
        <w:tc>
          <w:tcPr>
            <w:tcW w:w="1134"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1 285 115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236" w:type="dxa"/>
            <w:tcBorders>
              <w:top w:val="single" w:sz="6" w:space="0" w:color="auto"/>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Total fund balances</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4 698 093</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475 387</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5 173 480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Less funds held outside the Public Account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Cash</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(377)</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(61)</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Total fund balances held outside the Public Account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(377)</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(61)</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(439)</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Borders>
              <w:top w:val="single" w:sz="6" w:space="0" w:color="auto"/>
              <w:bottom w:val="single" w:sz="12" w:space="0" w:color="auto"/>
            </w:tcBorders>
          </w:tcPr>
          <w:p w:rsidR="00BB6F1F" w:rsidRPr="00EC2897" w:rsidRDefault="00BB6F1F" w:rsidP="00AC68FF">
            <w:pPr>
              <w:keepLines w:val="0"/>
              <w:autoSpaceDE w:val="0"/>
              <w:autoSpaceDN w:val="0"/>
              <w:adjustRightInd w:val="0"/>
              <w:rPr>
                <w:rFonts w:eastAsiaTheme="minorEastAsia" w:cs="Calibri"/>
                <w:bCs/>
                <w:color w:val="000000"/>
                <w:szCs w:val="20"/>
                <w:vertAlign w:val="superscript"/>
                <w:lang w:eastAsia="en-AU"/>
              </w:rPr>
            </w:pPr>
            <w:r w:rsidRPr="00EC2897">
              <w:rPr>
                <w:rFonts w:eastAsiaTheme="minorEastAsia" w:cs="Calibri"/>
                <w:bCs/>
                <w:color w:val="000000"/>
                <w:szCs w:val="20"/>
                <w:lang w:eastAsia="en-AU"/>
              </w:rPr>
              <w:t>Total funds held in the Public Account</w:t>
            </w:r>
            <w:r w:rsidRPr="00EC2897">
              <w:rPr>
                <w:rFonts w:eastAsiaTheme="minorEastAsia" w:cs="Calibri"/>
                <w:bCs/>
                <w:color w:val="000000"/>
                <w:szCs w:val="20"/>
                <w:vertAlign w:val="superscript"/>
                <w:lang w:eastAsia="en-AU"/>
              </w:rPr>
              <w:t xml:space="preserve"> (a)</w:t>
            </w:r>
          </w:p>
        </w:tc>
        <w:tc>
          <w:tcPr>
            <w:tcW w:w="1276"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4 698 470</w:t>
            </w:r>
          </w:p>
        </w:tc>
        <w:tc>
          <w:tcPr>
            <w:tcW w:w="992"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475 449</w:t>
            </w:r>
          </w:p>
        </w:tc>
        <w:tc>
          <w:tcPr>
            <w:tcW w:w="1134"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5 173 919</w:t>
            </w:r>
          </w:p>
        </w:tc>
      </w:tr>
    </w:tbl>
    <w:p w:rsidR="00BB6F1F" w:rsidRPr="007F52D7" w:rsidRDefault="00BB6F1F" w:rsidP="00AC68FF">
      <w:pPr>
        <w:pStyle w:val="Note"/>
      </w:pPr>
      <w:r w:rsidRPr="007F52D7">
        <w:t>Note:</w:t>
      </w:r>
    </w:p>
    <w:p w:rsidR="00BB6F1F" w:rsidRPr="007F52D7" w:rsidRDefault="00BB6F1F" w:rsidP="00AC68FF">
      <w:pPr>
        <w:pStyle w:val="Note"/>
      </w:pPr>
      <w:r>
        <w:t>(a)</w:t>
      </w:r>
      <w:r>
        <w:tab/>
      </w:r>
      <w:r w:rsidRPr="007F52D7">
        <w:t>See Note 8.2.6 for details of securities and investments including amounts held in the Public Acco</w:t>
      </w:r>
      <w:r>
        <w:t>unt on behalf of trust accounts</w:t>
      </w:r>
      <w:r w:rsidRPr="007F52D7">
        <w:t>.</w:t>
      </w:r>
    </w:p>
    <w:p w:rsidR="00BB6F1F" w:rsidRDefault="00BB6F1F" w:rsidP="00AC68FF">
      <w:pPr>
        <w:rPr>
          <w:rFonts w:asciiTheme="majorHAnsi" w:eastAsiaTheme="majorEastAsia" w:hAnsiTheme="majorHAnsi" w:cstheme="majorBidi"/>
          <w:b/>
          <w:bCs/>
          <w:spacing w:val="-2"/>
          <w:szCs w:val="26"/>
        </w:rPr>
      </w:pPr>
      <w:r>
        <w:br w:type="page"/>
      </w:r>
    </w:p>
    <w:p w:rsidR="00BB6F1F" w:rsidRPr="007B2989" w:rsidRDefault="00BB6F1F" w:rsidP="00343347">
      <w:pPr>
        <w:pStyle w:val="Heading3"/>
        <w:numPr>
          <w:ilvl w:val="2"/>
          <w:numId w:val="24"/>
        </w:numPr>
        <w:tabs>
          <w:tab w:val="right" w:pos="14572"/>
        </w:tabs>
        <w:spacing w:after="0"/>
        <w:ind w:left="851"/>
      </w:pPr>
      <w:bookmarkStart w:id="70" w:name="_Toc492984934"/>
      <w:bookmarkStart w:id="71" w:name="_Toc462418833"/>
      <w:r w:rsidRPr="007B2989">
        <w:lastRenderedPageBreak/>
        <w:t>Details of securities held and included in the balances at 30 June</w:t>
      </w:r>
      <w:bookmarkEnd w:id="70"/>
    </w:p>
    <w:p w:rsidR="00BB6F1F" w:rsidRPr="00EC2897" w:rsidRDefault="00BB6F1F" w:rsidP="00AC68FF">
      <w:pPr>
        <w:pStyle w:val="TableUnits"/>
        <w:rPr>
          <w:bCs/>
          <w:lang w:val="en-US"/>
        </w:rPr>
      </w:pPr>
      <w:r w:rsidRPr="00A22117">
        <w:t>($ thousand)</w:t>
      </w:r>
      <w:bookmarkEnd w:id="71"/>
    </w:p>
    <w:tbl>
      <w:tblPr>
        <w:tblStyle w:val="DTFTable"/>
        <w:tblW w:w="9639" w:type="dxa"/>
        <w:tblInd w:w="45" w:type="dxa"/>
        <w:tblLayout w:type="fixed"/>
        <w:tblCellMar>
          <w:left w:w="45" w:type="dxa"/>
          <w:right w:w="45" w:type="dxa"/>
        </w:tblCellMar>
        <w:tblLook w:val="06E0" w:firstRow="1" w:lastRow="1" w:firstColumn="1" w:lastColumn="0" w:noHBand="1" w:noVBand="1"/>
      </w:tblPr>
      <w:tblGrid>
        <w:gridCol w:w="7087"/>
        <w:gridCol w:w="1276"/>
        <w:gridCol w:w="1276"/>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iCs/>
                <w:color w:val="FFFFFF"/>
                <w:szCs w:val="20"/>
                <w:lang w:eastAsia="en-AU"/>
              </w:rPr>
            </w:pPr>
            <w:r w:rsidRPr="00EC2897">
              <w:rPr>
                <w:rFonts w:eastAsiaTheme="minorEastAsia" w:cs="Calibri"/>
                <w:iCs/>
                <w:color w:val="FFFFFF"/>
                <w:szCs w:val="20"/>
                <w:lang w:eastAsia="en-AU"/>
              </w:rPr>
              <w:t xml:space="preserve"> </w:t>
            </w:r>
          </w:p>
        </w:tc>
        <w:tc>
          <w:tcPr>
            <w:tcW w:w="1276"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276"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Funds held at 30 June</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Trust accounts</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Amounts invested on behalf of specific trust accounts</w:t>
            </w:r>
          </w:p>
        </w:tc>
        <w:tc>
          <w:tcPr>
            <w:tcW w:w="1276"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1 846 174</w:t>
            </w:r>
          </w:p>
        </w:tc>
        <w:tc>
          <w:tcPr>
            <w:tcW w:w="1276"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1 679 054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Amounts invested on behalf of general trust accounts</w:t>
            </w:r>
          </w:p>
        </w:tc>
        <w:tc>
          <w:tcPr>
            <w:tcW w:w="1276"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w:t>
            </w:r>
          </w:p>
        </w:tc>
        <w:tc>
          <w:tcPr>
            <w:tcW w:w="1276"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General account balances</w:t>
            </w:r>
          </w:p>
        </w:tc>
        <w:tc>
          <w:tcPr>
            <w:tcW w:w="1276" w:type="dxa"/>
            <w:tcBorders>
              <w:top w:val="nil"/>
              <w:left w:val="nil"/>
              <w:bottom w:val="single" w:sz="6" w:space="0" w:color="auto"/>
              <w:right w:val="nil"/>
            </w:tcBorders>
            <w:shd w:val="solid" w:color="FFFFFF" w:fill="auto"/>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3 264 846</w:t>
            </w:r>
          </w:p>
        </w:tc>
        <w:tc>
          <w:tcPr>
            <w:tcW w:w="1276" w:type="dxa"/>
            <w:tcBorders>
              <w:top w:val="nil"/>
              <w:left w:val="nil"/>
              <w:bottom w:val="single" w:sz="6" w:space="0" w:color="auto"/>
              <w:right w:val="nil"/>
            </w:tcBorders>
            <w:shd w:val="solid" w:color="FFFFFF" w:fill="auto"/>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2 498 887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Total trust accounts</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5 111 034</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4 177 954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Consolidated fund account balance</w:t>
            </w:r>
          </w:p>
        </w:tc>
        <w:tc>
          <w:tcPr>
            <w:tcW w:w="1276"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62 884</w:t>
            </w:r>
          </w:p>
        </w:tc>
        <w:tc>
          <w:tcPr>
            <w:tcW w:w="1276"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520 516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Total funds held in the public account</w:t>
            </w:r>
          </w:p>
        </w:tc>
        <w:tc>
          <w:tcPr>
            <w:tcW w:w="1276"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5 173 919</w:t>
            </w:r>
          </w:p>
        </w:tc>
        <w:tc>
          <w:tcPr>
            <w:tcW w:w="1276"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4 698 470</w:t>
            </w:r>
          </w:p>
        </w:tc>
      </w:tr>
      <w:tr w:rsidR="00BB6F1F" w:rsidRPr="00EC2897"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Represented by:</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 xml:space="preserve"> </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Stocks and securities held with/in –</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Managed Investments </w:t>
            </w:r>
          </w:p>
        </w:tc>
        <w:tc>
          <w:tcPr>
            <w:tcW w:w="1276"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677 092</w:t>
            </w:r>
          </w:p>
        </w:tc>
        <w:tc>
          <w:tcPr>
            <w:tcW w:w="1276"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775 394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Treasury Corporation of Victoria</w:t>
            </w:r>
          </w:p>
        </w:tc>
        <w:tc>
          <w:tcPr>
            <w:tcW w:w="1276"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1 169 095</w:t>
            </w:r>
          </w:p>
        </w:tc>
        <w:tc>
          <w:tcPr>
            <w:tcW w:w="1276"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903 673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276" w:type="dxa"/>
            <w:tcBorders>
              <w:top w:val="single" w:sz="6" w:space="0" w:color="auto"/>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1 846 188</w:t>
            </w:r>
          </w:p>
        </w:tc>
        <w:tc>
          <w:tcPr>
            <w:tcW w:w="1276" w:type="dxa"/>
            <w:tcBorders>
              <w:top w:val="single" w:sz="6" w:space="0" w:color="auto"/>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1 679 067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Cash and investments held with/in –</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Treasury Corporation of Victoria </w:t>
            </w:r>
          </w:p>
        </w:tc>
        <w:tc>
          <w:tcPr>
            <w:tcW w:w="1276"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1 770 000</w:t>
            </w:r>
          </w:p>
        </w:tc>
        <w:tc>
          <w:tcPr>
            <w:tcW w:w="1276"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1 415 000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Cash at bank balances held in Australia</w:t>
            </w:r>
          </w:p>
        </w:tc>
        <w:tc>
          <w:tcPr>
            <w:tcW w:w="1276"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233 530</w:t>
            </w:r>
          </w:p>
        </w:tc>
        <w:tc>
          <w:tcPr>
            <w:tcW w:w="1276"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256 735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1276"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2 003 531</w:t>
            </w:r>
          </w:p>
        </w:tc>
        <w:tc>
          <w:tcPr>
            <w:tcW w:w="1276"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1 671 735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Total stock, securities, cash and investments</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3 849 718</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3 350 802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i/>
                <w:iCs/>
                <w:color w:val="000000"/>
                <w:szCs w:val="20"/>
                <w:lang w:eastAsia="en-AU"/>
              </w:rPr>
            </w:pPr>
            <w:r w:rsidRPr="00EC2897">
              <w:rPr>
                <w:rFonts w:eastAsiaTheme="minorEastAsia" w:cs="Calibri"/>
                <w:color w:val="000000"/>
                <w:szCs w:val="20"/>
                <w:lang w:eastAsia="en-AU"/>
              </w:rPr>
              <w:t>Temporary Advance from the Treasury Corporation of Victoria to the Consolidated Fund pursuant to</w:t>
            </w:r>
            <w:r w:rsidRPr="00EC2897">
              <w:rPr>
                <w:rFonts w:eastAsiaTheme="minorEastAsia" w:cs="Calibri"/>
                <w:i/>
                <w:iCs/>
                <w:color w:val="000000"/>
                <w:szCs w:val="20"/>
                <w:lang w:eastAsia="en-AU"/>
              </w:rPr>
              <w:t xml:space="preserve"> Section 38 of the Financial Management Act, No. 18 of 1994</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450 000</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i/>
                <w:iCs/>
                <w:color w:val="000000"/>
                <w:szCs w:val="20"/>
                <w:lang w:eastAsia="en-AU"/>
              </w:rPr>
            </w:pPr>
            <w:r w:rsidRPr="00EC2897">
              <w:rPr>
                <w:rFonts w:eastAsiaTheme="minorEastAsia" w:cs="Calibri"/>
                <w:color w:val="000000"/>
                <w:szCs w:val="20"/>
                <w:lang w:eastAsia="en-AU"/>
              </w:rPr>
              <w:t xml:space="preserve">Add cash advanced pursuant to Sections 36 and 37 of the </w:t>
            </w:r>
            <w:r w:rsidRPr="00EC2897">
              <w:rPr>
                <w:rFonts w:eastAsiaTheme="minorEastAsia" w:cs="Calibri"/>
                <w:i/>
                <w:iCs/>
                <w:color w:val="000000"/>
                <w:szCs w:val="20"/>
                <w:lang w:eastAsia="en-AU"/>
              </w:rPr>
              <w:t>Financial Management Act, No. 18 of 1994</w:t>
            </w:r>
          </w:p>
        </w:tc>
        <w:tc>
          <w:tcPr>
            <w:tcW w:w="1276"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874 200</w:t>
            </w:r>
          </w:p>
        </w:tc>
        <w:tc>
          <w:tcPr>
            <w:tcW w:w="1276"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1 347 668</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7" w:type="dxa"/>
            <w:tcBorders>
              <w:top w:val="single" w:sz="6" w:space="0" w:color="auto"/>
              <w:bottom w:val="single" w:sz="12" w:space="0" w:color="auto"/>
            </w:tcBorders>
          </w:tcPr>
          <w:p w:rsidR="00BB6F1F" w:rsidRPr="00EC2897" w:rsidRDefault="00BB6F1F" w:rsidP="00AC68FF">
            <w:pPr>
              <w:keepLines w:val="0"/>
              <w:autoSpaceDE w:val="0"/>
              <w:autoSpaceDN w:val="0"/>
              <w:adjustRightInd w:val="0"/>
              <w:rPr>
                <w:rFonts w:eastAsiaTheme="minorEastAsia" w:cs="Calibri"/>
                <w:bCs/>
                <w:color w:val="000000"/>
                <w:szCs w:val="20"/>
                <w:lang w:eastAsia="en-AU"/>
              </w:rPr>
            </w:pPr>
            <w:r w:rsidRPr="00EC2897">
              <w:rPr>
                <w:rFonts w:eastAsiaTheme="minorEastAsia" w:cs="Calibri"/>
                <w:bCs/>
                <w:color w:val="000000"/>
                <w:szCs w:val="20"/>
                <w:lang w:eastAsia="en-AU"/>
              </w:rPr>
              <w:t>Total funds held in the public account</w:t>
            </w:r>
          </w:p>
        </w:tc>
        <w:tc>
          <w:tcPr>
            <w:tcW w:w="1276"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5 173 919</w:t>
            </w:r>
          </w:p>
        </w:tc>
        <w:tc>
          <w:tcPr>
            <w:tcW w:w="1276"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4 698 470</w:t>
            </w:r>
          </w:p>
        </w:tc>
      </w:tr>
    </w:tbl>
    <w:p w:rsidR="00BB6F1F" w:rsidRPr="00550B01" w:rsidRDefault="00BB6F1F" w:rsidP="00AC68FF"/>
    <w:p w:rsidR="00BB6F1F" w:rsidRPr="007B2989" w:rsidRDefault="00BB6F1F" w:rsidP="00343347">
      <w:pPr>
        <w:pStyle w:val="Heading3"/>
        <w:numPr>
          <w:ilvl w:val="2"/>
          <w:numId w:val="24"/>
        </w:numPr>
        <w:tabs>
          <w:tab w:val="right" w:pos="14572"/>
        </w:tabs>
        <w:spacing w:after="0"/>
        <w:ind w:left="851"/>
      </w:pPr>
      <w:bookmarkStart w:id="72" w:name="_Toc492984935"/>
      <w:bookmarkStart w:id="73" w:name="_Toc462418834"/>
      <w:r w:rsidRPr="007B2989">
        <w:t>Consolidated Fund payments: special appropriations</w:t>
      </w:r>
      <w:bookmarkEnd w:id="72"/>
    </w:p>
    <w:p w:rsidR="00BB6F1F" w:rsidRPr="00EC2897" w:rsidRDefault="00BB6F1F" w:rsidP="00AC68FF">
      <w:pPr>
        <w:pStyle w:val="TableUnits"/>
        <w:rPr>
          <w:bCs/>
          <w:lang w:val="en-US"/>
        </w:rPr>
      </w:pPr>
      <w:r w:rsidRPr="00A22117">
        <w:t>($ thousand)</w:t>
      </w:r>
      <w:bookmarkEnd w:id="73"/>
    </w:p>
    <w:tbl>
      <w:tblPr>
        <w:tblStyle w:val="DTFTable"/>
        <w:tblW w:w="9639" w:type="dxa"/>
        <w:tblInd w:w="45" w:type="dxa"/>
        <w:tblLayout w:type="fixed"/>
        <w:tblCellMar>
          <w:left w:w="45" w:type="dxa"/>
          <w:right w:w="45" w:type="dxa"/>
        </w:tblCellMar>
        <w:tblLook w:val="06E0" w:firstRow="1" w:lastRow="1" w:firstColumn="1" w:lastColumn="0" w:noHBand="1" w:noVBand="1"/>
      </w:tblPr>
      <w:tblGrid>
        <w:gridCol w:w="7087"/>
        <w:gridCol w:w="1276"/>
        <w:gridCol w:w="1276"/>
      </w:tblGrid>
      <w:tr w:rsidR="00BB6F1F" w:rsidRPr="00EC2897" w:rsidTr="003870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iCs/>
                <w:color w:val="FFFFFF"/>
                <w:szCs w:val="20"/>
                <w:lang w:eastAsia="en-AU"/>
              </w:rPr>
            </w:pPr>
            <w:r w:rsidRPr="00EC2897">
              <w:rPr>
                <w:rFonts w:eastAsiaTheme="minorEastAsia" w:cs="Calibri"/>
                <w:iCs/>
                <w:color w:val="FFFFFF"/>
                <w:szCs w:val="20"/>
                <w:lang w:eastAsia="en-AU"/>
              </w:rPr>
              <w:t xml:space="preserve"> </w:t>
            </w:r>
          </w:p>
        </w:tc>
        <w:tc>
          <w:tcPr>
            <w:tcW w:w="1276"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 xml:space="preserve">2017 </w:t>
            </w:r>
          </w:p>
        </w:tc>
        <w:tc>
          <w:tcPr>
            <w:tcW w:w="1276"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 xml:space="preserve">2016 </w:t>
            </w:r>
          </w:p>
        </w:tc>
      </w:tr>
      <w:tr w:rsidR="00BB6F1F" w:rsidRPr="00EC2897" w:rsidTr="00387024">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Economic Development, Jobs, Transport and Resources</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6 916</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155 337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Education and Training</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200 043</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59 658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Environment, Land, Water and Planning</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140 512</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131 700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Health and Human Services</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1 604 396</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1 434 529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Justice and Regulation</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10 466</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21 929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Premier and Cabinet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53 582</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52 742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Parliament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52 744</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33 554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Courts </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170 132</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164 636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Treasury and Finance </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7 068 787</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2 191 629</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7" w:type="dxa"/>
            <w:tcBorders>
              <w:top w:val="single" w:sz="6" w:space="0" w:color="auto"/>
              <w:bottom w:val="single" w:sz="12" w:space="0" w:color="auto"/>
            </w:tcBorders>
          </w:tcPr>
          <w:p w:rsidR="00BB6F1F" w:rsidRPr="00EC2897" w:rsidRDefault="00BB6F1F" w:rsidP="00AC68FF">
            <w:pPr>
              <w:keepLines w:val="0"/>
              <w:autoSpaceDE w:val="0"/>
              <w:autoSpaceDN w:val="0"/>
              <w:adjustRightInd w:val="0"/>
              <w:rPr>
                <w:rFonts w:eastAsiaTheme="minorEastAsia" w:cs="Calibri"/>
                <w:bCs/>
                <w:color w:val="000000"/>
                <w:szCs w:val="20"/>
                <w:lang w:eastAsia="en-AU"/>
              </w:rPr>
            </w:pPr>
            <w:r w:rsidRPr="00EC2897">
              <w:rPr>
                <w:rFonts w:eastAsiaTheme="minorEastAsia" w:cs="Calibri"/>
                <w:bCs/>
                <w:color w:val="000000"/>
                <w:szCs w:val="20"/>
                <w:lang w:eastAsia="en-AU"/>
              </w:rPr>
              <w:t>Total special appropriations</w:t>
            </w:r>
          </w:p>
        </w:tc>
        <w:tc>
          <w:tcPr>
            <w:tcW w:w="1276"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9 307 579</w:t>
            </w:r>
          </w:p>
        </w:tc>
        <w:tc>
          <w:tcPr>
            <w:tcW w:w="1276"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4 245 714</w:t>
            </w:r>
          </w:p>
        </w:tc>
      </w:tr>
    </w:tbl>
    <w:p w:rsidR="00BB6F1F" w:rsidRPr="0064203B" w:rsidRDefault="00BB6F1F" w:rsidP="00AC68FF">
      <w:pPr>
        <w:pStyle w:val="Note"/>
      </w:pPr>
      <w:r w:rsidRPr="0064203B">
        <w:t>.</w:t>
      </w:r>
    </w:p>
    <w:p w:rsidR="00BB6F1F" w:rsidRDefault="00BB6F1F" w:rsidP="00AC68FF">
      <w:pPr>
        <w:rPr>
          <w:rFonts w:asciiTheme="majorHAnsi" w:eastAsiaTheme="majorEastAsia" w:hAnsiTheme="majorHAnsi" w:cstheme="majorBidi"/>
          <w:spacing w:val="-2"/>
          <w:sz w:val="23"/>
          <w:szCs w:val="26"/>
        </w:rPr>
      </w:pPr>
      <w:bookmarkStart w:id="74" w:name="_Toc462418835"/>
      <w:r>
        <w:br w:type="page"/>
      </w:r>
    </w:p>
    <w:p w:rsidR="00BB6F1F" w:rsidRPr="007B2989" w:rsidRDefault="00BB6F1F" w:rsidP="00343347">
      <w:pPr>
        <w:pStyle w:val="Heading3"/>
        <w:numPr>
          <w:ilvl w:val="2"/>
          <w:numId w:val="24"/>
        </w:numPr>
        <w:tabs>
          <w:tab w:val="right" w:pos="14572"/>
        </w:tabs>
        <w:spacing w:after="0"/>
        <w:ind w:left="851"/>
      </w:pPr>
      <w:bookmarkStart w:id="75" w:name="_Toc492984936"/>
      <w:r w:rsidRPr="007B2989">
        <w:lastRenderedPageBreak/>
        <w:t>Consolidated Fund payments: annual appropriations</w:t>
      </w:r>
      <w:bookmarkEnd w:id="75"/>
    </w:p>
    <w:p w:rsidR="00BB6F1F" w:rsidRPr="00EC2897" w:rsidRDefault="00BB6F1F" w:rsidP="00AC68FF">
      <w:pPr>
        <w:pStyle w:val="TableUnits"/>
        <w:rPr>
          <w:bCs/>
          <w:lang w:val="en-US"/>
        </w:rPr>
      </w:pPr>
      <w:r w:rsidRPr="00D42175">
        <w:t>($ thousand)</w:t>
      </w:r>
      <w:bookmarkEnd w:id="74"/>
    </w:p>
    <w:tbl>
      <w:tblPr>
        <w:tblStyle w:val="DTFTable"/>
        <w:tblW w:w="9639" w:type="dxa"/>
        <w:tblInd w:w="45" w:type="dxa"/>
        <w:tblLayout w:type="fixed"/>
        <w:tblCellMar>
          <w:left w:w="45" w:type="dxa"/>
          <w:right w:w="45" w:type="dxa"/>
        </w:tblCellMar>
        <w:tblLook w:val="06E0" w:firstRow="1" w:lastRow="1" w:firstColumn="1" w:lastColumn="0" w:noHBand="1" w:noVBand="1"/>
      </w:tblPr>
      <w:tblGrid>
        <w:gridCol w:w="4961"/>
        <w:gridCol w:w="1276"/>
        <w:gridCol w:w="1134"/>
        <w:gridCol w:w="1134"/>
        <w:gridCol w:w="1134"/>
      </w:tblGrid>
      <w:tr w:rsidR="00A351BA" w:rsidRPr="00EC2897" w:rsidTr="00A351BA">
        <w:trPr>
          <w:cnfStyle w:val="100000000000" w:firstRow="1" w:lastRow="0" w:firstColumn="0" w:lastColumn="0" w:oddVBand="0" w:evenVBand="0" w:oddHBand="0" w:evenHBand="0" w:firstRowFirstColumn="0" w:firstRowLastColumn="0" w:lastRowFirstColumn="0" w:lastRowLastColumn="0"/>
          <w:trHeight w:val="930"/>
          <w:tblHeader/>
        </w:trPr>
        <w:tc>
          <w:tcPr>
            <w:cnfStyle w:val="001000000000" w:firstRow="0" w:lastRow="0" w:firstColumn="1" w:lastColumn="0" w:oddVBand="0" w:evenVBand="0" w:oddHBand="0" w:evenHBand="0" w:firstRowFirstColumn="0" w:firstRowLastColumn="0" w:lastRowFirstColumn="0" w:lastRowLastColumn="0"/>
            <w:tcW w:w="4961" w:type="dxa"/>
            <w:tcBorders>
              <w:top w:val="nil"/>
              <w:left w:val="nil"/>
              <w:right w:val="nil"/>
            </w:tcBorders>
            <w:shd w:val="solid" w:color="000000" w:fill="auto"/>
          </w:tcPr>
          <w:p w:rsidR="00A351BA" w:rsidRPr="00EC2897" w:rsidRDefault="00A351BA" w:rsidP="00AC68FF">
            <w:pPr>
              <w:autoSpaceDE w:val="0"/>
              <w:autoSpaceDN w:val="0"/>
              <w:adjustRightInd w:val="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276" w:type="dxa"/>
            <w:tcBorders>
              <w:top w:val="nil"/>
              <w:left w:val="nil"/>
              <w:right w:val="nil"/>
            </w:tcBorders>
            <w:shd w:val="solid" w:color="000000" w:fill="auto"/>
          </w:tcPr>
          <w:p w:rsidR="00A351BA" w:rsidRPr="00EC2897" w:rsidRDefault="00A351BA"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20"/>
                <w:lang w:eastAsia="en-AU"/>
              </w:rPr>
            </w:pPr>
          </w:p>
          <w:p w:rsidR="00A351BA" w:rsidRPr="00EC2897" w:rsidRDefault="00A351BA" w:rsidP="00A351B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Provisio</w:t>
            </w:r>
            <w:r>
              <w:rPr>
                <w:rFonts w:eastAsiaTheme="minorEastAsia" w:cs="Calibri"/>
                <w:iCs/>
                <w:color w:val="FFFFFF"/>
                <w:szCs w:val="20"/>
                <w:lang w:eastAsia="en-AU"/>
              </w:rPr>
              <w:t>n</w:t>
            </w:r>
            <w:r>
              <w:rPr>
                <w:rFonts w:eastAsiaTheme="minorEastAsia" w:cs="Calibri"/>
                <w:iCs/>
                <w:color w:val="FFFFFF"/>
                <w:szCs w:val="20"/>
                <w:lang w:eastAsia="en-AU"/>
              </w:rPr>
              <w:br/>
            </w:r>
            <w:r w:rsidRPr="00EC2897">
              <w:rPr>
                <w:rFonts w:eastAsiaTheme="minorEastAsia" w:cs="Calibri"/>
                <w:iCs/>
                <w:color w:val="FFFFFF"/>
                <w:szCs w:val="20"/>
                <w:lang w:eastAsia="en-AU"/>
              </w:rPr>
              <w:t>of</w:t>
            </w:r>
            <w:r>
              <w:rPr>
                <w:rFonts w:eastAsiaTheme="minorEastAsia" w:cs="Calibri"/>
                <w:iCs/>
                <w:color w:val="FFFFFF"/>
                <w:szCs w:val="20"/>
                <w:lang w:eastAsia="en-AU"/>
              </w:rPr>
              <w:t xml:space="preserve"> </w:t>
            </w:r>
            <w:r w:rsidRPr="00EC2897">
              <w:rPr>
                <w:rFonts w:eastAsiaTheme="minorEastAsia" w:cs="Calibri"/>
                <w:iCs/>
                <w:color w:val="FFFFFF"/>
                <w:szCs w:val="20"/>
                <w:lang w:eastAsia="en-AU"/>
              </w:rPr>
              <w:t>outputs</w:t>
            </w:r>
          </w:p>
        </w:tc>
        <w:tc>
          <w:tcPr>
            <w:tcW w:w="1134" w:type="dxa"/>
            <w:tcBorders>
              <w:top w:val="nil"/>
              <w:left w:val="nil"/>
              <w:right w:val="nil"/>
            </w:tcBorders>
            <w:shd w:val="solid" w:color="000000" w:fill="auto"/>
          </w:tcPr>
          <w:p w:rsidR="00A351BA" w:rsidRPr="00EC2897" w:rsidRDefault="00A351BA" w:rsidP="00A351B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Additions</w:t>
            </w:r>
            <w:r>
              <w:rPr>
                <w:rFonts w:eastAsiaTheme="minorEastAsia" w:cs="Calibri"/>
                <w:iCs/>
                <w:color w:val="FFFFFF"/>
                <w:szCs w:val="20"/>
                <w:lang w:eastAsia="en-AU"/>
              </w:rPr>
              <w:t xml:space="preserve"> </w:t>
            </w:r>
            <w:r w:rsidRPr="00EC2897">
              <w:rPr>
                <w:rFonts w:eastAsiaTheme="minorEastAsia" w:cs="Calibri"/>
                <w:iCs/>
                <w:color w:val="FFFFFF"/>
                <w:szCs w:val="20"/>
                <w:lang w:eastAsia="en-AU"/>
              </w:rPr>
              <w:t>to</w:t>
            </w:r>
            <w:r>
              <w:rPr>
                <w:rFonts w:eastAsiaTheme="minorEastAsia" w:cs="Calibri"/>
                <w:iCs/>
                <w:color w:val="FFFFFF"/>
                <w:szCs w:val="20"/>
                <w:lang w:eastAsia="en-AU"/>
              </w:rPr>
              <w:t xml:space="preserve"> </w:t>
            </w:r>
            <w:r w:rsidRPr="00EC2897">
              <w:rPr>
                <w:rFonts w:eastAsiaTheme="minorEastAsia" w:cs="Calibri"/>
                <w:iCs/>
                <w:color w:val="FFFFFF"/>
                <w:szCs w:val="20"/>
                <w:lang w:eastAsia="en-AU"/>
              </w:rPr>
              <w:t>net</w:t>
            </w:r>
            <w:r>
              <w:rPr>
                <w:rFonts w:eastAsiaTheme="minorEastAsia" w:cs="Calibri"/>
                <w:iCs/>
                <w:color w:val="FFFFFF"/>
                <w:szCs w:val="20"/>
                <w:lang w:eastAsia="en-AU"/>
              </w:rPr>
              <w:br/>
            </w:r>
            <w:r w:rsidRPr="00EC2897">
              <w:rPr>
                <w:rFonts w:eastAsiaTheme="minorEastAsia" w:cs="Calibri"/>
                <w:iCs/>
                <w:color w:val="FFFFFF"/>
                <w:szCs w:val="20"/>
                <w:lang w:eastAsia="en-AU"/>
              </w:rPr>
              <w:t>asset</w:t>
            </w:r>
            <w:r>
              <w:rPr>
                <w:rFonts w:eastAsiaTheme="minorEastAsia" w:cs="Calibri"/>
                <w:iCs/>
                <w:color w:val="FFFFFF"/>
                <w:szCs w:val="20"/>
                <w:lang w:eastAsia="en-AU"/>
              </w:rPr>
              <w:t xml:space="preserve"> </w:t>
            </w:r>
            <w:r w:rsidRPr="00EC2897">
              <w:rPr>
                <w:rFonts w:eastAsiaTheme="minorEastAsia" w:cs="Calibri"/>
                <w:iCs/>
                <w:color w:val="FFFFFF"/>
                <w:szCs w:val="20"/>
                <w:lang w:eastAsia="en-AU"/>
              </w:rPr>
              <w:t>base</w:t>
            </w:r>
          </w:p>
        </w:tc>
        <w:tc>
          <w:tcPr>
            <w:tcW w:w="1134" w:type="dxa"/>
            <w:tcBorders>
              <w:top w:val="nil"/>
              <w:left w:val="nil"/>
              <w:right w:val="nil"/>
            </w:tcBorders>
            <w:shd w:val="solid" w:color="000000" w:fill="auto"/>
          </w:tcPr>
          <w:p w:rsidR="00A351BA" w:rsidRPr="00EC2897" w:rsidRDefault="00A351BA" w:rsidP="00A351BA">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Payments</w:t>
            </w:r>
            <w:r>
              <w:rPr>
                <w:rFonts w:eastAsiaTheme="minorEastAsia" w:cs="Calibri"/>
                <w:iCs/>
                <w:color w:val="FFFFFF"/>
                <w:szCs w:val="20"/>
                <w:lang w:eastAsia="en-AU"/>
              </w:rPr>
              <w:br/>
            </w:r>
            <w:r w:rsidRPr="00EC2897">
              <w:rPr>
                <w:rFonts w:eastAsiaTheme="minorEastAsia" w:cs="Calibri"/>
                <w:iCs/>
                <w:color w:val="FFFFFF"/>
                <w:szCs w:val="20"/>
                <w:lang w:eastAsia="en-AU"/>
              </w:rPr>
              <w:t>made</w:t>
            </w:r>
            <w:r>
              <w:rPr>
                <w:rFonts w:eastAsiaTheme="minorEastAsia" w:cs="Calibri"/>
                <w:iCs/>
                <w:color w:val="FFFFFF"/>
                <w:szCs w:val="20"/>
                <w:lang w:eastAsia="en-AU"/>
              </w:rPr>
              <w:t xml:space="preserve"> </w:t>
            </w:r>
            <w:r w:rsidRPr="00EC2897">
              <w:rPr>
                <w:rFonts w:eastAsiaTheme="minorEastAsia" w:cs="Calibri"/>
                <w:iCs/>
                <w:color w:val="FFFFFF"/>
                <w:szCs w:val="20"/>
                <w:lang w:eastAsia="en-AU"/>
              </w:rPr>
              <w:t>on</w:t>
            </w:r>
            <w:r>
              <w:rPr>
                <w:rFonts w:eastAsiaTheme="minorEastAsia" w:cs="Calibri"/>
                <w:iCs/>
                <w:color w:val="FFFFFF"/>
                <w:szCs w:val="20"/>
                <w:lang w:eastAsia="en-AU"/>
              </w:rPr>
              <w:t xml:space="preserve"> </w:t>
            </w:r>
            <w:r>
              <w:rPr>
                <w:rFonts w:eastAsiaTheme="minorEastAsia" w:cs="Calibri"/>
                <w:iCs/>
                <w:color w:val="FFFFFF"/>
                <w:szCs w:val="20"/>
                <w:lang w:eastAsia="en-AU"/>
              </w:rPr>
              <w:br/>
              <w:t>b</w:t>
            </w:r>
            <w:r w:rsidRPr="00EC2897">
              <w:rPr>
                <w:rFonts w:eastAsiaTheme="minorEastAsia" w:cs="Calibri"/>
                <w:iCs/>
                <w:color w:val="FFFFFF"/>
                <w:szCs w:val="20"/>
                <w:lang w:eastAsia="en-AU"/>
              </w:rPr>
              <w:t>ehalf</w:t>
            </w:r>
            <w:r>
              <w:rPr>
                <w:rFonts w:eastAsiaTheme="minorEastAsia" w:cs="Calibri"/>
                <w:iCs/>
                <w:color w:val="FFFFFF"/>
                <w:szCs w:val="20"/>
                <w:lang w:eastAsia="en-AU"/>
              </w:rPr>
              <w:t xml:space="preserve"> </w:t>
            </w:r>
            <w:r w:rsidRPr="00EC2897">
              <w:rPr>
                <w:rFonts w:eastAsiaTheme="minorEastAsia" w:cs="Calibri"/>
                <w:iCs/>
                <w:color w:val="FFFFFF"/>
                <w:szCs w:val="20"/>
                <w:lang w:eastAsia="en-AU"/>
              </w:rPr>
              <w:t>of</w:t>
            </w:r>
            <w:r>
              <w:rPr>
                <w:rFonts w:eastAsiaTheme="minorEastAsia" w:cs="Calibri"/>
                <w:iCs/>
                <w:color w:val="FFFFFF"/>
                <w:szCs w:val="20"/>
                <w:lang w:eastAsia="en-AU"/>
              </w:rPr>
              <w:br/>
            </w:r>
            <w:r w:rsidRPr="00EC2897">
              <w:rPr>
                <w:rFonts w:eastAsiaTheme="minorEastAsia" w:cs="Calibri"/>
                <w:iCs/>
                <w:color w:val="FFFFFF"/>
                <w:szCs w:val="20"/>
                <w:lang w:eastAsia="en-AU"/>
              </w:rPr>
              <w:t>the</w:t>
            </w:r>
            <w:r>
              <w:rPr>
                <w:rFonts w:eastAsiaTheme="minorEastAsia" w:cs="Calibri"/>
                <w:iCs/>
                <w:color w:val="FFFFFF"/>
                <w:szCs w:val="20"/>
                <w:lang w:eastAsia="en-AU"/>
              </w:rPr>
              <w:t xml:space="preserve"> </w:t>
            </w:r>
            <w:r w:rsidRPr="00EC2897">
              <w:rPr>
                <w:rFonts w:eastAsiaTheme="minorEastAsia" w:cs="Calibri"/>
                <w:iCs/>
                <w:color w:val="FFFFFF"/>
                <w:szCs w:val="20"/>
                <w:lang w:eastAsia="en-AU"/>
              </w:rPr>
              <w:t>State</w:t>
            </w:r>
          </w:p>
        </w:tc>
        <w:tc>
          <w:tcPr>
            <w:tcW w:w="1134" w:type="dxa"/>
            <w:tcBorders>
              <w:top w:val="nil"/>
              <w:left w:val="nil"/>
              <w:right w:val="nil"/>
            </w:tcBorders>
            <w:shd w:val="solid" w:color="000000" w:fill="auto"/>
          </w:tcPr>
          <w:p w:rsidR="00A351BA" w:rsidRPr="00EC2897" w:rsidRDefault="00A351BA" w:rsidP="00AC68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Pr>
                <w:rFonts w:eastAsiaTheme="minorEastAsia" w:cs="Calibri"/>
                <w:iCs/>
                <w:color w:val="FFFFFF"/>
                <w:szCs w:val="20"/>
                <w:lang w:eastAsia="en-AU"/>
              </w:rPr>
              <w:t>T</w:t>
            </w:r>
            <w:r w:rsidRPr="00EC2897">
              <w:rPr>
                <w:rFonts w:eastAsiaTheme="minorEastAsia" w:cs="Calibri"/>
                <w:iCs/>
                <w:color w:val="FFFFFF"/>
                <w:szCs w:val="20"/>
                <w:lang w:eastAsia="en-AU"/>
              </w:rPr>
              <w:t>otal</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Economic Development, Jobs, Transport and Resources</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6 561 459</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1 039 356</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64 127</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7 664 943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Education and Training</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11 109 041</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11 109 041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Environment, Land, Water and Planning</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1 064 775</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37 206</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641 201</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1 743 182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Health and Human Services</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12 622 537</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167 971</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112</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12 790 620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Justice and Regulation</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5 559 754</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4 209</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27 773</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5 591 736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Premier and Cabinet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340 666</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738</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341 404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Treasury and Finance</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308 521</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4 479 135</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4 787 656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Parliament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122 320</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122 320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Courts </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248 921</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248 921</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Borders>
              <w:top w:val="single" w:sz="6" w:space="0" w:color="auto"/>
              <w:bottom w:val="single" w:sz="12" w:space="0" w:color="auto"/>
            </w:tcBorders>
            <w:shd w:val="solid" w:color="FFFFFF" w:fill="auto"/>
          </w:tcPr>
          <w:p w:rsidR="00BB6F1F" w:rsidRPr="00EC2897" w:rsidRDefault="00BB6F1F" w:rsidP="00AC68FF">
            <w:pPr>
              <w:keepLines w:val="0"/>
              <w:autoSpaceDE w:val="0"/>
              <w:autoSpaceDN w:val="0"/>
              <w:adjustRightInd w:val="0"/>
              <w:rPr>
                <w:rFonts w:eastAsiaTheme="minorEastAsia" w:cs="Calibri"/>
                <w:bCs/>
                <w:color w:val="000000"/>
                <w:szCs w:val="20"/>
                <w:lang w:eastAsia="en-AU"/>
              </w:rPr>
            </w:pPr>
            <w:r w:rsidRPr="00EC2897">
              <w:rPr>
                <w:rFonts w:eastAsiaTheme="minorEastAsia" w:cs="Calibri"/>
                <w:bCs/>
                <w:color w:val="000000"/>
                <w:szCs w:val="20"/>
                <w:lang w:eastAsia="en-AU"/>
              </w:rPr>
              <w:t xml:space="preserve">Total annual appropriations </w:t>
            </w:r>
          </w:p>
        </w:tc>
        <w:tc>
          <w:tcPr>
            <w:tcW w:w="1276"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37 937 994</w:t>
            </w:r>
          </w:p>
        </w:tc>
        <w:tc>
          <w:tcPr>
            <w:tcW w:w="1134"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1 249 481</w:t>
            </w:r>
          </w:p>
        </w:tc>
        <w:tc>
          <w:tcPr>
            <w:tcW w:w="1134"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5 212 348</w:t>
            </w:r>
          </w:p>
        </w:tc>
        <w:tc>
          <w:tcPr>
            <w:tcW w:w="1134"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44 399 823</w:t>
            </w:r>
          </w:p>
        </w:tc>
      </w:tr>
    </w:tbl>
    <w:p w:rsidR="00BB6F1F" w:rsidRPr="00EC2897" w:rsidRDefault="00BB6F1F" w:rsidP="00AC68FF">
      <w:pPr>
        <w:rPr>
          <w:b/>
          <w:bCs/>
          <w:lang w:val="en-US"/>
        </w:rPr>
      </w:pPr>
    </w:p>
    <w:tbl>
      <w:tblPr>
        <w:tblStyle w:val="DTFTable"/>
        <w:tblW w:w="9639" w:type="dxa"/>
        <w:tblInd w:w="45" w:type="dxa"/>
        <w:tblLayout w:type="fixed"/>
        <w:tblCellMar>
          <w:left w:w="45" w:type="dxa"/>
          <w:right w:w="45" w:type="dxa"/>
        </w:tblCellMar>
        <w:tblLook w:val="06E0" w:firstRow="1" w:lastRow="1" w:firstColumn="1" w:lastColumn="0" w:noHBand="1" w:noVBand="1"/>
      </w:tblPr>
      <w:tblGrid>
        <w:gridCol w:w="4961"/>
        <w:gridCol w:w="1276"/>
        <w:gridCol w:w="1134"/>
        <w:gridCol w:w="1134"/>
        <w:gridCol w:w="1134"/>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iCs/>
                <w:color w:val="FFFFFF"/>
                <w:szCs w:val="20"/>
                <w:lang w:eastAsia="en-AU"/>
              </w:rPr>
            </w:pPr>
            <w:r w:rsidRPr="00EC2897">
              <w:rPr>
                <w:rFonts w:eastAsiaTheme="minorEastAsia" w:cs="Calibri"/>
                <w:iCs/>
                <w:color w:val="FFFFFF"/>
                <w:szCs w:val="20"/>
                <w:lang w:eastAsia="en-AU"/>
              </w:rPr>
              <w:t>2016</w:t>
            </w:r>
          </w:p>
        </w:tc>
        <w:tc>
          <w:tcPr>
            <w:tcW w:w="1276"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 xml:space="preserve"> </w:t>
            </w:r>
          </w:p>
        </w:tc>
        <w:tc>
          <w:tcPr>
            <w:tcW w:w="113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 xml:space="preserve"> </w:t>
            </w:r>
          </w:p>
        </w:tc>
        <w:tc>
          <w:tcPr>
            <w:tcW w:w="113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 xml:space="preserve"> </w:t>
            </w:r>
          </w:p>
        </w:tc>
        <w:tc>
          <w:tcPr>
            <w:tcW w:w="113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szCs w:val="20"/>
                <w:vertAlign w:val="superscript"/>
                <w:lang w:eastAsia="en-AU"/>
              </w:rPr>
            </w:pPr>
            <w:r w:rsidRPr="00EC2897">
              <w:rPr>
                <w:rFonts w:eastAsiaTheme="minorEastAsia" w:cs="Calibri"/>
                <w:color w:val="000000"/>
                <w:szCs w:val="20"/>
                <w:lang w:eastAsia="en-AU"/>
              </w:rPr>
              <w:t xml:space="preserve">Economic Development, Jobs, Transport and Resources </w:t>
            </w:r>
            <w:r w:rsidRPr="00EC2897">
              <w:rPr>
                <w:rFonts w:eastAsiaTheme="minorEastAsia" w:cs="Calibri"/>
                <w:color w:val="000000"/>
                <w:szCs w:val="20"/>
                <w:vertAlign w:val="superscript"/>
                <w:lang w:eastAsia="en-AU"/>
              </w:rPr>
              <w:t>(a)</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6 212 982</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1 618 492</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63 091</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7 894 565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Education and Training</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10 198 541</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10 198 541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szCs w:val="20"/>
                <w:vertAlign w:val="superscript"/>
                <w:lang w:eastAsia="en-AU"/>
              </w:rPr>
            </w:pPr>
            <w:r w:rsidRPr="00EC2897">
              <w:rPr>
                <w:rFonts w:eastAsiaTheme="minorEastAsia" w:cs="Calibri"/>
                <w:color w:val="000000"/>
                <w:szCs w:val="20"/>
                <w:lang w:eastAsia="en-AU"/>
              </w:rPr>
              <w:t xml:space="preserve">Environment, Land, Water and Planning </w:t>
            </w:r>
            <w:r w:rsidRPr="00EC2897">
              <w:rPr>
                <w:rFonts w:eastAsiaTheme="minorEastAsia" w:cs="Calibri"/>
                <w:color w:val="000000"/>
                <w:szCs w:val="20"/>
                <w:vertAlign w:val="superscript"/>
                <w:lang w:eastAsia="en-AU"/>
              </w:rPr>
              <w:t>(a)</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892 171</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25 187</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628 201</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1 545 559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Health and Human Services</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11 789 172</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20 989</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11 810 161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szCs w:val="20"/>
                <w:vertAlign w:val="superscript"/>
                <w:lang w:eastAsia="en-AU"/>
              </w:rPr>
            </w:pPr>
            <w:r w:rsidRPr="00EC2897">
              <w:rPr>
                <w:rFonts w:eastAsiaTheme="minorEastAsia" w:cs="Calibri"/>
                <w:color w:val="000000"/>
                <w:szCs w:val="20"/>
                <w:lang w:eastAsia="en-AU"/>
              </w:rPr>
              <w:t xml:space="preserve">Justice and Regulation </w:t>
            </w:r>
            <w:r w:rsidRPr="00EC2897">
              <w:rPr>
                <w:rFonts w:eastAsiaTheme="minorEastAsia" w:cs="Calibri"/>
                <w:color w:val="000000"/>
                <w:szCs w:val="20"/>
                <w:vertAlign w:val="superscript"/>
                <w:lang w:eastAsia="en-AU"/>
              </w:rPr>
              <w:t>(a)</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5 029 650</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3 566</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28 905</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5 062 120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Premier and Cabinet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274 270</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1 100</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275 370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Treasury and Finance</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229 677</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1 738 662</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1 968 339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Parliament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113 891</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113 891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Courts </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237 372</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237 372</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Borders>
              <w:top w:val="single" w:sz="6" w:space="0" w:color="auto"/>
              <w:bottom w:val="single" w:sz="12" w:space="0" w:color="auto"/>
            </w:tcBorders>
            <w:shd w:val="solid" w:color="FFFFFF" w:fill="auto"/>
          </w:tcPr>
          <w:p w:rsidR="00BB6F1F" w:rsidRPr="00EC2897" w:rsidRDefault="00BB6F1F" w:rsidP="00AC68FF">
            <w:pPr>
              <w:keepLines w:val="0"/>
              <w:autoSpaceDE w:val="0"/>
              <w:autoSpaceDN w:val="0"/>
              <w:adjustRightInd w:val="0"/>
              <w:rPr>
                <w:rFonts w:eastAsiaTheme="minorEastAsia" w:cs="Calibri"/>
                <w:bCs/>
                <w:color w:val="000000"/>
                <w:szCs w:val="20"/>
                <w:lang w:eastAsia="en-AU"/>
              </w:rPr>
            </w:pPr>
            <w:r w:rsidRPr="00EC2897">
              <w:rPr>
                <w:rFonts w:eastAsiaTheme="minorEastAsia" w:cs="Calibri"/>
                <w:bCs/>
                <w:color w:val="000000"/>
                <w:szCs w:val="20"/>
                <w:lang w:eastAsia="en-AU"/>
              </w:rPr>
              <w:t xml:space="preserve">Total annual appropriations </w:t>
            </w:r>
          </w:p>
        </w:tc>
        <w:tc>
          <w:tcPr>
            <w:tcW w:w="1276"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34 977 726</w:t>
            </w:r>
          </w:p>
        </w:tc>
        <w:tc>
          <w:tcPr>
            <w:tcW w:w="1134"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1 669 334</w:t>
            </w:r>
          </w:p>
        </w:tc>
        <w:tc>
          <w:tcPr>
            <w:tcW w:w="1134"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2 458 859</w:t>
            </w:r>
          </w:p>
        </w:tc>
        <w:tc>
          <w:tcPr>
            <w:tcW w:w="1134"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39 105 919</w:t>
            </w:r>
          </w:p>
        </w:tc>
      </w:tr>
    </w:tbl>
    <w:p w:rsidR="00BB6F1F" w:rsidRDefault="00BB6F1F" w:rsidP="00AC68FF">
      <w:pPr>
        <w:pStyle w:val="Note"/>
      </w:pPr>
      <w:r>
        <w:t>Note:</w:t>
      </w:r>
    </w:p>
    <w:p w:rsidR="00BB6F1F" w:rsidRDefault="00BB6F1F" w:rsidP="00AC68FF">
      <w:pPr>
        <w:pStyle w:val="Note"/>
      </w:pPr>
      <w:r>
        <w:t>(a)</w:t>
      </w:r>
      <w:r>
        <w:tab/>
      </w:r>
      <w:r w:rsidRPr="008C00E4">
        <w:t>June 2016 comparative figures have been restated to reflect more current information.</w:t>
      </w:r>
    </w:p>
    <w:p w:rsidR="00BB6F1F" w:rsidRDefault="00BB6F1F" w:rsidP="00AC68FF">
      <w:pPr>
        <w:rPr>
          <w:lang w:val="en-US"/>
        </w:rPr>
      </w:pPr>
    </w:p>
    <w:p w:rsidR="00BB6F1F" w:rsidRPr="007B2989" w:rsidRDefault="00BB6F1F" w:rsidP="00343347">
      <w:pPr>
        <w:pStyle w:val="Heading3"/>
        <w:numPr>
          <w:ilvl w:val="2"/>
          <w:numId w:val="24"/>
        </w:numPr>
        <w:tabs>
          <w:tab w:val="right" w:pos="14572"/>
        </w:tabs>
        <w:spacing w:after="0"/>
        <w:ind w:left="851"/>
      </w:pPr>
      <w:bookmarkStart w:id="76" w:name="_Toc492984937"/>
      <w:bookmarkStart w:id="77" w:name="_Toc462418836"/>
      <w:r w:rsidRPr="007B2989">
        <w:t xml:space="preserve">Amounts paid into working accounts pursuant to Section 23 of the </w:t>
      </w:r>
      <w:r w:rsidR="00A351BA">
        <w:br/>
      </w:r>
      <w:r w:rsidRPr="0003431C">
        <w:rPr>
          <w:i/>
        </w:rPr>
        <w:t>Financial Management Act 1994</w:t>
      </w:r>
      <w:r w:rsidRPr="007B2989">
        <w:t xml:space="preserve"> for the year ended 30 June</w:t>
      </w:r>
      <w:bookmarkEnd w:id="76"/>
    </w:p>
    <w:p w:rsidR="00BB6F1F" w:rsidRPr="00EC2897" w:rsidRDefault="00BB6F1F" w:rsidP="00AC68FF">
      <w:pPr>
        <w:pStyle w:val="TableUnits"/>
        <w:rPr>
          <w:bCs/>
          <w:lang w:val="en-US"/>
        </w:rPr>
      </w:pPr>
      <w:r w:rsidRPr="00D42175">
        <w:t>($ thousand)</w:t>
      </w:r>
      <w:bookmarkEnd w:id="77"/>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370"/>
        <w:gridCol w:w="1134"/>
        <w:gridCol w:w="1134"/>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0" w:type="dxa"/>
            <w:tcBorders>
              <w:top w:val="nil"/>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iCs/>
                <w:color w:val="FFFFFF"/>
                <w:szCs w:val="20"/>
                <w:lang w:eastAsia="en-AU"/>
              </w:rPr>
            </w:pPr>
            <w:r w:rsidRPr="00EC2897">
              <w:rPr>
                <w:rFonts w:eastAsiaTheme="minorEastAsia" w:cs="Calibri"/>
                <w:iCs/>
                <w:color w:val="FFFFFF"/>
                <w:szCs w:val="20"/>
                <w:lang w:eastAsia="en-AU"/>
              </w:rPr>
              <w:t xml:space="preserve"> </w:t>
            </w:r>
          </w:p>
        </w:tc>
        <w:tc>
          <w:tcPr>
            <w:tcW w:w="113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370"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Appropriation transfer equivalent to consolidated fund receipts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14 670</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12 423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370"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Interest received on credit balances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139</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143</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0" w:type="dxa"/>
            <w:tcBorders>
              <w:top w:val="single" w:sz="6" w:space="0" w:color="auto"/>
              <w:bottom w:val="single" w:sz="12" w:space="0" w:color="auto"/>
            </w:tcBorders>
          </w:tcPr>
          <w:p w:rsidR="00BB6F1F" w:rsidRPr="00EC2897" w:rsidRDefault="00BB6F1F" w:rsidP="00AC68FF">
            <w:pPr>
              <w:keepLines w:val="0"/>
              <w:autoSpaceDE w:val="0"/>
              <w:autoSpaceDN w:val="0"/>
              <w:adjustRightInd w:val="0"/>
              <w:rPr>
                <w:rFonts w:eastAsiaTheme="minorEastAsia" w:cs="Calibri"/>
                <w:bCs/>
                <w:color w:val="000000"/>
                <w:szCs w:val="20"/>
                <w:lang w:eastAsia="en-AU"/>
              </w:rPr>
            </w:pPr>
            <w:r w:rsidRPr="00EC2897">
              <w:rPr>
                <w:rFonts w:eastAsiaTheme="minorEastAsia" w:cs="Calibri"/>
                <w:bCs/>
                <w:color w:val="000000"/>
                <w:szCs w:val="20"/>
                <w:lang w:eastAsia="en-AU"/>
              </w:rPr>
              <w:t>Total amounts paid into working accounts</w:t>
            </w:r>
          </w:p>
        </w:tc>
        <w:tc>
          <w:tcPr>
            <w:tcW w:w="1134"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14 810</w:t>
            </w:r>
          </w:p>
        </w:tc>
        <w:tc>
          <w:tcPr>
            <w:tcW w:w="1134"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12 566</w:t>
            </w:r>
          </w:p>
        </w:tc>
      </w:tr>
    </w:tbl>
    <w:p w:rsidR="00BB6F1F" w:rsidRDefault="00BB6F1F" w:rsidP="00AC68FF">
      <w:pPr>
        <w:rPr>
          <w:lang w:val="en-US"/>
        </w:rPr>
      </w:pPr>
    </w:p>
    <w:p w:rsidR="00BB6F1F" w:rsidRPr="007B2989" w:rsidRDefault="00BB6F1F" w:rsidP="00343347">
      <w:pPr>
        <w:pStyle w:val="Heading3"/>
        <w:numPr>
          <w:ilvl w:val="2"/>
          <w:numId w:val="24"/>
        </w:numPr>
        <w:tabs>
          <w:tab w:val="right" w:pos="14572"/>
        </w:tabs>
        <w:spacing w:after="0"/>
        <w:ind w:left="851"/>
      </w:pPr>
      <w:bookmarkStart w:id="78" w:name="_Toc492984938"/>
      <w:r w:rsidRPr="007B2989">
        <w:t xml:space="preserve">Allocations pursuant to Section 28 of the </w:t>
      </w:r>
      <w:r w:rsidRPr="0003431C">
        <w:rPr>
          <w:i/>
        </w:rPr>
        <w:t>Financial Management Act 1994</w:t>
      </w:r>
      <w:r w:rsidRPr="007B2989">
        <w:t xml:space="preserve"> </w:t>
      </w:r>
      <w:r w:rsidR="00A351BA">
        <w:br/>
      </w:r>
      <w:r w:rsidRPr="007B2989">
        <w:t>for the financial year ended 30 June</w:t>
      </w:r>
      <w:bookmarkEnd w:id="78"/>
      <w:r w:rsidRPr="007B2989">
        <w:t xml:space="preserve"> </w:t>
      </w:r>
    </w:p>
    <w:p w:rsidR="00BB6F1F" w:rsidRPr="00EC2897" w:rsidRDefault="00BB6F1F" w:rsidP="00AC68FF">
      <w:pPr>
        <w:pStyle w:val="TableUnits"/>
        <w:rPr>
          <w:bCs/>
          <w:lang w:val="en-US"/>
        </w:rPr>
      </w:pPr>
      <w:r>
        <w:t>($ thousand)</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b/>
                <w:bCs/>
                <w:iCs/>
                <w:color w:val="FFFFFF"/>
                <w:szCs w:val="20"/>
                <w:lang w:eastAsia="en-AU"/>
              </w:rPr>
            </w:pPr>
            <w:r w:rsidRPr="00EC2897">
              <w:rPr>
                <w:rFonts w:eastAsiaTheme="minorEastAsia" w:cs="Calibri"/>
                <w:b/>
                <w:bCs/>
                <w:iCs/>
                <w:color w:val="FFFFFF"/>
                <w:szCs w:val="20"/>
                <w:lang w:eastAsia="en-AU"/>
              </w:rPr>
              <w:t xml:space="preserve"> </w:t>
            </w:r>
          </w:p>
        </w:tc>
        <w:tc>
          <w:tcPr>
            <w:tcW w:w="907"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907"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Section 28 allocations</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(Appropriation for borrowing against future appropriation)</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Department of Environment, Land, Water and Planning</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Provision of outputs</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2 250</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Addition to net asset base</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3 344</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rsidR="00BB6F1F" w:rsidRPr="00EC2897" w:rsidRDefault="00BB6F1F" w:rsidP="00AC68FF">
            <w:pPr>
              <w:keepLines w:val="0"/>
              <w:autoSpaceDE w:val="0"/>
              <w:autoSpaceDN w:val="0"/>
              <w:adjustRightInd w:val="0"/>
              <w:rPr>
                <w:rFonts w:eastAsiaTheme="minorEastAsia" w:cs="Calibri"/>
                <w:bCs/>
                <w:color w:val="000000"/>
                <w:szCs w:val="20"/>
                <w:lang w:eastAsia="en-AU"/>
              </w:rPr>
            </w:pPr>
            <w:r w:rsidRPr="00EC2897">
              <w:rPr>
                <w:rFonts w:eastAsiaTheme="minorEastAsia" w:cs="Calibri"/>
                <w:bCs/>
                <w:color w:val="000000"/>
                <w:szCs w:val="20"/>
                <w:lang w:eastAsia="en-AU"/>
              </w:rPr>
              <w:t>Total Section 28 allocations</w:t>
            </w:r>
          </w:p>
        </w:tc>
        <w:tc>
          <w:tcPr>
            <w:tcW w:w="907"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5 594</w:t>
            </w:r>
          </w:p>
        </w:tc>
        <w:tc>
          <w:tcPr>
            <w:tcW w:w="907"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w:t>
            </w:r>
          </w:p>
        </w:tc>
      </w:tr>
    </w:tbl>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Pr="00546346" w:rsidRDefault="00BB6F1F" w:rsidP="00AC68FF">
      <w:pPr>
        <w:sectPr w:rsidR="00BB6F1F" w:rsidRPr="00546346" w:rsidSect="00AC68FF">
          <w:type w:val="continuous"/>
          <w:pgSz w:w="11907" w:h="16839" w:code="9"/>
          <w:pgMar w:top="1134" w:right="1134" w:bottom="1134" w:left="1134" w:header="624" w:footer="567" w:gutter="0"/>
          <w:cols w:num="2" w:space="567"/>
          <w:docGrid w:linePitch="360"/>
        </w:sectPr>
      </w:pPr>
    </w:p>
    <w:p w:rsidR="00BB6F1F" w:rsidRPr="007B2989" w:rsidRDefault="00BB6F1F" w:rsidP="006C0F1F">
      <w:pPr>
        <w:pStyle w:val="Heading3"/>
        <w:numPr>
          <w:ilvl w:val="2"/>
          <w:numId w:val="24"/>
        </w:numPr>
        <w:tabs>
          <w:tab w:val="right" w:pos="14572"/>
        </w:tabs>
        <w:spacing w:before="0" w:after="0"/>
        <w:ind w:left="851"/>
      </w:pPr>
      <w:bookmarkStart w:id="79" w:name="_Toc492984939"/>
      <w:r w:rsidRPr="007B2989">
        <w:lastRenderedPageBreak/>
        <w:t xml:space="preserve">Transfers pursuant to Sections 30 and 31 of the </w:t>
      </w:r>
      <w:r w:rsidRPr="007B2989">
        <w:rPr>
          <w:i/>
        </w:rPr>
        <w:t>Financial Management Act 1994</w:t>
      </w:r>
      <w:r w:rsidRPr="007B2989">
        <w:t xml:space="preserve"> </w:t>
      </w:r>
      <w:r w:rsidR="00A351BA">
        <w:br/>
      </w:r>
      <w:r w:rsidRPr="007B2989">
        <w:t>for the financial year ended 30 June 2017</w:t>
      </w:r>
      <w:bookmarkEnd w:id="79"/>
    </w:p>
    <w:p w:rsidR="00BB6F1F" w:rsidRPr="00EC2897" w:rsidRDefault="00BB6F1F" w:rsidP="00AC68FF">
      <w:pPr>
        <w:pStyle w:val="TableUnits"/>
        <w:rPr>
          <w:bCs/>
          <w:lang w:val="en-US"/>
        </w:rPr>
      </w:pPr>
      <w:r w:rsidRPr="00D42175">
        <w:t>($ thousand)</w:t>
      </w:r>
      <w:bookmarkStart w:id="80" w:name="_Toc462418839"/>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iCs/>
                <w:color w:val="FFFFFF"/>
                <w:szCs w:val="20"/>
                <w:lang w:eastAsia="en-AU"/>
              </w:rPr>
            </w:pPr>
            <w:r w:rsidRPr="00EC2897">
              <w:rPr>
                <w:rFonts w:eastAsiaTheme="minorEastAsia" w:cs="Calibri"/>
                <w:iCs/>
                <w:color w:val="FFFFFF"/>
                <w:szCs w:val="20"/>
                <w:lang w:eastAsia="en-AU"/>
              </w:rPr>
              <w:t xml:space="preserve"> </w:t>
            </w:r>
          </w:p>
        </w:tc>
        <w:tc>
          <w:tcPr>
            <w:tcW w:w="907"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Decrease</w:t>
            </w:r>
          </w:p>
        </w:tc>
        <w:tc>
          <w:tcPr>
            <w:tcW w:w="907"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Increase</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 xml:space="preserve">Section 30 and 31 transfers </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(Transfers between items of departmental appropriations)</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Department of Economic Development, Jobs, Transport and Resources</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Provision of outputs</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21 324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Additions to the net asset base</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21 324</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Department of Education and Training</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Provision of outputs</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20 515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Additions to the net asset base</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20 515</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Department of Environment, Land, Water and Planning</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Provision of outputs </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13 020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Additions to the net asset base </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28 799</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Payments made on behalf of the State</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15 779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Department of Health and Human Services</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Provision of outputs </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15 593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Additions to the net asset base</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15 593</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Department of Justice and Regulation</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Provision of outputs</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84 219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Additions to the net asset base</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84 219</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Premier and Cabinet</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Provision of outputs</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6 294</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Additions to the net asset base</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6 294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Treasury and Finance</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Provision of outputs</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65 000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Payments made on behalf of the State</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65 000</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0"/>
                <w:lang w:eastAsia="en-AU"/>
              </w:rPr>
            </w:pPr>
            <w:r w:rsidRPr="00EC2897">
              <w:rPr>
                <w:rFonts w:eastAsiaTheme="minorEastAsia" w:cs="Calibri"/>
                <w:b/>
                <w:bCs/>
                <w:color w:val="000000"/>
                <w:szCs w:val="20"/>
                <w:lang w:eastAsia="en-AU"/>
              </w:rPr>
              <w:t>Courts</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Provision of outputs</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9 720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Additions to the net asset base</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9 720</w:t>
            </w:r>
          </w:p>
        </w:tc>
        <w:tc>
          <w:tcPr>
            <w:tcW w:w="90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rsidR="00BB6F1F" w:rsidRPr="00EC2897" w:rsidRDefault="00BB6F1F" w:rsidP="00AC68FF">
            <w:pPr>
              <w:keepLines w:val="0"/>
              <w:autoSpaceDE w:val="0"/>
              <w:autoSpaceDN w:val="0"/>
              <w:adjustRightInd w:val="0"/>
              <w:rPr>
                <w:rFonts w:eastAsiaTheme="minorEastAsia" w:cs="Calibri"/>
                <w:bCs/>
                <w:color w:val="000000"/>
                <w:szCs w:val="20"/>
                <w:lang w:eastAsia="en-AU"/>
              </w:rPr>
            </w:pPr>
            <w:r w:rsidRPr="00EC2897">
              <w:rPr>
                <w:rFonts w:eastAsiaTheme="minorEastAsia" w:cs="Calibri"/>
                <w:bCs/>
                <w:color w:val="000000"/>
                <w:szCs w:val="20"/>
                <w:lang w:eastAsia="en-AU"/>
              </w:rPr>
              <w:t>Total Section 30 and 31 transfers</w:t>
            </w:r>
          </w:p>
        </w:tc>
        <w:tc>
          <w:tcPr>
            <w:tcW w:w="907"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251 463</w:t>
            </w:r>
          </w:p>
        </w:tc>
        <w:tc>
          <w:tcPr>
            <w:tcW w:w="907"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251 463</w:t>
            </w:r>
          </w:p>
        </w:tc>
      </w:tr>
    </w:tbl>
    <w:p w:rsidR="00BB6F1F" w:rsidRDefault="00BB6F1F" w:rsidP="00AC68FF"/>
    <w:p w:rsidR="00BB6F1F" w:rsidRPr="007B2989" w:rsidRDefault="00BB6F1F" w:rsidP="00343347">
      <w:pPr>
        <w:pStyle w:val="Heading3"/>
        <w:numPr>
          <w:ilvl w:val="2"/>
          <w:numId w:val="24"/>
        </w:numPr>
        <w:tabs>
          <w:tab w:val="right" w:pos="14572"/>
        </w:tabs>
        <w:spacing w:after="0"/>
        <w:ind w:left="851"/>
      </w:pPr>
      <w:bookmarkStart w:id="81" w:name="_Toc492984940"/>
      <w:r w:rsidRPr="007B2989">
        <w:t xml:space="preserve">Appropriation of revenue and asset sale proceeds pursuant to Section 29 of the </w:t>
      </w:r>
      <w:r w:rsidR="00A351BA">
        <w:br/>
      </w:r>
      <w:r w:rsidRPr="007B2989">
        <w:rPr>
          <w:i/>
        </w:rPr>
        <w:t>Financial Management Act 1994</w:t>
      </w:r>
      <w:r w:rsidRPr="007B2989">
        <w:t xml:space="preserve"> for the financial year ended 30 June 2017</w:t>
      </w:r>
      <w:bookmarkEnd w:id="81"/>
    </w:p>
    <w:p w:rsidR="00BB6F1F" w:rsidRPr="00EC2897" w:rsidRDefault="00BB6F1F" w:rsidP="00AC68FF">
      <w:pPr>
        <w:pStyle w:val="TableUnits"/>
        <w:rPr>
          <w:bCs/>
          <w:lang w:val="en-US"/>
        </w:rPr>
      </w:pPr>
      <w:r w:rsidRPr="00D42175">
        <w:t>($ thousand)</w:t>
      </w:r>
      <w:bookmarkEnd w:id="80"/>
    </w:p>
    <w:tbl>
      <w:tblPr>
        <w:tblStyle w:val="DTFTable"/>
        <w:tblW w:w="9639" w:type="dxa"/>
        <w:tblInd w:w="45" w:type="dxa"/>
        <w:tblLayout w:type="fixed"/>
        <w:tblCellMar>
          <w:left w:w="45" w:type="dxa"/>
          <w:right w:w="45" w:type="dxa"/>
        </w:tblCellMar>
        <w:tblLook w:val="06E0" w:firstRow="1" w:lastRow="1" w:firstColumn="1" w:lastColumn="0" w:noHBand="1" w:noVBand="1"/>
      </w:tblPr>
      <w:tblGrid>
        <w:gridCol w:w="4961"/>
        <w:gridCol w:w="1276"/>
        <w:gridCol w:w="1406"/>
        <w:gridCol w:w="862"/>
        <w:gridCol w:w="1134"/>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iCs/>
                <w:color w:val="FFFFFF"/>
                <w:szCs w:val="20"/>
                <w:lang w:eastAsia="en-AU"/>
              </w:rPr>
            </w:pPr>
            <w:r w:rsidRPr="00EC2897">
              <w:rPr>
                <w:rFonts w:eastAsiaTheme="minorEastAsia" w:cs="Calibri"/>
                <w:iCs/>
                <w:color w:val="FFFFFF"/>
                <w:szCs w:val="20"/>
                <w:lang w:eastAsia="en-AU"/>
              </w:rPr>
              <w:t xml:space="preserve"> </w:t>
            </w:r>
          </w:p>
        </w:tc>
        <w:tc>
          <w:tcPr>
            <w:tcW w:w="1276"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 xml:space="preserve"> </w:t>
            </w:r>
          </w:p>
        </w:tc>
        <w:tc>
          <w:tcPr>
            <w:tcW w:w="2268"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Source</w:t>
            </w:r>
          </w:p>
        </w:tc>
        <w:tc>
          <w:tcPr>
            <w:tcW w:w="113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 xml:space="preserve">   </w:t>
            </w:r>
          </w:p>
        </w:tc>
      </w:tr>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rPr>
                <w:rFonts w:eastAsiaTheme="minorEastAsia" w:cs="Calibri"/>
                <w:iCs/>
                <w:color w:val="FFFFFF"/>
                <w:szCs w:val="20"/>
                <w:lang w:eastAsia="en-AU"/>
              </w:rPr>
            </w:pPr>
            <w:r w:rsidRPr="00EC2897">
              <w:rPr>
                <w:rFonts w:eastAsiaTheme="minorEastAsia" w:cs="Calibri"/>
                <w:iCs/>
                <w:color w:val="FFFFFF"/>
                <w:szCs w:val="20"/>
                <w:lang w:eastAsia="en-AU"/>
              </w:rPr>
              <w:t>Department</w:t>
            </w:r>
          </w:p>
        </w:tc>
        <w:tc>
          <w:tcPr>
            <w:tcW w:w="1276"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Outputs</w:t>
            </w:r>
          </w:p>
        </w:tc>
        <w:tc>
          <w:tcPr>
            <w:tcW w:w="1406"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Commonwealth</w:t>
            </w:r>
          </w:p>
        </w:tc>
        <w:tc>
          <w:tcPr>
            <w:tcW w:w="862"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 xml:space="preserve">Other </w:t>
            </w:r>
          </w:p>
        </w:tc>
        <w:tc>
          <w:tcPr>
            <w:tcW w:w="113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 xml:space="preserve"> Total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Economic Development, Jobs, Transport and Resources</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40 949</w:t>
            </w:r>
          </w:p>
        </w:tc>
        <w:tc>
          <w:tcPr>
            <w:tcW w:w="14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452 642</w:t>
            </w:r>
          </w:p>
        </w:tc>
        <w:tc>
          <w:tcPr>
            <w:tcW w:w="86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493 591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Education and Training</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65 752</w:t>
            </w:r>
          </w:p>
        </w:tc>
        <w:tc>
          <w:tcPr>
            <w:tcW w:w="14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493 282</w:t>
            </w:r>
          </w:p>
        </w:tc>
        <w:tc>
          <w:tcPr>
            <w:tcW w:w="86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2 536</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561 570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Environment, Land, Water and Planning</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115 523</w:t>
            </w:r>
          </w:p>
        </w:tc>
        <w:tc>
          <w:tcPr>
            <w:tcW w:w="14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48 404</w:t>
            </w:r>
          </w:p>
        </w:tc>
        <w:tc>
          <w:tcPr>
            <w:tcW w:w="86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5 631</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169 558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Health and Human Services</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329 437</w:t>
            </w:r>
          </w:p>
        </w:tc>
        <w:tc>
          <w:tcPr>
            <w:tcW w:w="14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204 909</w:t>
            </w:r>
          </w:p>
        </w:tc>
        <w:tc>
          <w:tcPr>
            <w:tcW w:w="86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4 474</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538 820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Justice and Regulation</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157 872</w:t>
            </w:r>
          </w:p>
        </w:tc>
        <w:tc>
          <w:tcPr>
            <w:tcW w:w="14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68 816</w:t>
            </w:r>
          </w:p>
        </w:tc>
        <w:tc>
          <w:tcPr>
            <w:tcW w:w="86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2 485</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229 173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Premier and Cabinet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632</w:t>
            </w:r>
          </w:p>
        </w:tc>
        <w:tc>
          <w:tcPr>
            <w:tcW w:w="14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86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Treasury and Finance</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8 996</w:t>
            </w:r>
          </w:p>
        </w:tc>
        <w:tc>
          <w:tcPr>
            <w:tcW w:w="14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1 000</w:t>
            </w:r>
          </w:p>
        </w:tc>
        <w:tc>
          <w:tcPr>
            <w:tcW w:w="86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9 996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Parliament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26 832</w:t>
            </w:r>
          </w:p>
        </w:tc>
        <w:tc>
          <w:tcPr>
            <w:tcW w:w="14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86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26 832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Courts</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70 725</w:t>
            </w:r>
          </w:p>
        </w:tc>
        <w:tc>
          <w:tcPr>
            <w:tcW w:w="14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86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70 725</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Borders>
              <w:top w:val="single" w:sz="6" w:space="0" w:color="auto"/>
              <w:bottom w:val="single" w:sz="12" w:space="0" w:color="auto"/>
            </w:tcBorders>
          </w:tcPr>
          <w:p w:rsidR="00BB6F1F" w:rsidRPr="00EC2897" w:rsidRDefault="00BB6F1F" w:rsidP="00AC68FF">
            <w:pPr>
              <w:keepLines w:val="0"/>
              <w:autoSpaceDE w:val="0"/>
              <w:autoSpaceDN w:val="0"/>
              <w:adjustRightInd w:val="0"/>
              <w:rPr>
                <w:rFonts w:eastAsiaTheme="minorEastAsia" w:cs="Calibri"/>
                <w:bCs/>
                <w:color w:val="000000"/>
                <w:szCs w:val="20"/>
                <w:lang w:eastAsia="en-AU"/>
              </w:rPr>
            </w:pPr>
            <w:r w:rsidRPr="00EC2897">
              <w:rPr>
                <w:rFonts w:eastAsiaTheme="minorEastAsia" w:cs="Calibri"/>
                <w:bCs/>
                <w:color w:val="000000"/>
                <w:szCs w:val="20"/>
                <w:lang w:eastAsia="en-AU"/>
              </w:rPr>
              <w:t>Total appropriation</w:t>
            </w:r>
          </w:p>
        </w:tc>
        <w:tc>
          <w:tcPr>
            <w:tcW w:w="1276"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816 720</w:t>
            </w:r>
          </w:p>
        </w:tc>
        <w:tc>
          <w:tcPr>
            <w:tcW w:w="1406"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1 269 053</w:t>
            </w:r>
          </w:p>
        </w:tc>
        <w:tc>
          <w:tcPr>
            <w:tcW w:w="862"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15 126</w:t>
            </w:r>
          </w:p>
        </w:tc>
        <w:tc>
          <w:tcPr>
            <w:tcW w:w="1134"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2 100 898</w:t>
            </w:r>
          </w:p>
        </w:tc>
      </w:tr>
    </w:tbl>
    <w:p w:rsidR="00BB6F1F" w:rsidRPr="00BF2109" w:rsidRDefault="00BB6F1F" w:rsidP="00AC68FF"/>
    <w:p w:rsidR="00BB6F1F" w:rsidRPr="007B2989" w:rsidRDefault="00BB6F1F" w:rsidP="00BB6F1F">
      <w:pPr>
        <w:pStyle w:val="Heading3"/>
        <w:numPr>
          <w:ilvl w:val="2"/>
          <w:numId w:val="24"/>
        </w:numPr>
        <w:tabs>
          <w:tab w:val="right" w:pos="14572"/>
        </w:tabs>
        <w:ind w:left="851"/>
      </w:pPr>
      <w:bookmarkStart w:id="82" w:name="_Toc492984941"/>
      <w:r w:rsidRPr="007B2989">
        <w:lastRenderedPageBreak/>
        <w:t xml:space="preserve">Section 32 carryovers – </w:t>
      </w:r>
      <w:r w:rsidRPr="007B2989">
        <w:rPr>
          <w:i/>
        </w:rPr>
        <w:t>Financial Management Act 1994</w:t>
      </w:r>
      <w:r w:rsidRPr="007B2989">
        <w:t xml:space="preserve"> for the financial year ended 30 June</w:t>
      </w:r>
      <w:bookmarkEnd w:id="82"/>
    </w:p>
    <w:p w:rsidR="00BB6F1F" w:rsidRPr="00EC2897" w:rsidRDefault="00BB6F1F" w:rsidP="00343347">
      <w:pPr>
        <w:pStyle w:val="TableHeading"/>
        <w:ind w:left="0" w:firstLine="0"/>
        <w:rPr>
          <w:bCs/>
          <w:lang w:val="en-US"/>
        </w:rPr>
      </w:pPr>
      <w:r>
        <w:t xml:space="preserve">Amounts approved for carryover to 2016-17 pursuant to Section 32 of the </w:t>
      </w:r>
      <w:r w:rsidRPr="00D42175">
        <w:rPr>
          <w:i/>
        </w:rPr>
        <w:t>Financial Management Act 1994</w:t>
      </w:r>
      <w:r w:rsidR="00343347">
        <w:rPr>
          <w:i/>
        </w:rPr>
        <w:br/>
      </w:r>
      <w:r w:rsidR="00343347">
        <w:rPr>
          <w:i/>
        </w:rPr>
        <w:tab/>
      </w:r>
      <w:r w:rsidR="00343347">
        <w:rPr>
          <w:i/>
        </w:rPr>
        <w:tab/>
      </w:r>
      <w:r>
        <w:t>($ thousand)</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4677"/>
        <w:gridCol w:w="1134"/>
        <w:gridCol w:w="1134"/>
        <w:gridCol w:w="1559"/>
        <w:gridCol w:w="1134"/>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rPr>
                <w:rFonts w:eastAsiaTheme="minorEastAsia" w:cs="Calibri"/>
                <w:iCs/>
                <w:color w:val="FFFFFF"/>
                <w:szCs w:val="20"/>
                <w:lang w:eastAsia="en-AU"/>
              </w:rPr>
            </w:pPr>
            <w:r w:rsidRPr="00EC2897">
              <w:rPr>
                <w:rFonts w:eastAsiaTheme="minorEastAsia" w:cs="Calibri"/>
                <w:iCs/>
                <w:color w:val="FFFFFF"/>
                <w:szCs w:val="20"/>
                <w:lang w:eastAsia="en-AU"/>
              </w:rPr>
              <w:t xml:space="preserve">Department </w:t>
            </w:r>
          </w:p>
        </w:tc>
        <w:tc>
          <w:tcPr>
            <w:tcW w:w="113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Provision of outputs</w:t>
            </w:r>
          </w:p>
        </w:tc>
        <w:tc>
          <w:tcPr>
            <w:tcW w:w="113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Additions to net assets</w:t>
            </w:r>
          </w:p>
        </w:tc>
        <w:tc>
          <w:tcPr>
            <w:tcW w:w="1559"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 xml:space="preserve">Payments made on </w:t>
            </w:r>
          </w:p>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behalf of State</w:t>
            </w:r>
          </w:p>
        </w:tc>
        <w:tc>
          <w:tcPr>
            <w:tcW w:w="113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Total carryover</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Economic Development, Jobs, Transport and Resources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110 757</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94 595</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947</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206 299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Education and Training</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246 047</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17 995</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264 042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Environment, Land, Water and Planning</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99 328</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21 498</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13 599</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134 424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Health and Human Services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198 496</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198 496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Justice and Regulation</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144 707</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205 607</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350 314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Premier and Cabinet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31 322</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407</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31 729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Treasury and Finance</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3 914</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3 914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Parliament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3 527</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3 527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Courts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9 840</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18 196</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28 036</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6" w:space="0" w:color="auto"/>
              <w:bottom w:val="single" w:sz="12" w:space="0" w:color="auto"/>
            </w:tcBorders>
          </w:tcPr>
          <w:p w:rsidR="00BB6F1F" w:rsidRPr="00EC2897" w:rsidRDefault="00BB6F1F" w:rsidP="00AC68FF">
            <w:pPr>
              <w:keepLines w:val="0"/>
              <w:autoSpaceDE w:val="0"/>
              <w:autoSpaceDN w:val="0"/>
              <w:adjustRightInd w:val="0"/>
              <w:rPr>
                <w:rFonts w:eastAsiaTheme="minorEastAsia" w:cs="Calibri"/>
                <w:bCs/>
                <w:color w:val="000000"/>
                <w:szCs w:val="20"/>
                <w:lang w:eastAsia="en-AU"/>
              </w:rPr>
            </w:pPr>
            <w:r w:rsidRPr="00EC2897">
              <w:rPr>
                <w:rFonts w:eastAsiaTheme="minorEastAsia" w:cs="Calibri"/>
                <w:bCs/>
                <w:color w:val="000000"/>
                <w:szCs w:val="20"/>
                <w:lang w:eastAsia="en-AU"/>
              </w:rPr>
              <w:t>Total carryovers by department</w:t>
            </w:r>
          </w:p>
        </w:tc>
        <w:tc>
          <w:tcPr>
            <w:tcW w:w="1134"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847 938</w:t>
            </w:r>
          </w:p>
        </w:tc>
        <w:tc>
          <w:tcPr>
            <w:tcW w:w="1134"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358 298</w:t>
            </w:r>
          </w:p>
        </w:tc>
        <w:tc>
          <w:tcPr>
            <w:tcW w:w="1559"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14 546</w:t>
            </w:r>
          </w:p>
        </w:tc>
        <w:tc>
          <w:tcPr>
            <w:tcW w:w="1134"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1 220 781</w:t>
            </w:r>
          </w:p>
        </w:tc>
      </w:tr>
    </w:tbl>
    <w:p w:rsidR="00BB6F1F" w:rsidRDefault="00BB6F1F" w:rsidP="00AC68FF"/>
    <w:p w:rsidR="00BB6F1F" w:rsidRPr="00EC2897" w:rsidRDefault="00BB6F1F" w:rsidP="00343347">
      <w:pPr>
        <w:pStyle w:val="TableHeading"/>
        <w:ind w:left="0" w:firstLine="0"/>
        <w:rPr>
          <w:bCs/>
          <w:lang w:val="en-US"/>
        </w:rPr>
      </w:pPr>
      <w:r w:rsidRPr="00D42175">
        <w:rPr>
          <w:lang w:val="en-US"/>
        </w:rPr>
        <w:t xml:space="preserve">Amounts applied against carryover of appropriations in </w:t>
      </w:r>
      <w:r w:rsidRPr="00FF77BE">
        <w:t>2016</w:t>
      </w:r>
      <w:r w:rsidRPr="00D42175">
        <w:rPr>
          <w:lang w:val="en-US"/>
        </w:rPr>
        <w:t>-1</w:t>
      </w:r>
      <w:r>
        <w:rPr>
          <w:lang w:val="en-US"/>
        </w:rPr>
        <w:t>7</w:t>
      </w:r>
      <w:r w:rsidRPr="00D42175">
        <w:rPr>
          <w:lang w:val="en-US"/>
        </w:rPr>
        <w:t xml:space="preserve"> pursuant to Section 32 of the </w:t>
      </w:r>
      <w:r w:rsidR="00343347">
        <w:rPr>
          <w:lang w:val="en-US"/>
        </w:rPr>
        <w:br/>
      </w:r>
      <w:r w:rsidRPr="00D42175">
        <w:rPr>
          <w:i/>
          <w:lang w:val="en-US"/>
        </w:rPr>
        <w:t>Financial Management Act 1994</w:t>
      </w:r>
      <w:r>
        <w:rPr>
          <w:i/>
          <w:lang w:val="en-US"/>
        </w:rPr>
        <w:tab/>
      </w:r>
      <w:r w:rsidRPr="00D42175">
        <w:rPr>
          <w:lang w:val="en-US"/>
        </w:rPr>
        <w:t>($ thousand)</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4677"/>
        <w:gridCol w:w="1134"/>
        <w:gridCol w:w="1134"/>
        <w:gridCol w:w="1559"/>
        <w:gridCol w:w="1134"/>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rPr>
                <w:rFonts w:eastAsiaTheme="minorEastAsia" w:cs="Calibri"/>
                <w:iCs/>
                <w:color w:val="FFFFFF"/>
                <w:szCs w:val="20"/>
                <w:lang w:eastAsia="en-AU"/>
              </w:rPr>
            </w:pPr>
            <w:r w:rsidRPr="00EC2897">
              <w:rPr>
                <w:rFonts w:eastAsiaTheme="minorEastAsia" w:cs="Calibri"/>
                <w:iCs/>
                <w:color w:val="FFFFFF"/>
                <w:szCs w:val="20"/>
                <w:lang w:eastAsia="en-AU"/>
              </w:rPr>
              <w:t xml:space="preserve">Department </w:t>
            </w:r>
          </w:p>
        </w:tc>
        <w:tc>
          <w:tcPr>
            <w:tcW w:w="113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Provision of outputs</w:t>
            </w:r>
          </w:p>
        </w:tc>
        <w:tc>
          <w:tcPr>
            <w:tcW w:w="113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 xml:space="preserve">Additions to </w:t>
            </w:r>
            <w:r>
              <w:rPr>
                <w:rFonts w:eastAsiaTheme="minorEastAsia" w:cs="Calibri"/>
                <w:iCs/>
                <w:color w:val="FFFFFF"/>
                <w:szCs w:val="20"/>
                <w:lang w:eastAsia="en-AU"/>
              </w:rPr>
              <w:br/>
            </w:r>
            <w:r w:rsidRPr="00EC2897">
              <w:rPr>
                <w:rFonts w:eastAsiaTheme="minorEastAsia" w:cs="Calibri"/>
                <w:iCs/>
                <w:color w:val="FFFFFF"/>
                <w:szCs w:val="20"/>
                <w:lang w:eastAsia="en-AU"/>
              </w:rPr>
              <w:t>net assets</w:t>
            </w:r>
          </w:p>
        </w:tc>
        <w:tc>
          <w:tcPr>
            <w:tcW w:w="1559"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 xml:space="preserve">Payments made </w:t>
            </w:r>
            <w:r>
              <w:rPr>
                <w:rFonts w:eastAsiaTheme="minorEastAsia" w:cs="Calibri"/>
                <w:iCs/>
                <w:color w:val="FFFFFF"/>
                <w:szCs w:val="20"/>
                <w:lang w:eastAsia="en-AU"/>
              </w:rPr>
              <w:br/>
            </w:r>
            <w:r w:rsidRPr="00EC2897">
              <w:rPr>
                <w:rFonts w:eastAsiaTheme="minorEastAsia" w:cs="Calibri"/>
                <w:iCs/>
                <w:color w:val="FFFFFF"/>
                <w:szCs w:val="20"/>
                <w:lang w:eastAsia="en-AU"/>
              </w:rPr>
              <w:t>on behalf of State</w:t>
            </w:r>
          </w:p>
        </w:tc>
        <w:tc>
          <w:tcPr>
            <w:tcW w:w="113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Total carryover</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Economic Development, Jobs, Transport and Resources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102 212</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57 567</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947</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160 726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Education and Training</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239 362</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11 194</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250 556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Environment, Land, Water and Planning</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99 328</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21 498</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13 599</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134 424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Health and Human Services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198 496</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198 496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Justice and Regulation</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144 707</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126 070</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270 777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Premier and Cabinet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29 737</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407</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30 144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Treasury and Finance</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3 914</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3 914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Parliament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3 527</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3 527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Courts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9 840</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17 551</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27 391</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6" w:space="0" w:color="auto"/>
              <w:bottom w:val="single" w:sz="12" w:space="0" w:color="auto"/>
            </w:tcBorders>
          </w:tcPr>
          <w:p w:rsidR="00BB6F1F" w:rsidRPr="00EC2897" w:rsidRDefault="00BB6F1F" w:rsidP="00AC68FF">
            <w:pPr>
              <w:keepLines w:val="0"/>
              <w:autoSpaceDE w:val="0"/>
              <w:autoSpaceDN w:val="0"/>
              <w:adjustRightInd w:val="0"/>
              <w:rPr>
                <w:rFonts w:eastAsiaTheme="minorEastAsia" w:cs="Calibri"/>
                <w:bCs/>
                <w:color w:val="000000"/>
                <w:szCs w:val="20"/>
                <w:lang w:eastAsia="en-AU"/>
              </w:rPr>
            </w:pPr>
            <w:r w:rsidRPr="00EC2897">
              <w:rPr>
                <w:rFonts w:eastAsiaTheme="minorEastAsia" w:cs="Calibri"/>
                <w:bCs/>
                <w:color w:val="000000"/>
                <w:szCs w:val="20"/>
                <w:lang w:eastAsia="en-AU"/>
              </w:rPr>
              <w:t>Total carryovers by department</w:t>
            </w:r>
          </w:p>
        </w:tc>
        <w:tc>
          <w:tcPr>
            <w:tcW w:w="1134"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831 123</w:t>
            </w:r>
          </w:p>
        </w:tc>
        <w:tc>
          <w:tcPr>
            <w:tcW w:w="1134"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234 286</w:t>
            </w:r>
          </w:p>
        </w:tc>
        <w:tc>
          <w:tcPr>
            <w:tcW w:w="1559"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14 546</w:t>
            </w:r>
          </w:p>
        </w:tc>
        <w:tc>
          <w:tcPr>
            <w:tcW w:w="1134"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1 079 954</w:t>
            </w:r>
          </w:p>
        </w:tc>
      </w:tr>
    </w:tbl>
    <w:p w:rsidR="00BB6F1F" w:rsidRPr="00714B8B" w:rsidRDefault="00BB6F1F" w:rsidP="00AC68FF">
      <w:pPr>
        <w:rPr>
          <w:lang w:val="en-US"/>
        </w:rPr>
      </w:pPr>
    </w:p>
    <w:p w:rsidR="00BB6F1F" w:rsidRPr="00EC2897" w:rsidRDefault="00BB6F1F" w:rsidP="0003431C">
      <w:pPr>
        <w:pStyle w:val="TableHeading"/>
        <w:rPr>
          <w:bCs/>
          <w:lang w:val="en-US"/>
        </w:rPr>
      </w:pPr>
      <w:r w:rsidRPr="00D42175">
        <w:rPr>
          <w:lang w:val="en-US"/>
        </w:rPr>
        <w:t xml:space="preserve">Amounts </w:t>
      </w:r>
      <w:r>
        <w:rPr>
          <w:lang w:val="en-US"/>
        </w:rPr>
        <w:t>approved for carryover to 2017-18</w:t>
      </w:r>
      <w:r w:rsidRPr="00D42175">
        <w:rPr>
          <w:lang w:val="en-US"/>
        </w:rPr>
        <w:t xml:space="preserve"> pursuant to Section 32 of the </w:t>
      </w:r>
      <w:r w:rsidRPr="00D42175">
        <w:rPr>
          <w:i/>
          <w:lang w:val="en-US"/>
        </w:rPr>
        <w:t>Financial Management Act 1994</w:t>
      </w:r>
      <w:r w:rsidR="00343347">
        <w:rPr>
          <w:i/>
          <w:lang w:val="en-US"/>
        </w:rPr>
        <w:br/>
      </w:r>
      <w:r w:rsidR="00343347">
        <w:rPr>
          <w:lang w:val="en-US"/>
        </w:rPr>
        <w:tab/>
      </w:r>
      <w:r w:rsidRPr="00D42175">
        <w:rPr>
          <w:lang w:val="en-US"/>
        </w:rPr>
        <w:t>($ thousand)</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4677"/>
        <w:gridCol w:w="1134"/>
        <w:gridCol w:w="1134"/>
        <w:gridCol w:w="1559"/>
        <w:gridCol w:w="1134"/>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rPr>
                <w:rFonts w:eastAsiaTheme="minorEastAsia" w:cs="Calibri"/>
                <w:iCs/>
                <w:color w:val="FFFFFF"/>
                <w:szCs w:val="20"/>
                <w:lang w:eastAsia="en-AU"/>
              </w:rPr>
            </w:pPr>
            <w:r w:rsidRPr="00EC2897">
              <w:rPr>
                <w:rFonts w:eastAsiaTheme="minorEastAsia" w:cs="Calibri"/>
                <w:iCs/>
                <w:color w:val="FFFFFF"/>
                <w:szCs w:val="20"/>
                <w:lang w:eastAsia="en-AU"/>
              </w:rPr>
              <w:t xml:space="preserve">Department </w:t>
            </w:r>
          </w:p>
        </w:tc>
        <w:tc>
          <w:tcPr>
            <w:tcW w:w="113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Provision of outputs</w:t>
            </w:r>
          </w:p>
        </w:tc>
        <w:tc>
          <w:tcPr>
            <w:tcW w:w="113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Additions to net assets</w:t>
            </w:r>
          </w:p>
        </w:tc>
        <w:tc>
          <w:tcPr>
            <w:tcW w:w="1559"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 xml:space="preserve">Payments made </w:t>
            </w:r>
            <w:r>
              <w:rPr>
                <w:rFonts w:eastAsiaTheme="minorEastAsia" w:cs="Calibri"/>
                <w:iCs/>
                <w:color w:val="FFFFFF"/>
                <w:szCs w:val="20"/>
                <w:lang w:eastAsia="en-AU"/>
              </w:rPr>
              <w:br/>
            </w:r>
            <w:r w:rsidRPr="00EC2897">
              <w:rPr>
                <w:rFonts w:eastAsiaTheme="minorEastAsia" w:cs="Calibri"/>
                <w:iCs/>
                <w:color w:val="FFFFFF"/>
                <w:szCs w:val="20"/>
                <w:lang w:eastAsia="en-AU"/>
              </w:rPr>
              <w:t>on behalf of State</w:t>
            </w:r>
          </w:p>
        </w:tc>
        <w:tc>
          <w:tcPr>
            <w:tcW w:w="113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Total carryover</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Economic Development, Jobs, Transport and Resources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68 504</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279 054</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347 558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Education and Training</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135 964</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52 497</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188 461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Environment, Land, Water and Planning</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66 800</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3 000</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69 800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Health and Human Services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108 825</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639</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109 464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Justice and Regulation</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73 298</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95 295</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168 593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Premier and Cabinet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81 549</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2 380</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83 929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Treasury and Finance</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3 822</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3 822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Parliament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5 257</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5 257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Courts</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6 126</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10 342</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16 468</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6" w:space="0" w:color="auto"/>
              <w:bottom w:val="single" w:sz="12" w:space="0" w:color="auto"/>
            </w:tcBorders>
          </w:tcPr>
          <w:p w:rsidR="00BB6F1F" w:rsidRPr="00EC2897" w:rsidRDefault="00BB6F1F" w:rsidP="00AC68FF">
            <w:pPr>
              <w:keepLines w:val="0"/>
              <w:autoSpaceDE w:val="0"/>
              <w:autoSpaceDN w:val="0"/>
              <w:adjustRightInd w:val="0"/>
              <w:rPr>
                <w:rFonts w:eastAsiaTheme="minorEastAsia" w:cs="Calibri"/>
                <w:bCs/>
                <w:color w:val="000000"/>
                <w:szCs w:val="20"/>
                <w:lang w:eastAsia="en-AU"/>
              </w:rPr>
            </w:pPr>
            <w:r w:rsidRPr="00EC2897">
              <w:rPr>
                <w:rFonts w:eastAsiaTheme="minorEastAsia" w:cs="Calibri"/>
                <w:bCs/>
                <w:color w:val="000000"/>
                <w:szCs w:val="20"/>
                <w:lang w:eastAsia="en-AU"/>
              </w:rPr>
              <w:t>Total carryovers by department</w:t>
            </w:r>
          </w:p>
        </w:tc>
        <w:tc>
          <w:tcPr>
            <w:tcW w:w="1134"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550 145</w:t>
            </w:r>
          </w:p>
        </w:tc>
        <w:tc>
          <w:tcPr>
            <w:tcW w:w="1134"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443 207</w:t>
            </w:r>
          </w:p>
        </w:tc>
        <w:tc>
          <w:tcPr>
            <w:tcW w:w="1559"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w:t>
            </w:r>
          </w:p>
        </w:tc>
        <w:tc>
          <w:tcPr>
            <w:tcW w:w="1134"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993 352</w:t>
            </w:r>
          </w:p>
        </w:tc>
      </w:tr>
    </w:tbl>
    <w:p w:rsidR="00BB6F1F" w:rsidRDefault="00BB6F1F" w:rsidP="00AC68FF"/>
    <w:p w:rsidR="003D766C" w:rsidRDefault="003D766C">
      <w:pPr>
        <w:keepLines w:val="0"/>
        <w:rPr>
          <w:rFonts w:asciiTheme="majorHAnsi" w:eastAsiaTheme="majorEastAsia" w:hAnsiTheme="majorHAnsi" w:cstheme="majorBidi"/>
          <w:b/>
          <w:bCs/>
          <w:spacing w:val="-2"/>
          <w:sz w:val="23"/>
          <w:szCs w:val="26"/>
        </w:rPr>
      </w:pPr>
      <w:bookmarkStart w:id="83" w:name="_Toc492984942"/>
      <w:r>
        <w:br w:type="page"/>
      </w:r>
    </w:p>
    <w:p w:rsidR="00BB6F1F" w:rsidRPr="007B2989" w:rsidRDefault="00BB6F1F" w:rsidP="00343347">
      <w:pPr>
        <w:pStyle w:val="Heading3"/>
        <w:numPr>
          <w:ilvl w:val="2"/>
          <w:numId w:val="24"/>
        </w:numPr>
        <w:tabs>
          <w:tab w:val="right" w:pos="14572"/>
        </w:tabs>
        <w:spacing w:after="0"/>
        <w:ind w:left="851"/>
      </w:pPr>
      <w:r w:rsidRPr="007B2989">
        <w:lastRenderedPageBreak/>
        <w:t>Payments from advance to the Treasurer for the financial year ended 30 June</w:t>
      </w:r>
      <w:bookmarkEnd w:id="83"/>
    </w:p>
    <w:p w:rsidR="00BB6F1F" w:rsidRPr="00EC2897" w:rsidRDefault="00BB6F1F" w:rsidP="00AC68FF">
      <w:pPr>
        <w:pStyle w:val="TableUnits"/>
        <w:rPr>
          <w:bCs/>
          <w:lang w:val="en-US"/>
        </w:rPr>
      </w:pPr>
      <w:r w:rsidRPr="00D42175">
        <w:t>($ thousand)</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2126"/>
        <w:gridCol w:w="6520"/>
        <w:gridCol w:w="992"/>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iCs/>
                <w:color w:val="FFFFFF"/>
                <w:szCs w:val="20"/>
                <w:lang w:eastAsia="en-AU"/>
              </w:rPr>
            </w:pPr>
            <w:r w:rsidRPr="00EC2897">
              <w:rPr>
                <w:rFonts w:eastAsiaTheme="minorEastAsia" w:cs="Calibri"/>
                <w:iCs/>
                <w:color w:val="FFFFFF"/>
                <w:szCs w:val="20"/>
                <w:lang w:eastAsia="en-AU"/>
              </w:rPr>
              <w:t>Department</w:t>
            </w:r>
          </w:p>
        </w:tc>
        <w:tc>
          <w:tcPr>
            <w:tcW w:w="652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Purpose</w:t>
            </w:r>
          </w:p>
        </w:tc>
        <w:tc>
          <w:tcPr>
            <w:tcW w:w="992"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2016-17</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val="restart"/>
            <w:tcBorders>
              <w:top w:val="nil"/>
              <w:left w:val="nil"/>
              <w:right w:val="nil"/>
            </w:tcBorders>
            <w:shd w:val="solid" w:color="FFFFFF" w:fill="auto"/>
          </w:tcPr>
          <w:p w:rsidR="00A351BA" w:rsidRPr="00EC2897" w:rsidRDefault="00A351BA" w:rsidP="00A351BA">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Economic Development,</w:t>
            </w:r>
            <w:r>
              <w:rPr>
                <w:rFonts w:eastAsiaTheme="minorEastAsia" w:cs="Calibri"/>
                <w:color w:val="000000"/>
                <w:szCs w:val="20"/>
                <w:lang w:eastAsia="en-AU"/>
              </w:rPr>
              <w:t xml:space="preserve"> </w:t>
            </w:r>
            <w:r w:rsidRPr="00EC2897">
              <w:rPr>
                <w:rFonts w:eastAsiaTheme="minorEastAsia" w:cs="Calibri"/>
                <w:color w:val="000000"/>
                <w:szCs w:val="20"/>
                <w:lang w:eastAsia="en-AU"/>
              </w:rPr>
              <w:t>Jobs, Transport and</w:t>
            </w:r>
            <w:r>
              <w:rPr>
                <w:rFonts w:eastAsiaTheme="minorEastAsia" w:cs="Calibri"/>
                <w:color w:val="000000"/>
                <w:szCs w:val="20"/>
                <w:lang w:eastAsia="en-AU"/>
              </w:rPr>
              <w:t xml:space="preserve"> </w:t>
            </w:r>
            <w:r w:rsidRPr="00EC2897">
              <w:rPr>
                <w:rFonts w:eastAsiaTheme="minorEastAsia" w:cs="Calibri"/>
                <w:color w:val="000000"/>
                <w:szCs w:val="20"/>
                <w:lang w:eastAsia="en-AU"/>
              </w:rPr>
              <w:t xml:space="preserve">Resources </w:t>
            </w: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Monash Freeway upgrade – </w:t>
            </w:r>
            <w:proofErr w:type="spellStart"/>
            <w:r w:rsidRPr="00EC2897">
              <w:rPr>
                <w:rFonts w:eastAsiaTheme="minorEastAsia" w:cs="Calibri"/>
                <w:color w:val="000000"/>
                <w:szCs w:val="20"/>
                <w:lang w:eastAsia="en-AU"/>
              </w:rPr>
              <w:t>EastLink</w:t>
            </w:r>
            <w:proofErr w:type="spellEnd"/>
            <w:r w:rsidRPr="00EC2897">
              <w:rPr>
                <w:rFonts w:eastAsiaTheme="minorEastAsia" w:cs="Calibri"/>
                <w:color w:val="000000"/>
                <w:szCs w:val="20"/>
                <w:lang w:eastAsia="en-AU"/>
              </w:rPr>
              <w:t xml:space="preserve"> to Clyde Road</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127 739</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Mernda Rail Extension Project</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91 286</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Additional </w:t>
            </w:r>
            <w:proofErr w:type="spellStart"/>
            <w:r w:rsidRPr="00EC2897">
              <w:rPr>
                <w:rFonts w:eastAsiaTheme="minorEastAsia" w:cs="Calibri"/>
                <w:color w:val="000000"/>
                <w:szCs w:val="20"/>
                <w:lang w:eastAsia="en-AU"/>
              </w:rPr>
              <w:t>X’Trapolis</w:t>
            </w:r>
            <w:proofErr w:type="spellEnd"/>
            <w:r w:rsidRPr="00EC2897">
              <w:rPr>
                <w:rFonts w:eastAsiaTheme="minorEastAsia" w:cs="Calibri"/>
                <w:color w:val="000000"/>
                <w:szCs w:val="20"/>
                <w:lang w:eastAsia="en-AU"/>
              </w:rPr>
              <w:t xml:space="preserve"> trains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83 462</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Agriculture Infrastructure and Jobs Fund</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29 776</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High Capacity Metro Trains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26 295</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West Gate Tunnel Project</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19 019</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Ongoing delivery of Night Network</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17 300</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Hurstbridge Corridor Upgrade</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17 284</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Rail Re-franchising – Contract Renegotiations with rail operators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16 765</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Next generation regional train – development funding (regional various)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6 600</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i/>
                <w:iCs/>
                <w:color w:val="000000"/>
                <w:szCs w:val="20"/>
                <w:lang w:eastAsia="en-AU"/>
              </w:rPr>
              <w:t>myki</w:t>
            </w:r>
            <w:r w:rsidRPr="00EC2897">
              <w:rPr>
                <w:rFonts w:eastAsiaTheme="minorEastAsia" w:cs="Calibri"/>
                <w:color w:val="000000"/>
                <w:szCs w:val="20"/>
                <w:lang w:eastAsia="en-AU"/>
              </w:rPr>
              <w:t xml:space="preserve"> ticketing services retender</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5 199</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Commercial Passenger Vehicle Reform</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3 648</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Back to Work</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3 614</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Taxi Services Reform</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3 288</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Latrobe Valley package – Gippsland Tourism</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3 200</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Compulsory and voluntary property acquisition costs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3 165</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Dairy Support Package</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2 996</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National biosecurity cost-sharing agreements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2 816</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Regional Network Development Plan – Major Periodic Maintenance</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2 811</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Hardship support for taxi license owners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2 749</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National Broadband Network program</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2 620</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VicRoads Registration and Licencing Activities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2 334</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Webb Dock Access Improvement</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2 330</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Automotive Supply Chain Transition program</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2 001</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Support for Creative Victoria agencies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1 727</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Migration of Traffic Signal Control Communications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1 427</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Victoria's Road Safety Action Plan</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1 097</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V/Line Service Upgrades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1 026</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Melbourne Exhibition Centre Expansion Project</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1 012</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Portable long service leave and labour hire inquiry outcomes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959</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Support for the State Library Victoria</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703</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Drysdale Bypass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662</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Roadside Weeds and Pests program</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500</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roofErr w:type="spellStart"/>
            <w:r w:rsidRPr="00EC2897">
              <w:rPr>
                <w:rFonts w:eastAsiaTheme="minorEastAsia" w:cs="Calibri"/>
                <w:color w:val="000000"/>
                <w:szCs w:val="20"/>
                <w:lang w:eastAsia="en-AU"/>
              </w:rPr>
              <w:t>Fishermans</w:t>
            </w:r>
            <w:proofErr w:type="spellEnd"/>
            <w:r w:rsidRPr="00EC2897">
              <w:rPr>
                <w:rFonts w:eastAsiaTheme="minorEastAsia" w:cs="Calibri"/>
                <w:color w:val="000000"/>
                <w:szCs w:val="20"/>
                <w:lang w:eastAsia="en-AU"/>
              </w:rPr>
              <w:t xml:space="preserve"> Bend Urban Renewal Area</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367</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Ballarat West Link Road</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216</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National Heavy Vehicle Regulator – System analysis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158</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Royal Melbourne Showgrounds Redevelopment</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142</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Rural Assistance Commissioner</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106</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Victorian Gas Supply Program</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102</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Network development – Planning our future</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66</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Western Interstate Freight Terminal</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bottom w:val="single" w:sz="6" w:space="0" w:color="auto"/>
              <w:right w:val="nil"/>
            </w:tcBorders>
          </w:tcPr>
          <w:p w:rsidR="00A351BA" w:rsidRPr="00EC2897" w:rsidRDefault="00A351BA" w:rsidP="00AC68FF">
            <w:pPr>
              <w:keepLines w:val="0"/>
              <w:autoSpaceDE w:val="0"/>
              <w:autoSpaceDN w:val="0"/>
              <w:adjustRightInd w:val="0"/>
              <w:rPr>
                <w:rFonts w:eastAsiaTheme="minorEastAsia" w:cs="Calibri"/>
                <w:color w:val="000000"/>
                <w:szCs w:val="20"/>
                <w:lang w:eastAsia="en-AU"/>
              </w:rPr>
            </w:pPr>
          </w:p>
        </w:tc>
        <w:tc>
          <w:tcPr>
            <w:tcW w:w="6520" w:type="dxa"/>
            <w:tcBorders>
              <w:top w:val="nil"/>
              <w:left w:val="nil"/>
              <w:bottom w:val="single" w:sz="6" w:space="0" w:color="auto"/>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92" w:type="dxa"/>
            <w:tcBorders>
              <w:top w:val="nil"/>
              <w:left w:val="nil"/>
              <w:bottom w:val="single" w:sz="6" w:space="0" w:color="auto"/>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488 582</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val="restart"/>
            <w:tcBorders>
              <w:top w:val="nil"/>
              <w:left w:val="nil"/>
              <w:right w:val="nil"/>
            </w:tcBorders>
            <w:shd w:val="solid" w:color="FFFFFF" w:fill="auto"/>
          </w:tcPr>
          <w:p w:rsidR="00A351BA" w:rsidRPr="00EC2897" w:rsidRDefault="00A351BA" w:rsidP="00A351BA">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Education and Training </w:t>
            </w: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Depreciation and Capital Asset Charge update based on asset revaluation</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177 749</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School enrolment based funding</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58 753</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Loading for Social Disadvantage (Primary and Secondary)</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24 808</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Vocational Education and Training in Schools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5 400</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Funding for students to catch up</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4 027</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Teaching the new Victorian Curriculum</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3 554</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Supporting Victoria's Industry Advisory Bodies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2 100</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Drought Support Fund</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477</w:t>
            </w:r>
          </w:p>
        </w:tc>
      </w:tr>
      <w:tr w:rsidR="00A351BA" w:rsidRPr="00EC2897" w:rsidTr="00A351BA">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Public Private Partnerships alignment</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67</w:t>
            </w:r>
          </w:p>
        </w:tc>
      </w:tr>
      <w:tr w:rsidR="00A351BA" w:rsidRPr="00EC2897" w:rsidTr="00A351B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vMerge/>
            <w:tcBorders>
              <w:bottom w:val="single" w:sz="6" w:space="0" w:color="auto"/>
            </w:tcBorders>
          </w:tcPr>
          <w:p w:rsidR="00A351BA" w:rsidRPr="00EC2897" w:rsidRDefault="00A351BA" w:rsidP="00AC68FF">
            <w:pPr>
              <w:keepLines w:val="0"/>
              <w:autoSpaceDE w:val="0"/>
              <w:autoSpaceDN w:val="0"/>
              <w:adjustRightInd w:val="0"/>
              <w:rPr>
                <w:rFonts w:eastAsiaTheme="minorEastAsia" w:cs="Calibri"/>
                <w:color w:val="000000"/>
                <w:szCs w:val="20"/>
                <w:lang w:eastAsia="en-AU"/>
              </w:rPr>
            </w:pPr>
          </w:p>
        </w:tc>
        <w:tc>
          <w:tcPr>
            <w:tcW w:w="6520" w:type="dxa"/>
            <w:tcBorders>
              <w:top w:val="nil"/>
              <w:bottom w:val="single" w:sz="6" w:space="0" w:color="auto"/>
            </w:tcBorders>
          </w:tcPr>
          <w:p w:rsidR="00A351BA" w:rsidRPr="00EC2897" w:rsidRDefault="00A351BA" w:rsidP="00AC68FF">
            <w:pPr>
              <w:keepLines w:val="0"/>
              <w:autoSpaceDE w:val="0"/>
              <w:autoSpaceDN w:val="0"/>
              <w:adjustRightInd w:val="0"/>
              <w:jc w:val="left"/>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92" w:type="dxa"/>
            <w:tcBorders>
              <w:top w:val="nil"/>
              <w:bottom w:val="single" w:sz="6" w:space="0" w:color="auto"/>
            </w:tcBorders>
          </w:tcPr>
          <w:p w:rsidR="00A351BA" w:rsidRPr="006C76DC" w:rsidRDefault="00A351BA"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6C76DC">
              <w:rPr>
                <w:rFonts w:eastAsiaTheme="minorEastAsia" w:cs="Calibri"/>
                <w:bCs/>
                <w:color w:val="000000"/>
                <w:szCs w:val="20"/>
                <w:lang w:eastAsia="en-AU"/>
              </w:rPr>
              <w:t>276 935</w:t>
            </w:r>
          </w:p>
        </w:tc>
      </w:tr>
    </w:tbl>
    <w:p w:rsidR="00626AEF" w:rsidRDefault="00626AEF"/>
    <w:p w:rsidR="00626AEF" w:rsidRDefault="00626AEF" w:rsidP="00626AEF">
      <w:pPr>
        <w:pStyle w:val="Heading30"/>
        <w:pBdr>
          <w:bottom w:val="none" w:sz="0" w:space="0" w:color="auto"/>
        </w:pBdr>
        <w:tabs>
          <w:tab w:val="left" w:pos="851"/>
        </w:tabs>
      </w:pPr>
      <w:r>
        <w:lastRenderedPageBreak/>
        <w:t>8.2.14</w:t>
      </w:r>
      <w:r>
        <w:tab/>
        <w:t xml:space="preserve">Payments from advance to the Treasurer for the financial year ended 30 June </w:t>
      </w:r>
      <w:r w:rsidRPr="00626AEF">
        <w:rPr>
          <w:i/>
        </w:rPr>
        <w:t>(continued</w:t>
      </w:r>
      <w:r>
        <w:rPr>
          <w:i/>
        </w:rPr>
        <w:t>)</w:t>
      </w:r>
    </w:p>
    <w:p w:rsidR="00626AEF" w:rsidRDefault="00626AEF" w:rsidP="00626AEF">
      <w:pPr>
        <w:pStyle w:val="TableUnits"/>
      </w:pPr>
      <w:r>
        <w:t>($ thousand)</w:t>
      </w:r>
    </w:p>
    <w:tbl>
      <w:tblPr>
        <w:tblStyle w:val="DTFTable"/>
        <w:tblW w:w="9638" w:type="dxa"/>
        <w:tblInd w:w="57" w:type="dxa"/>
        <w:tblLayout w:type="fixed"/>
        <w:tblLook w:val="04A0" w:firstRow="1" w:lastRow="0" w:firstColumn="1" w:lastColumn="0" w:noHBand="0" w:noVBand="1"/>
      </w:tblPr>
      <w:tblGrid>
        <w:gridCol w:w="2126"/>
        <w:gridCol w:w="6520"/>
        <w:gridCol w:w="992"/>
      </w:tblGrid>
      <w:tr w:rsidR="00626AEF" w:rsidRPr="00EC2897" w:rsidTr="00626A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626AEF" w:rsidRPr="00EC2897" w:rsidRDefault="00626AEF" w:rsidP="00C14F47">
            <w:pPr>
              <w:autoSpaceDE w:val="0"/>
              <w:autoSpaceDN w:val="0"/>
              <w:adjustRightInd w:val="0"/>
              <w:rPr>
                <w:rFonts w:eastAsiaTheme="minorEastAsia" w:cs="Calibri"/>
                <w:iCs/>
                <w:color w:val="FFFFFF"/>
                <w:szCs w:val="20"/>
                <w:lang w:eastAsia="en-AU"/>
              </w:rPr>
            </w:pPr>
            <w:r w:rsidRPr="00EC2897">
              <w:rPr>
                <w:rFonts w:eastAsiaTheme="minorEastAsia" w:cs="Calibri"/>
                <w:iCs/>
                <w:color w:val="FFFFFF"/>
                <w:szCs w:val="20"/>
                <w:lang w:eastAsia="en-AU"/>
              </w:rPr>
              <w:t>Department</w:t>
            </w:r>
          </w:p>
        </w:tc>
        <w:tc>
          <w:tcPr>
            <w:tcW w:w="6520" w:type="dxa"/>
          </w:tcPr>
          <w:p w:rsidR="00626AEF" w:rsidRPr="00EC2897" w:rsidRDefault="00626AEF" w:rsidP="00C14F47">
            <w:pPr>
              <w:keepLines w:val="0"/>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Purpose</w:t>
            </w:r>
          </w:p>
        </w:tc>
        <w:tc>
          <w:tcPr>
            <w:tcW w:w="992" w:type="dxa"/>
          </w:tcPr>
          <w:p w:rsidR="00626AEF" w:rsidRPr="00EC2897" w:rsidRDefault="00626AEF" w:rsidP="00C14F4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2016-17</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val="restart"/>
            <w:tcBorders>
              <w:top w:val="nil"/>
              <w:left w:val="nil"/>
              <w:right w:val="nil"/>
            </w:tcBorders>
            <w:shd w:val="solid" w:color="FFFFFF" w:fill="auto"/>
          </w:tcPr>
          <w:p w:rsidR="00A351BA" w:rsidRPr="00EC2897" w:rsidRDefault="00A351BA" w:rsidP="00626AE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Environment, Land, Water and Planning </w:t>
            </w:r>
          </w:p>
        </w:tc>
        <w:tc>
          <w:tcPr>
            <w:tcW w:w="6520" w:type="dxa"/>
            <w:tcBorders>
              <w:top w:val="nil"/>
              <w:left w:val="nil"/>
              <w:bottom w:val="nil"/>
              <w:right w:val="nil"/>
            </w:tcBorders>
            <w:shd w:val="solid" w:color="FFFFFF" w:fill="auto"/>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Additional aviation resources for firefighting</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11 100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shd w:val="solid" w:color="FFFFFF" w:fill="auto"/>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2016-17 floods recovery</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10 149</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shd w:val="solid" w:color="FFFFFF" w:fill="auto"/>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Additional resources for 2016-17 bushfire season</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7 000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shd w:val="solid" w:color="FFFFFF" w:fill="auto"/>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Alpine Resorts – Southern Alpine Resort Management Board</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6 080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shd w:val="solid" w:color="FFFFFF" w:fill="auto"/>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Recovery of bushfire affected communities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5 790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shd w:val="solid" w:color="FFFFFF" w:fill="auto"/>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Land Use Victoria</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3 142</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shd w:val="solid" w:color="FFFFFF" w:fill="auto"/>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Fighting Extinction Fund</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1 568</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shd w:val="solid" w:color="FFFFFF" w:fill="auto"/>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Smarter planning for permits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1 500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shd w:val="solid" w:color="FFFFFF" w:fill="auto"/>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Project 000 Response</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1 383</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shd w:val="solid" w:color="FFFFFF" w:fill="auto"/>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Speeding up local government planning decisions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1 000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shd w:val="solid" w:color="FFFFFF" w:fill="auto"/>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Latrobe Valley Assistance Package – Support Local Government – Planning the Transition</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shd w:val="solid" w:color="FFFFFF" w:fill="auto"/>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Inclusionary housing on surplus government land pilot</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shd w:val="solid" w:color="FFFFFF" w:fill="auto"/>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Inclusionary housing in major developments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272</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shd w:val="solid" w:color="FFFFFF" w:fill="auto"/>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Simplifying the Great Ocean Road management arrangements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145</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bottom w:val="single" w:sz="6" w:space="0" w:color="auto"/>
              <w:right w:val="nil"/>
            </w:tcBorders>
          </w:tcPr>
          <w:p w:rsidR="00A351BA" w:rsidRPr="00EC2897" w:rsidRDefault="00A351BA" w:rsidP="00AC68FF">
            <w:pPr>
              <w:keepLines w:val="0"/>
              <w:autoSpaceDE w:val="0"/>
              <w:autoSpaceDN w:val="0"/>
              <w:adjustRightInd w:val="0"/>
              <w:rPr>
                <w:rFonts w:eastAsiaTheme="minorEastAsia" w:cs="Calibri"/>
                <w:color w:val="000000"/>
                <w:szCs w:val="20"/>
                <w:lang w:eastAsia="en-AU"/>
              </w:rPr>
            </w:pPr>
          </w:p>
        </w:tc>
        <w:tc>
          <w:tcPr>
            <w:tcW w:w="6520" w:type="dxa"/>
            <w:tcBorders>
              <w:top w:val="nil"/>
              <w:left w:val="nil"/>
              <w:bottom w:val="single" w:sz="6" w:space="0" w:color="auto"/>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92" w:type="dxa"/>
            <w:tcBorders>
              <w:top w:val="nil"/>
              <w:left w:val="nil"/>
              <w:bottom w:val="single" w:sz="6" w:space="0" w:color="auto"/>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50 259</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val="restart"/>
            <w:tcBorders>
              <w:top w:val="nil"/>
              <w:left w:val="nil"/>
              <w:right w:val="nil"/>
            </w:tcBorders>
          </w:tcPr>
          <w:p w:rsidR="00A351BA" w:rsidRPr="00EC2897" w:rsidRDefault="00A351BA" w:rsidP="00A351BA">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Health and Human Services </w:t>
            </w: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Additional resources for health services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205 250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Supplementation for the Hospital and Charities fund</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70 712</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Improving ambulance response times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66 531</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Redevelopment of Public Housing Estate Program supplementation</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16 250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Civil claims for historical institutional child abuse</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10 831</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Concessions to pensioners and beneficiaries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8 220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Strengthening workforce response and supplementation for youth justice precincts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4 856</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State Sport Centres Trust supplementation</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4 789</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Victorian Comprehensive Cancer Centre lease and quarterly service payment supplementation</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3 183</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Social Housing Management – Establishment Costs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3 000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Albury Brain and Mind Centre</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2 978</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roofErr w:type="spellStart"/>
            <w:r w:rsidRPr="00EC2897">
              <w:rPr>
                <w:rFonts w:eastAsiaTheme="minorEastAsia" w:cs="Calibri"/>
                <w:color w:val="000000"/>
                <w:szCs w:val="20"/>
                <w:lang w:eastAsia="en-AU"/>
              </w:rPr>
              <w:t>Supercare</w:t>
            </w:r>
            <w:proofErr w:type="spellEnd"/>
            <w:r w:rsidRPr="00EC2897">
              <w:rPr>
                <w:rFonts w:eastAsiaTheme="minorEastAsia" w:cs="Calibri"/>
                <w:color w:val="000000"/>
                <w:szCs w:val="20"/>
                <w:lang w:eastAsia="en-AU"/>
              </w:rPr>
              <w:t xml:space="preserve"> Pharmacies additional supplementation</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2 041</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Responses to homelessness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1 733</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Delivering on Victoria’s cancer plan</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1 200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roofErr w:type="spellStart"/>
            <w:r w:rsidRPr="00EC2897">
              <w:rPr>
                <w:rFonts w:eastAsiaTheme="minorEastAsia" w:cs="Calibri"/>
                <w:color w:val="000000"/>
                <w:szCs w:val="20"/>
                <w:lang w:eastAsia="en-AU"/>
              </w:rPr>
              <w:t>SunSmart</w:t>
            </w:r>
            <w:proofErr w:type="spellEnd"/>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1 108</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Good Money Store Morwell</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Hazelwood – Healthy and Strong Latrobe</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92</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bottom w:val="single" w:sz="6" w:space="0" w:color="auto"/>
              <w:right w:val="nil"/>
            </w:tcBorders>
          </w:tcPr>
          <w:p w:rsidR="00A351BA" w:rsidRPr="00EC2897" w:rsidRDefault="00A351BA" w:rsidP="00AC68FF">
            <w:pPr>
              <w:keepLines w:val="0"/>
              <w:autoSpaceDE w:val="0"/>
              <w:autoSpaceDN w:val="0"/>
              <w:adjustRightInd w:val="0"/>
              <w:rPr>
                <w:rFonts w:eastAsiaTheme="minorEastAsia" w:cs="Calibri"/>
                <w:color w:val="000000"/>
                <w:szCs w:val="20"/>
                <w:lang w:eastAsia="en-AU"/>
              </w:rPr>
            </w:pPr>
          </w:p>
        </w:tc>
        <w:tc>
          <w:tcPr>
            <w:tcW w:w="6520" w:type="dxa"/>
            <w:tcBorders>
              <w:top w:val="nil"/>
              <w:left w:val="nil"/>
              <w:bottom w:val="single" w:sz="6" w:space="0" w:color="auto"/>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92" w:type="dxa"/>
            <w:tcBorders>
              <w:top w:val="nil"/>
              <w:left w:val="nil"/>
              <w:bottom w:val="single" w:sz="6" w:space="0" w:color="auto"/>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403 273</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val="restart"/>
            <w:tcBorders>
              <w:top w:val="nil"/>
              <w:left w:val="nil"/>
              <w:right w:val="nil"/>
            </w:tcBorders>
            <w:shd w:val="solid" w:color="FFFFFF" w:fill="auto"/>
          </w:tcPr>
          <w:p w:rsidR="00A351BA" w:rsidRPr="00EC2897" w:rsidRDefault="00A351BA" w:rsidP="00A351BA">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Justice and Regulation </w:t>
            </w: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Emergency Services Volunteer Sustainability Grants Program</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34 999</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Accelerated deployment of police</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20 734</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Resource funding for Country Fire Authority</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19 025</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Strengthening workforce response and supplementation for youth justice precincts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18 820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Resource funding for Metropolitan Fire Brigade</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16 107</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Response to Bourke Street incident</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10 159</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roofErr w:type="spellStart"/>
            <w:r w:rsidRPr="00EC2897">
              <w:rPr>
                <w:rFonts w:eastAsiaTheme="minorEastAsia" w:cs="Calibri"/>
                <w:color w:val="000000"/>
                <w:szCs w:val="20"/>
                <w:lang w:eastAsia="en-AU"/>
              </w:rPr>
              <w:t>Intralot</w:t>
            </w:r>
            <w:proofErr w:type="spellEnd"/>
            <w:r w:rsidRPr="00EC2897">
              <w:rPr>
                <w:rFonts w:eastAsiaTheme="minorEastAsia" w:cs="Calibri"/>
                <w:color w:val="000000"/>
                <w:szCs w:val="20"/>
                <w:lang w:eastAsia="en-AU"/>
              </w:rPr>
              <w:t xml:space="preserve"> litigation legal costs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10 000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Victims' experience of the Justice System</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4 034</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Night Network – Transport Security</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4 009</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Flemington racecourse grandstand upgrade</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4 000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Summer Fire Information Campaign</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3 500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Major declared events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2 499</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Gambling Licensing program review</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2 000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Community Safety Statement</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1 879</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Management of serious offenders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1 500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Victoria State Emergency Service additional resources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771</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Wye River and Separation Creek bushfire costs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Native Title Settlements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Fast Track Remand Court</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195</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roofErr w:type="spellStart"/>
            <w:r w:rsidRPr="00EC2897">
              <w:rPr>
                <w:rFonts w:eastAsiaTheme="minorEastAsia" w:cs="Calibri"/>
                <w:color w:val="000000"/>
                <w:szCs w:val="20"/>
                <w:lang w:eastAsia="en-AU"/>
              </w:rPr>
              <w:t>Gunditj</w:t>
            </w:r>
            <w:proofErr w:type="spellEnd"/>
            <w:r w:rsidRPr="00EC2897">
              <w:rPr>
                <w:rFonts w:eastAsiaTheme="minorEastAsia" w:cs="Calibri"/>
                <w:color w:val="000000"/>
                <w:szCs w:val="20"/>
                <w:lang w:eastAsia="en-AU"/>
              </w:rPr>
              <w:t xml:space="preserve"> </w:t>
            </w:r>
            <w:proofErr w:type="spellStart"/>
            <w:r w:rsidRPr="00EC2897">
              <w:rPr>
                <w:rFonts w:eastAsiaTheme="minorEastAsia" w:cs="Calibri"/>
                <w:color w:val="000000"/>
                <w:szCs w:val="20"/>
                <w:lang w:eastAsia="en-AU"/>
              </w:rPr>
              <w:t>Mirring</w:t>
            </w:r>
            <w:proofErr w:type="spellEnd"/>
            <w:r w:rsidRPr="00EC2897">
              <w:rPr>
                <w:rFonts w:eastAsiaTheme="minorEastAsia" w:cs="Calibri"/>
                <w:color w:val="000000"/>
                <w:szCs w:val="20"/>
                <w:lang w:eastAsia="en-AU"/>
              </w:rPr>
              <w:t xml:space="preserve"> traditional owners Aboriginal Corporation funding</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132</w:t>
            </w:r>
          </w:p>
        </w:tc>
      </w:tr>
      <w:tr w:rsidR="00A351BA" w:rsidRPr="00EC2897" w:rsidTr="00626AEF">
        <w:tblPrEx>
          <w:tblCellMar>
            <w:left w:w="45" w:type="dxa"/>
            <w:right w:w="45" w:type="dxa"/>
          </w:tblCellMar>
          <w:tblLook w:val="06E0" w:firstRow="1" w:lastRow="1" w:firstColumn="1" w:lastColumn="0" w:noHBand="1" w:noVBand="1"/>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vMerge/>
            <w:tcBorders>
              <w:bottom w:val="single" w:sz="6" w:space="0" w:color="auto"/>
            </w:tcBorders>
            <w:shd w:val="solid" w:color="FFFFFF" w:fill="auto"/>
          </w:tcPr>
          <w:p w:rsidR="00A351BA" w:rsidRPr="00EC2897" w:rsidRDefault="00A351BA" w:rsidP="00AC68FF">
            <w:pPr>
              <w:keepLines w:val="0"/>
              <w:autoSpaceDE w:val="0"/>
              <w:autoSpaceDN w:val="0"/>
              <w:adjustRightInd w:val="0"/>
              <w:rPr>
                <w:rFonts w:eastAsiaTheme="minorEastAsia" w:cs="Calibri"/>
                <w:color w:val="000000"/>
                <w:szCs w:val="20"/>
                <w:lang w:eastAsia="en-AU"/>
              </w:rPr>
            </w:pPr>
          </w:p>
        </w:tc>
        <w:tc>
          <w:tcPr>
            <w:tcW w:w="6520" w:type="dxa"/>
            <w:tcBorders>
              <w:top w:val="nil"/>
              <w:bottom w:val="single" w:sz="6" w:space="0" w:color="auto"/>
            </w:tcBorders>
          </w:tcPr>
          <w:p w:rsidR="00A351BA" w:rsidRPr="00EC2897" w:rsidRDefault="00A351BA" w:rsidP="00AC68FF">
            <w:pPr>
              <w:keepLines w:val="0"/>
              <w:autoSpaceDE w:val="0"/>
              <w:autoSpaceDN w:val="0"/>
              <w:adjustRightInd w:val="0"/>
              <w:jc w:val="left"/>
              <w:cnfStyle w:val="010000000000" w:firstRow="0" w:lastRow="1" w:firstColumn="0" w:lastColumn="0" w:oddVBand="0" w:evenVBand="0" w:oddHBand="0" w:evenHBand="0" w:firstRowFirstColumn="0" w:firstRowLastColumn="0" w:lastRowFirstColumn="0" w:lastRowLastColumn="0"/>
              <w:rPr>
                <w:rFonts w:eastAsiaTheme="minorEastAsia" w:cs="Calibri"/>
                <w:b w:val="0"/>
                <w:bCs/>
                <w:color w:val="000000"/>
                <w:szCs w:val="20"/>
                <w:lang w:eastAsia="en-AU"/>
              </w:rPr>
            </w:pPr>
            <w:r w:rsidRPr="00EC2897">
              <w:rPr>
                <w:rFonts w:eastAsiaTheme="minorEastAsia" w:cs="Calibri"/>
                <w:b w:val="0"/>
                <w:bCs/>
                <w:color w:val="000000"/>
                <w:szCs w:val="20"/>
                <w:lang w:eastAsia="en-AU"/>
              </w:rPr>
              <w:t xml:space="preserve"> </w:t>
            </w:r>
          </w:p>
        </w:tc>
        <w:tc>
          <w:tcPr>
            <w:tcW w:w="992" w:type="dxa"/>
            <w:tcBorders>
              <w:top w:val="nil"/>
              <w:bottom w:val="single" w:sz="6" w:space="0" w:color="auto"/>
            </w:tcBorders>
          </w:tcPr>
          <w:p w:rsidR="00A351BA" w:rsidRPr="006C76DC" w:rsidRDefault="00A351BA"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6C76DC">
              <w:rPr>
                <w:rFonts w:eastAsiaTheme="minorEastAsia" w:cs="Calibri"/>
                <w:bCs/>
                <w:color w:val="000000"/>
                <w:szCs w:val="20"/>
                <w:lang w:eastAsia="en-AU"/>
              </w:rPr>
              <w:t>155 313</w:t>
            </w:r>
          </w:p>
        </w:tc>
      </w:tr>
    </w:tbl>
    <w:p w:rsidR="00626AEF" w:rsidRDefault="00626AEF" w:rsidP="00626AEF">
      <w:pPr>
        <w:pStyle w:val="Heading30"/>
        <w:pBdr>
          <w:bottom w:val="none" w:sz="0" w:space="0" w:color="auto"/>
        </w:pBdr>
        <w:tabs>
          <w:tab w:val="left" w:pos="851"/>
        </w:tabs>
      </w:pPr>
      <w:r>
        <w:lastRenderedPageBreak/>
        <w:t>8.2.14</w:t>
      </w:r>
      <w:r>
        <w:tab/>
        <w:t xml:space="preserve">Payments from advance to the Treasurer for the financial year ended 30 June </w:t>
      </w:r>
      <w:r w:rsidRPr="00626AEF">
        <w:rPr>
          <w:i/>
        </w:rPr>
        <w:t>(continued</w:t>
      </w:r>
      <w:r>
        <w:rPr>
          <w:i/>
        </w:rPr>
        <w:t>)</w:t>
      </w:r>
    </w:p>
    <w:p w:rsidR="00626AEF" w:rsidRDefault="00626AEF" w:rsidP="00626AEF">
      <w:pPr>
        <w:pStyle w:val="TableUnits"/>
      </w:pPr>
      <w:r>
        <w:t>($ thousand)</w:t>
      </w:r>
    </w:p>
    <w:tbl>
      <w:tblPr>
        <w:tblStyle w:val="DTFTable"/>
        <w:tblW w:w="9638" w:type="dxa"/>
        <w:tblInd w:w="57" w:type="dxa"/>
        <w:tblLayout w:type="fixed"/>
        <w:tblLook w:val="04A0" w:firstRow="1" w:lastRow="0" w:firstColumn="1" w:lastColumn="0" w:noHBand="0" w:noVBand="1"/>
      </w:tblPr>
      <w:tblGrid>
        <w:gridCol w:w="2126"/>
        <w:gridCol w:w="6520"/>
        <w:gridCol w:w="992"/>
      </w:tblGrid>
      <w:tr w:rsidR="00626AEF" w:rsidRPr="00EC2897" w:rsidTr="00626A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626AEF" w:rsidRPr="00EC2897" w:rsidRDefault="00626AEF" w:rsidP="00C14F47">
            <w:pPr>
              <w:autoSpaceDE w:val="0"/>
              <w:autoSpaceDN w:val="0"/>
              <w:adjustRightInd w:val="0"/>
              <w:rPr>
                <w:rFonts w:eastAsiaTheme="minorEastAsia" w:cs="Calibri"/>
                <w:iCs/>
                <w:color w:val="FFFFFF"/>
                <w:szCs w:val="20"/>
                <w:lang w:eastAsia="en-AU"/>
              </w:rPr>
            </w:pPr>
            <w:r w:rsidRPr="00EC2897">
              <w:rPr>
                <w:rFonts w:eastAsiaTheme="minorEastAsia" w:cs="Calibri"/>
                <w:iCs/>
                <w:color w:val="FFFFFF"/>
                <w:szCs w:val="20"/>
                <w:lang w:eastAsia="en-AU"/>
              </w:rPr>
              <w:t>Department</w:t>
            </w:r>
          </w:p>
        </w:tc>
        <w:tc>
          <w:tcPr>
            <w:tcW w:w="6520" w:type="dxa"/>
          </w:tcPr>
          <w:p w:rsidR="00626AEF" w:rsidRPr="00EC2897" w:rsidRDefault="00626AEF" w:rsidP="00C14F47">
            <w:pPr>
              <w:keepLines w:val="0"/>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Purpose</w:t>
            </w:r>
          </w:p>
        </w:tc>
        <w:tc>
          <w:tcPr>
            <w:tcW w:w="992" w:type="dxa"/>
          </w:tcPr>
          <w:p w:rsidR="00626AEF" w:rsidRPr="00EC2897" w:rsidRDefault="00626AEF" w:rsidP="00C14F4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2016-17</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val="restart"/>
            <w:tcBorders>
              <w:top w:val="nil"/>
              <w:left w:val="nil"/>
              <w:right w:val="nil"/>
            </w:tcBorders>
            <w:shd w:val="solid" w:color="FFFFFF" w:fill="auto"/>
          </w:tcPr>
          <w:p w:rsidR="00A351BA" w:rsidRPr="00EC2897" w:rsidRDefault="00A351BA" w:rsidP="00626AE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Premier and Cabinet </w:t>
            </w: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Family violence and service delivery</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39 722</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Latrobe Valley Authority (including Funding Actions Framework)</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6 420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Multicultural policy statement and communications strategy for social cohesion</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4 177</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Social cohesion and community resilience</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2 092</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Implementation of the NDIS workforce reform package</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1 803</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VPS cost mapping</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799</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bottom w:val="single" w:sz="6" w:space="0" w:color="auto"/>
              <w:right w:val="nil"/>
            </w:tcBorders>
          </w:tcPr>
          <w:p w:rsidR="00A351BA" w:rsidRPr="00EC2897" w:rsidRDefault="00A351BA" w:rsidP="00AC68FF">
            <w:pPr>
              <w:keepLines w:val="0"/>
              <w:autoSpaceDE w:val="0"/>
              <w:autoSpaceDN w:val="0"/>
              <w:adjustRightInd w:val="0"/>
              <w:rPr>
                <w:rFonts w:eastAsiaTheme="minorEastAsia" w:cs="Calibri"/>
                <w:color w:val="000000"/>
                <w:szCs w:val="20"/>
                <w:lang w:eastAsia="en-AU"/>
              </w:rPr>
            </w:pPr>
          </w:p>
        </w:tc>
        <w:tc>
          <w:tcPr>
            <w:tcW w:w="6520" w:type="dxa"/>
            <w:tcBorders>
              <w:top w:val="nil"/>
              <w:left w:val="nil"/>
              <w:bottom w:val="single" w:sz="6" w:space="0" w:color="auto"/>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92" w:type="dxa"/>
            <w:tcBorders>
              <w:top w:val="nil"/>
              <w:left w:val="nil"/>
              <w:bottom w:val="single" w:sz="6" w:space="0" w:color="auto"/>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55 013</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val="restart"/>
            <w:tcBorders>
              <w:top w:val="nil"/>
              <w:left w:val="nil"/>
              <w:right w:val="nil"/>
            </w:tcBorders>
            <w:shd w:val="solid" w:color="FFFFFF" w:fill="auto"/>
          </w:tcPr>
          <w:p w:rsidR="00A351BA" w:rsidRPr="00EC2897" w:rsidRDefault="00A351BA" w:rsidP="00A351BA">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Treasury and Finance</w:t>
            </w: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Completion of the Port of Melbourne lease transaction</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50 000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Victoria's contribution to the National Disability Insurance Scheme</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18 033</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GST administrative costs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17 300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West Gate Tunnel project development</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16 585</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First Home Owner Grant</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16 200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Ex gratia relief payments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6 757</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Western Suburbs Roads project development</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5 444</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Public Open Space in </w:t>
            </w:r>
            <w:proofErr w:type="spellStart"/>
            <w:r w:rsidRPr="00EC2897">
              <w:rPr>
                <w:rFonts w:eastAsiaTheme="minorEastAsia" w:cs="Calibri"/>
                <w:color w:val="000000"/>
                <w:szCs w:val="20"/>
                <w:lang w:eastAsia="en-AU"/>
              </w:rPr>
              <w:t>Brimbank</w:t>
            </w:r>
            <w:proofErr w:type="spellEnd"/>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4 200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State taxation compliance projects</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2 000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Establishment of the Office of Projects Victoria</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1 865</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351BA">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Implementation of housing affordability initiatives relating to </w:t>
            </w:r>
            <w:proofErr w:type="spellStart"/>
            <w:r w:rsidRPr="00EC2897">
              <w:rPr>
                <w:rFonts w:eastAsiaTheme="minorEastAsia" w:cs="Calibri"/>
                <w:color w:val="000000"/>
                <w:szCs w:val="20"/>
                <w:lang w:eastAsia="en-AU"/>
              </w:rPr>
              <w:t>HomesVic</w:t>
            </w:r>
            <w:proofErr w:type="spellEnd"/>
            <w:r w:rsidRPr="00EC2897">
              <w:rPr>
                <w:rFonts w:eastAsiaTheme="minorEastAsia" w:cs="Calibri"/>
                <w:color w:val="000000"/>
                <w:szCs w:val="20"/>
                <w:lang w:eastAsia="en-AU"/>
              </w:rPr>
              <w:t xml:space="preserve"> scheme and Buy</w:t>
            </w:r>
            <w:r>
              <w:rPr>
                <w:rFonts w:eastAsiaTheme="minorEastAsia" w:cs="Calibri"/>
                <w:color w:val="000000"/>
                <w:szCs w:val="20"/>
                <w:lang w:eastAsia="en-AU"/>
              </w:rPr>
              <w:t> </w:t>
            </w:r>
            <w:r w:rsidRPr="00EC2897">
              <w:rPr>
                <w:rFonts w:eastAsiaTheme="minorEastAsia" w:cs="Calibri"/>
                <w:color w:val="000000"/>
                <w:szCs w:val="20"/>
                <w:lang w:eastAsia="en-AU"/>
              </w:rPr>
              <w:t>Assist scheme</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588</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Implementation of Residential Property Tax</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bottom w:val="single" w:sz="6" w:space="0" w:color="auto"/>
              <w:right w:val="nil"/>
            </w:tcBorders>
            <w:shd w:val="solid" w:color="FFFFFF" w:fill="auto"/>
          </w:tcPr>
          <w:p w:rsidR="00A351BA" w:rsidRPr="00EC2897" w:rsidRDefault="00A351BA" w:rsidP="00AC68FF">
            <w:pPr>
              <w:keepLines w:val="0"/>
              <w:autoSpaceDE w:val="0"/>
              <w:autoSpaceDN w:val="0"/>
              <w:adjustRightInd w:val="0"/>
              <w:rPr>
                <w:rFonts w:eastAsiaTheme="minorEastAsia" w:cs="Calibri"/>
                <w:color w:val="000000"/>
                <w:szCs w:val="20"/>
                <w:lang w:eastAsia="en-AU"/>
              </w:rPr>
            </w:pPr>
          </w:p>
        </w:tc>
        <w:tc>
          <w:tcPr>
            <w:tcW w:w="6520" w:type="dxa"/>
            <w:tcBorders>
              <w:top w:val="nil"/>
              <w:left w:val="nil"/>
              <w:bottom w:val="single" w:sz="6" w:space="0" w:color="auto"/>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92" w:type="dxa"/>
            <w:tcBorders>
              <w:top w:val="nil"/>
              <w:left w:val="nil"/>
              <w:bottom w:val="single" w:sz="6" w:space="0" w:color="auto"/>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139 073</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val="restart"/>
            <w:tcBorders>
              <w:top w:val="nil"/>
              <w:left w:val="nil"/>
              <w:right w:val="nil"/>
            </w:tcBorders>
            <w:shd w:val="solid" w:color="FFFFFF" w:fill="auto"/>
          </w:tcPr>
          <w:p w:rsidR="00A351BA" w:rsidRPr="00EC2897" w:rsidRDefault="00A351BA" w:rsidP="00A351BA">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Courts</w:t>
            </w: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County Court Land Tax Expense</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1 700</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Response to Bourke Street Incident</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893</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rsidR="00A351BA" w:rsidRPr="00EC2897" w:rsidRDefault="00A351BA" w:rsidP="00AC68FF">
            <w:pPr>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Additional Judicial Resources – County Court</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156</w:t>
            </w:r>
          </w:p>
        </w:tc>
      </w:tr>
      <w:tr w:rsidR="00A351BA" w:rsidRPr="00EC2897" w:rsidTr="00626AEF">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vMerge/>
            <w:tcBorders>
              <w:left w:val="nil"/>
              <w:bottom w:val="nil"/>
              <w:right w:val="nil"/>
            </w:tcBorders>
          </w:tcPr>
          <w:p w:rsidR="00A351BA" w:rsidRPr="00EC2897" w:rsidRDefault="00A351BA" w:rsidP="00AC68FF">
            <w:pPr>
              <w:keepLines w:val="0"/>
              <w:autoSpaceDE w:val="0"/>
              <w:autoSpaceDN w:val="0"/>
              <w:adjustRightInd w:val="0"/>
              <w:rPr>
                <w:rFonts w:eastAsiaTheme="minorEastAsia" w:cs="Calibri"/>
                <w:color w:val="000000"/>
                <w:szCs w:val="20"/>
                <w:lang w:eastAsia="en-AU"/>
              </w:rPr>
            </w:pPr>
          </w:p>
        </w:tc>
        <w:tc>
          <w:tcPr>
            <w:tcW w:w="6520" w:type="dxa"/>
            <w:tcBorders>
              <w:top w:val="nil"/>
              <w:left w:val="nil"/>
              <w:bottom w:val="nil"/>
              <w:right w:val="nil"/>
            </w:tcBorders>
          </w:tcPr>
          <w:p w:rsidR="00A351BA" w:rsidRPr="00EC2897" w:rsidRDefault="00A351BA"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w:t>
            </w:r>
          </w:p>
        </w:tc>
        <w:tc>
          <w:tcPr>
            <w:tcW w:w="992" w:type="dxa"/>
            <w:tcBorders>
              <w:top w:val="nil"/>
              <w:left w:val="nil"/>
              <w:bottom w:val="nil"/>
              <w:right w:val="nil"/>
            </w:tcBorders>
          </w:tcPr>
          <w:p w:rsidR="00A351BA" w:rsidRPr="00EC2897" w:rsidRDefault="00A351BA"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EC2897">
              <w:rPr>
                <w:rFonts w:eastAsiaTheme="minorEastAsia" w:cs="Calibri"/>
                <w:b/>
                <w:bCs/>
                <w:color w:val="000000"/>
                <w:szCs w:val="20"/>
                <w:lang w:eastAsia="en-AU"/>
              </w:rPr>
              <w:t>2 749</w:t>
            </w:r>
          </w:p>
        </w:tc>
      </w:tr>
      <w:tr w:rsidR="00BB6F1F" w:rsidRPr="00EC2897" w:rsidTr="00626AEF">
        <w:tblPrEx>
          <w:tblCellMar>
            <w:left w:w="45" w:type="dxa"/>
            <w:right w:w="45" w:type="dxa"/>
          </w:tblCellMar>
          <w:tblLook w:val="06E0" w:firstRow="1" w:lastRow="1" w:firstColumn="1" w:lastColumn="0" w:noHBand="1" w:noVBand="1"/>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6" w:type="dxa"/>
            <w:gridSpan w:val="2"/>
            <w:tcBorders>
              <w:top w:val="single" w:sz="6" w:space="0" w:color="auto"/>
              <w:bottom w:val="single" w:sz="12" w:space="0" w:color="auto"/>
            </w:tcBorders>
          </w:tcPr>
          <w:p w:rsidR="00BB6F1F" w:rsidRPr="00EC2897" w:rsidRDefault="00BB6F1F" w:rsidP="00AC68FF">
            <w:pPr>
              <w:keepLines w:val="0"/>
              <w:autoSpaceDE w:val="0"/>
              <w:autoSpaceDN w:val="0"/>
              <w:adjustRightInd w:val="0"/>
              <w:rPr>
                <w:rFonts w:eastAsiaTheme="minorEastAsia" w:cs="Calibri"/>
                <w:bCs/>
                <w:color w:val="000000"/>
                <w:szCs w:val="20"/>
                <w:lang w:eastAsia="en-AU"/>
              </w:rPr>
            </w:pPr>
            <w:r w:rsidRPr="00EC2897">
              <w:rPr>
                <w:rFonts w:eastAsiaTheme="minorEastAsia" w:cs="Calibri"/>
                <w:bCs/>
                <w:color w:val="000000"/>
                <w:szCs w:val="20"/>
                <w:lang w:eastAsia="en-AU"/>
              </w:rPr>
              <w:t xml:space="preserve">Total </w:t>
            </w:r>
            <w:r w:rsidR="00A351BA" w:rsidRPr="00EC2897">
              <w:rPr>
                <w:rFonts w:eastAsiaTheme="minorEastAsia" w:cs="Calibri"/>
                <w:bCs/>
                <w:color w:val="000000"/>
                <w:szCs w:val="20"/>
                <w:lang w:eastAsia="en-AU"/>
              </w:rPr>
              <w:t xml:space="preserve">payments </w:t>
            </w:r>
            <w:r w:rsidRPr="00EC2897">
              <w:rPr>
                <w:rFonts w:eastAsiaTheme="minorEastAsia" w:cs="Calibri"/>
                <w:bCs/>
                <w:color w:val="000000"/>
                <w:szCs w:val="20"/>
                <w:lang w:eastAsia="en-AU"/>
              </w:rPr>
              <w:t xml:space="preserve">from Advance to the Treasurer </w:t>
            </w:r>
          </w:p>
        </w:tc>
        <w:tc>
          <w:tcPr>
            <w:tcW w:w="992"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1 571 196</w:t>
            </w:r>
          </w:p>
        </w:tc>
      </w:tr>
    </w:tbl>
    <w:p w:rsidR="00BB6F1F" w:rsidRDefault="00BB6F1F" w:rsidP="00AC68FF"/>
    <w:p w:rsidR="00BB6F1F" w:rsidRPr="0003431C" w:rsidRDefault="00BB6F1F" w:rsidP="00343347">
      <w:pPr>
        <w:pStyle w:val="Heading3"/>
        <w:spacing w:after="0"/>
      </w:pPr>
      <w:bookmarkStart w:id="84" w:name="_Toc492984943"/>
      <w:r w:rsidRPr="0003431C">
        <w:t xml:space="preserve">Payments from advances pursuant to Section 35 of the </w:t>
      </w:r>
      <w:r w:rsidRPr="0003431C">
        <w:rPr>
          <w:i/>
        </w:rPr>
        <w:t>Financial Management Act 1994</w:t>
      </w:r>
      <w:r w:rsidRPr="0003431C">
        <w:t xml:space="preserve"> </w:t>
      </w:r>
      <w:r>
        <w:br/>
      </w:r>
      <w:r w:rsidRPr="0003431C">
        <w:t>for the financial year ended 30 June</w:t>
      </w:r>
      <w:bookmarkEnd w:id="84"/>
    </w:p>
    <w:p w:rsidR="00BB6F1F" w:rsidRPr="00EC2897" w:rsidRDefault="00BB6F1F" w:rsidP="00AC68FF">
      <w:pPr>
        <w:pStyle w:val="TableUnits"/>
        <w:rPr>
          <w:bCs/>
          <w:lang w:val="en-US"/>
        </w:rPr>
      </w:pPr>
      <w:r w:rsidRPr="00D42175">
        <w:t>($ thousand)</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2126"/>
        <w:gridCol w:w="5528"/>
        <w:gridCol w:w="992"/>
        <w:gridCol w:w="992"/>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iCs/>
                <w:color w:val="FFFFFF"/>
                <w:szCs w:val="20"/>
                <w:lang w:eastAsia="en-AU"/>
              </w:rPr>
            </w:pPr>
            <w:r w:rsidRPr="00EC2897">
              <w:rPr>
                <w:rFonts w:eastAsiaTheme="minorEastAsia" w:cs="Calibri"/>
                <w:iCs/>
                <w:color w:val="FFFFFF"/>
                <w:szCs w:val="20"/>
                <w:lang w:eastAsia="en-AU"/>
              </w:rPr>
              <w:t xml:space="preserve">Department </w:t>
            </w:r>
          </w:p>
        </w:tc>
        <w:tc>
          <w:tcPr>
            <w:tcW w:w="6520"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Purpose</w:t>
            </w:r>
          </w:p>
        </w:tc>
        <w:tc>
          <w:tcPr>
            <w:tcW w:w="992"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2016-17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tcPr>
          <w:p w:rsidR="00BB6F1F" w:rsidRPr="00EC2897" w:rsidRDefault="00BB6F1F" w:rsidP="00AC68FF">
            <w:pPr>
              <w:keepLines w:val="0"/>
              <w:autoSpaceDE w:val="0"/>
              <w:autoSpaceDN w:val="0"/>
              <w:adjustRightInd w:val="0"/>
              <w:ind w:left="0" w:firstLine="0"/>
              <w:rPr>
                <w:rFonts w:eastAsiaTheme="minorEastAsia" w:cs="Calibri"/>
                <w:color w:val="000000"/>
                <w:szCs w:val="20"/>
                <w:lang w:eastAsia="en-AU"/>
              </w:rPr>
            </w:pPr>
            <w:r w:rsidRPr="00EC2897">
              <w:rPr>
                <w:rFonts w:eastAsiaTheme="minorEastAsia" w:cs="Calibri"/>
                <w:color w:val="000000"/>
                <w:szCs w:val="20"/>
                <w:lang w:eastAsia="en-AU"/>
              </w:rPr>
              <w:t>Education and Training</w:t>
            </w:r>
          </w:p>
        </w:tc>
        <w:tc>
          <w:tcPr>
            <w:tcW w:w="6520" w:type="dxa"/>
            <w:gridSpan w:val="2"/>
            <w:tcBorders>
              <w:top w:val="nil"/>
              <w:left w:val="nil"/>
              <w:bottom w:val="nil"/>
              <w:right w:val="nil"/>
            </w:tcBorders>
          </w:tcPr>
          <w:p w:rsidR="00BB6F1F" w:rsidRPr="00EC2897"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Building the Education State – Relocatable classrooms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20 000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tcPr>
          <w:p w:rsidR="00BB6F1F" w:rsidRPr="00EC2897" w:rsidRDefault="00BB6F1F" w:rsidP="00AC68FF">
            <w:pPr>
              <w:keepLines w:val="0"/>
              <w:autoSpaceDE w:val="0"/>
              <w:autoSpaceDN w:val="0"/>
              <w:adjustRightInd w:val="0"/>
              <w:ind w:left="0" w:firstLine="0"/>
              <w:rPr>
                <w:rFonts w:eastAsiaTheme="minorEastAsia" w:cs="Calibri"/>
                <w:color w:val="000000"/>
                <w:szCs w:val="20"/>
                <w:lang w:eastAsia="en-AU"/>
              </w:rPr>
            </w:pPr>
            <w:r w:rsidRPr="00EC2897">
              <w:rPr>
                <w:rFonts w:eastAsiaTheme="minorEastAsia" w:cs="Calibri"/>
                <w:color w:val="000000"/>
                <w:szCs w:val="20"/>
                <w:lang w:eastAsia="en-AU"/>
              </w:rPr>
              <w:t>Courts</w:t>
            </w:r>
          </w:p>
        </w:tc>
        <w:tc>
          <w:tcPr>
            <w:tcW w:w="6520" w:type="dxa"/>
            <w:gridSpan w:val="2"/>
            <w:tcBorders>
              <w:top w:val="nil"/>
              <w:left w:val="nil"/>
              <w:bottom w:val="nil"/>
              <w:right w:val="nil"/>
            </w:tcBorders>
          </w:tcPr>
          <w:p w:rsidR="00BB6F1F" w:rsidRPr="00EC2897" w:rsidRDefault="00BB6F1F" w:rsidP="00AC68FF">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Fast Track Remand Court</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129</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4" w:type="dxa"/>
            <w:gridSpan w:val="2"/>
            <w:tcBorders>
              <w:top w:val="single" w:sz="6" w:space="0" w:color="auto"/>
              <w:bottom w:val="single" w:sz="12" w:space="0" w:color="auto"/>
            </w:tcBorders>
            <w:shd w:val="solid" w:color="FFFFFF" w:fill="auto"/>
          </w:tcPr>
          <w:p w:rsidR="00BB6F1F" w:rsidRPr="00EC2897" w:rsidRDefault="00BB6F1F" w:rsidP="00AC68FF">
            <w:pPr>
              <w:keepLines w:val="0"/>
              <w:autoSpaceDE w:val="0"/>
              <w:autoSpaceDN w:val="0"/>
              <w:adjustRightInd w:val="0"/>
              <w:ind w:left="0" w:firstLine="0"/>
              <w:rPr>
                <w:rFonts w:eastAsiaTheme="minorEastAsia" w:cs="Calibri"/>
                <w:bCs/>
                <w:i/>
                <w:iCs/>
                <w:color w:val="000000"/>
                <w:szCs w:val="20"/>
                <w:lang w:eastAsia="en-AU"/>
              </w:rPr>
            </w:pPr>
            <w:r w:rsidRPr="00EC2897">
              <w:rPr>
                <w:rFonts w:eastAsiaTheme="minorEastAsia" w:cs="Calibri"/>
                <w:bCs/>
                <w:color w:val="000000"/>
                <w:szCs w:val="20"/>
                <w:lang w:eastAsia="en-AU"/>
              </w:rPr>
              <w:t xml:space="preserve">Total payments from advances pursuant to Section 35 (4) of the </w:t>
            </w:r>
            <w:r w:rsidRPr="00EC2897">
              <w:rPr>
                <w:rFonts w:eastAsiaTheme="minorEastAsia" w:cs="Calibri"/>
                <w:bCs/>
                <w:i/>
                <w:iCs/>
                <w:color w:val="000000"/>
                <w:szCs w:val="20"/>
                <w:lang w:eastAsia="en-AU"/>
              </w:rPr>
              <w:t>Financial Management Act 1994</w:t>
            </w:r>
          </w:p>
        </w:tc>
        <w:tc>
          <w:tcPr>
            <w:tcW w:w="992" w:type="dxa"/>
            <w:tcBorders>
              <w:top w:val="single" w:sz="6" w:space="0" w:color="auto"/>
              <w:bottom w:val="single" w:sz="12" w:space="0" w:color="auto"/>
            </w:tcBorders>
            <w:shd w:val="solid" w:color="FFFFFF" w:fill="auto"/>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 xml:space="preserve"> </w:t>
            </w:r>
          </w:p>
        </w:tc>
        <w:tc>
          <w:tcPr>
            <w:tcW w:w="992" w:type="dxa"/>
            <w:tcBorders>
              <w:top w:val="single" w:sz="6" w:space="0" w:color="auto"/>
              <w:bottom w:val="single" w:sz="12" w:space="0" w:color="auto"/>
            </w:tcBorders>
            <w:shd w:val="solid" w:color="FFFFFF" w:fill="auto"/>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20 129</w:t>
            </w:r>
          </w:p>
        </w:tc>
      </w:tr>
    </w:tbl>
    <w:p w:rsidR="00BB6F1F" w:rsidRPr="00BA23EE" w:rsidRDefault="00BB6F1F" w:rsidP="00AC68FF"/>
    <w:p w:rsidR="00BB6F1F" w:rsidRDefault="00BB6F1F" w:rsidP="00BB6F1F">
      <w:pPr>
        <w:pStyle w:val="Heading3"/>
        <w:numPr>
          <w:ilvl w:val="2"/>
          <w:numId w:val="24"/>
        </w:numPr>
        <w:pBdr>
          <w:bottom w:val="single" w:sz="6" w:space="1" w:color="auto"/>
        </w:pBdr>
        <w:tabs>
          <w:tab w:val="right" w:pos="14572"/>
        </w:tabs>
        <w:ind w:left="851"/>
        <w:sectPr w:rsidR="00BB6F1F" w:rsidSect="00AC68FF">
          <w:type w:val="continuous"/>
          <w:pgSz w:w="11907" w:h="16839" w:code="9"/>
          <w:pgMar w:top="1134" w:right="1134" w:bottom="1134" w:left="1134" w:header="624" w:footer="567" w:gutter="0"/>
          <w:cols w:sep="1" w:space="567"/>
          <w:docGrid w:linePitch="360"/>
        </w:sectPr>
      </w:pPr>
    </w:p>
    <w:p w:rsidR="00BB6F1F" w:rsidRPr="007B2989" w:rsidRDefault="00BB6F1F" w:rsidP="00BB6F1F">
      <w:pPr>
        <w:pStyle w:val="Heading3"/>
        <w:numPr>
          <w:ilvl w:val="2"/>
          <w:numId w:val="24"/>
        </w:numPr>
        <w:tabs>
          <w:tab w:val="right" w:pos="14572"/>
        </w:tabs>
        <w:ind w:left="851"/>
      </w:pPr>
      <w:bookmarkStart w:id="85" w:name="_Toc492984944"/>
      <w:r w:rsidRPr="007B2989">
        <w:lastRenderedPageBreak/>
        <w:t xml:space="preserve">Unused advances carried forward to 2016-17 pursuant to Section 35(4) of the </w:t>
      </w:r>
      <w:r w:rsidRPr="007B2989">
        <w:rPr>
          <w:i/>
        </w:rPr>
        <w:t>Financial Management Act 1994</w:t>
      </w:r>
      <w:bookmarkEnd w:id="85"/>
    </w:p>
    <w:p w:rsidR="00BB6F1F" w:rsidRDefault="00BB6F1F" w:rsidP="00AC68FF">
      <w:r>
        <w:t xml:space="preserve">There have been no amounts carried forward to 2016-17 under Section 35(4) of the </w:t>
      </w:r>
      <w:r w:rsidRPr="00D42175">
        <w:rPr>
          <w:i/>
        </w:rPr>
        <w:t>Financial Management Act, No. 18 of 1994</w:t>
      </w:r>
      <w:r>
        <w:t>.</w:t>
      </w:r>
    </w:p>
    <w:p w:rsidR="00BB6F1F" w:rsidRPr="007B2989" w:rsidRDefault="00BB6F1F" w:rsidP="00BB6F1F">
      <w:pPr>
        <w:pStyle w:val="Heading3"/>
        <w:numPr>
          <w:ilvl w:val="2"/>
          <w:numId w:val="24"/>
        </w:numPr>
        <w:tabs>
          <w:tab w:val="right" w:pos="14572"/>
        </w:tabs>
        <w:spacing w:before="100"/>
        <w:ind w:left="851"/>
      </w:pPr>
      <w:bookmarkStart w:id="86" w:name="_Toc492984945"/>
      <w:r w:rsidRPr="007B2989">
        <w:lastRenderedPageBreak/>
        <w:t>Government guarantees</w:t>
      </w:r>
      <w:bookmarkEnd w:id="86"/>
    </w:p>
    <w:p w:rsidR="00BB6F1F" w:rsidRPr="00293C9E" w:rsidRDefault="00BB6F1F" w:rsidP="00AC68FF">
      <w:pPr>
        <w:pStyle w:val="Heading4"/>
      </w:pPr>
      <w:r w:rsidRPr="00293C9E">
        <w:t>Details of payments made in fulfilment of any guarantee by the Government</w:t>
      </w:r>
    </w:p>
    <w:p w:rsidR="00BB6F1F" w:rsidRPr="00293C9E" w:rsidRDefault="00BB6F1F" w:rsidP="00AC68FF">
      <w:r w:rsidRPr="00293C9E">
        <w:t>There have been no payments made during 2016-17 in fulfilment of any guarantee by the Government.</w:t>
      </w:r>
    </w:p>
    <w:p w:rsidR="00BB6F1F" w:rsidRPr="00293C9E" w:rsidRDefault="00BB6F1F" w:rsidP="00AC68FF">
      <w:pPr>
        <w:pStyle w:val="Heading4"/>
      </w:pPr>
      <w:r w:rsidRPr="00293C9E">
        <w:t>Money received or recovered in respect of any guarantee payments</w:t>
      </w:r>
    </w:p>
    <w:p w:rsidR="00BB6F1F" w:rsidRDefault="00BB6F1F" w:rsidP="00AC68FF">
      <w:r w:rsidRPr="00293C9E">
        <w:t>There has been no money recovered during 2016-17 in respect of any guarantee payments.</w:t>
      </w:r>
    </w:p>
    <w:p w:rsidR="00BB6F1F" w:rsidRDefault="00BB6F1F" w:rsidP="00AC68FF">
      <w:pPr>
        <w:sectPr w:rsidR="00BB6F1F" w:rsidSect="00AC68FF">
          <w:type w:val="continuous"/>
          <w:pgSz w:w="11907" w:h="16839" w:code="9"/>
          <w:pgMar w:top="1134" w:right="1134" w:bottom="1134" w:left="1134" w:header="624" w:footer="567" w:gutter="0"/>
          <w:cols w:num="2" w:space="709"/>
          <w:docGrid w:linePitch="360"/>
        </w:sectPr>
      </w:pPr>
    </w:p>
    <w:p w:rsidR="00BB6F1F" w:rsidRDefault="00BB6F1F" w:rsidP="00AC68FF"/>
    <w:p w:rsidR="00BB6F1F" w:rsidRDefault="00BB6F1F" w:rsidP="00AC68FF"/>
    <w:bookmarkEnd w:id="63"/>
    <w:p w:rsidR="00BB6F1F" w:rsidRDefault="00BB6F1F" w:rsidP="00AC68FF"/>
    <w:bookmarkEnd w:id="59"/>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BB6F1F">
      <w:pPr>
        <w:pStyle w:val="Heading1"/>
        <w:numPr>
          <w:ilvl w:val="0"/>
          <w:numId w:val="24"/>
        </w:numPr>
        <w:pBdr>
          <w:bottom w:val="none" w:sz="0" w:space="0" w:color="auto"/>
        </w:pBdr>
        <w:sectPr w:rsidR="00BB6F1F" w:rsidSect="00AC68FF">
          <w:headerReference w:type="default" r:id="rId135"/>
          <w:pgSz w:w="11907" w:h="16839" w:code="9"/>
          <w:pgMar w:top="1134" w:right="1134" w:bottom="1134" w:left="1134" w:header="624" w:footer="567" w:gutter="0"/>
          <w:cols w:sep="1" w:space="567"/>
          <w:docGrid w:linePitch="360"/>
        </w:sectPr>
      </w:pPr>
      <w:bookmarkStart w:id="87" w:name="_Toc492985880"/>
      <w:bookmarkStart w:id="88" w:name="Section_09"/>
      <w:r>
        <w:lastRenderedPageBreak/>
        <w:t>Other disclosures</w:t>
      </w:r>
      <w:bookmarkEnd w:id="87"/>
    </w:p>
    <w:p w:rsidR="00BB6F1F" w:rsidRPr="003E1E37" w:rsidRDefault="00BB6F1F" w:rsidP="00AC68FF">
      <w:pPr>
        <w:pStyle w:val="Heading30"/>
      </w:pPr>
      <w:r w:rsidRPr="003E1E37">
        <w:lastRenderedPageBreak/>
        <w:t>Introduction to this section</w:t>
      </w:r>
    </w:p>
    <w:p w:rsidR="00BB6F1F" w:rsidRDefault="00BB6F1F" w:rsidP="00AC68FF">
      <w:r>
        <w:t>This section includes those additional disclosures required by accounting standards or otherwise, that are material, for the understanding of this financial report.</w:t>
      </w:r>
    </w:p>
    <w:p w:rsidR="00BB6F1F" w:rsidRDefault="00BB6F1F" w:rsidP="00AC68FF">
      <w:pPr>
        <w:pStyle w:val="Heading30"/>
      </w:pPr>
      <w:r w:rsidRPr="003E1E37">
        <w:br w:type="column"/>
      </w:r>
      <w:r w:rsidRPr="003E1E37">
        <w:lastRenderedPageBreak/>
        <w:t>Structure</w:t>
      </w:r>
    </w:p>
    <w:p w:rsidR="00BB6F1F" w:rsidRDefault="00BB6F1F">
      <w:pPr>
        <w:pStyle w:val="TOC9"/>
        <w:rPr>
          <w:rFonts w:eastAsiaTheme="minorEastAsia"/>
          <w:noProof/>
          <w:spacing w:val="0"/>
          <w:lang w:eastAsia="en-AU"/>
        </w:rPr>
      </w:pPr>
      <w:r>
        <w:fldChar w:fldCharType="begin"/>
      </w:r>
      <w:r>
        <w:instrText xml:space="preserve"> TOC \h \z \t "Heading 2 (#),9" \b Section_09 \* MERGEFORMAT </w:instrText>
      </w:r>
      <w:r>
        <w:fldChar w:fldCharType="separate"/>
      </w:r>
      <w:hyperlink w:anchor="_Toc492984967" w:history="1">
        <w:r w:rsidRPr="00BB586D">
          <w:rPr>
            <w:rStyle w:val="Hyperlink"/>
            <w:noProof/>
          </w:rPr>
          <w:t>9.1</w:t>
        </w:r>
        <w:r>
          <w:rPr>
            <w:rFonts w:eastAsiaTheme="minorEastAsia"/>
            <w:noProof/>
            <w:spacing w:val="0"/>
            <w:lang w:eastAsia="en-AU"/>
          </w:rPr>
          <w:tab/>
        </w:r>
        <w:r w:rsidRPr="00BB586D">
          <w:rPr>
            <w:rStyle w:val="Hyperlink"/>
            <w:noProof/>
          </w:rPr>
          <w:t>Disaggregated information</w:t>
        </w:r>
        <w:r>
          <w:rPr>
            <w:noProof/>
            <w:webHidden/>
          </w:rPr>
          <w:tab/>
        </w:r>
        <w:r>
          <w:rPr>
            <w:noProof/>
            <w:webHidden/>
          </w:rPr>
          <w:fldChar w:fldCharType="begin"/>
        </w:r>
        <w:r>
          <w:rPr>
            <w:noProof/>
            <w:webHidden/>
          </w:rPr>
          <w:instrText xml:space="preserve"> PAGEREF _Toc492984967 \h </w:instrText>
        </w:r>
        <w:r>
          <w:rPr>
            <w:noProof/>
            <w:webHidden/>
          </w:rPr>
        </w:r>
        <w:r>
          <w:rPr>
            <w:noProof/>
            <w:webHidden/>
          </w:rPr>
          <w:fldChar w:fldCharType="separate"/>
        </w:r>
        <w:r w:rsidR="002C7F26">
          <w:rPr>
            <w:noProof/>
            <w:webHidden/>
          </w:rPr>
          <w:t>130</w:t>
        </w:r>
        <w:r>
          <w:rPr>
            <w:noProof/>
            <w:webHidden/>
          </w:rPr>
          <w:fldChar w:fldCharType="end"/>
        </w:r>
      </w:hyperlink>
    </w:p>
    <w:p w:rsidR="00BB6F1F" w:rsidRDefault="00E73501">
      <w:pPr>
        <w:pStyle w:val="TOC9"/>
        <w:rPr>
          <w:rFonts w:eastAsiaTheme="minorEastAsia"/>
          <w:noProof/>
          <w:spacing w:val="0"/>
          <w:lang w:eastAsia="en-AU"/>
        </w:rPr>
      </w:pPr>
      <w:hyperlink w:anchor="_Toc492984968" w:history="1">
        <w:r w:rsidR="00BB6F1F" w:rsidRPr="00BB586D">
          <w:rPr>
            <w:rStyle w:val="Hyperlink"/>
            <w:noProof/>
          </w:rPr>
          <w:t>9.2</w:t>
        </w:r>
        <w:r w:rsidR="00BB6F1F">
          <w:rPr>
            <w:rFonts w:eastAsiaTheme="minorEastAsia"/>
            <w:noProof/>
            <w:spacing w:val="0"/>
            <w:lang w:eastAsia="en-AU"/>
          </w:rPr>
          <w:tab/>
        </w:r>
        <w:r w:rsidR="00BB6F1F" w:rsidRPr="00BB586D">
          <w:rPr>
            <w:rStyle w:val="Hyperlink"/>
            <w:noProof/>
          </w:rPr>
          <w:t>Funds under management</w:t>
        </w:r>
        <w:r w:rsidR="00BB6F1F">
          <w:rPr>
            <w:noProof/>
            <w:webHidden/>
          </w:rPr>
          <w:tab/>
        </w:r>
        <w:r w:rsidR="00BB6F1F">
          <w:rPr>
            <w:noProof/>
            <w:webHidden/>
          </w:rPr>
          <w:fldChar w:fldCharType="begin"/>
        </w:r>
        <w:r w:rsidR="00BB6F1F">
          <w:rPr>
            <w:noProof/>
            <w:webHidden/>
          </w:rPr>
          <w:instrText xml:space="preserve"> PAGEREF _Toc492984968 \h </w:instrText>
        </w:r>
        <w:r w:rsidR="00BB6F1F">
          <w:rPr>
            <w:noProof/>
            <w:webHidden/>
          </w:rPr>
        </w:r>
        <w:r w:rsidR="00BB6F1F">
          <w:rPr>
            <w:noProof/>
            <w:webHidden/>
          </w:rPr>
          <w:fldChar w:fldCharType="separate"/>
        </w:r>
        <w:r w:rsidR="002C7F26">
          <w:rPr>
            <w:noProof/>
            <w:webHidden/>
          </w:rPr>
          <w:t>138</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969" w:history="1">
        <w:r w:rsidR="00BB6F1F" w:rsidRPr="00BB586D">
          <w:rPr>
            <w:rStyle w:val="Hyperlink"/>
            <w:noProof/>
          </w:rPr>
          <w:t>9.3</w:t>
        </w:r>
        <w:r w:rsidR="00BB6F1F">
          <w:rPr>
            <w:rFonts w:eastAsiaTheme="minorEastAsia"/>
            <w:noProof/>
            <w:spacing w:val="0"/>
            <w:lang w:eastAsia="en-AU"/>
          </w:rPr>
          <w:tab/>
        </w:r>
        <w:r w:rsidR="00BB6F1F" w:rsidRPr="00BB586D">
          <w:rPr>
            <w:rStyle w:val="Hyperlink"/>
            <w:noProof/>
          </w:rPr>
          <w:t xml:space="preserve">Other gains/(losses) from other </w:t>
        </w:r>
        <w:r w:rsidR="00BB6FF4">
          <w:rPr>
            <w:rStyle w:val="Hyperlink"/>
            <w:noProof/>
          </w:rPr>
          <w:br/>
        </w:r>
        <w:r w:rsidR="00BB6F1F" w:rsidRPr="00BB586D">
          <w:rPr>
            <w:rStyle w:val="Hyperlink"/>
            <w:noProof/>
          </w:rPr>
          <w:t>economic flows</w:t>
        </w:r>
        <w:r w:rsidR="00BB6F1F">
          <w:rPr>
            <w:noProof/>
            <w:webHidden/>
          </w:rPr>
          <w:tab/>
        </w:r>
        <w:r w:rsidR="00BB6F1F">
          <w:rPr>
            <w:noProof/>
            <w:webHidden/>
          </w:rPr>
          <w:fldChar w:fldCharType="begin"/>
        </w:r>
        <w:r w:rsidR="00BB6F1F">
          <w:rPr>
            <w:noProof/>
            <w:webHidden/>
          </w:rPr>
          <w:instrText xml:space="preserve"> PAGEREF _Toc492984969 \h </w:instrText>
        </w:r>
        <w:r w:rsidR="00BB6F1F">
          <w:rPr>
            <w:noProof/>
            <w:webHidden/>
          </w:rPr>
        </w:r>
        <w:r w:rsidR="00BB6F1F">
          <w:rPr>
            <w:noProof/>
            <w:webHidden/>
          </w:rPr>
          <w:fldChar w:fldCharType="separate"/>
        </w:r>
        <w:r w:rsidR="002C7F26">
          <w:rPr>
            <w:noProof/>
            <w:webHidden/>
          </w:rPr>
          <w:t>138</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970" w:history="1">
        <w:r w:rsidR="00BB6F1F" w:rsidRPr="00BB586D">
          <w:rPr>
            <w:rStyle w:val="Hyperlink"/>
            <w:noProof/>
          </w:rPr>
          <w:t>9.4</w:t>
        </w:r>
        <w:r w:rsidR="00BB6F1F">
          <w:rPr>
            <w:rFonts w:eastAsiaTheme="minorEastAsia"/>
            <w:noProof/>
            <w:spacing w:val="0"/>
            <w:lang w:eastAsia="en-AU"/>
          </w:rPr>
          <w:tab/>
        </w:r>
        <w:r w:rsidR="00BB6F1F" w:rsidRPr="00BB586D">
          <w:rPr>
            <w:rStyle w:val="Hyperlink"/>
            <w:noProof/>
          </w:rPr>
          <w:t xml:space="preserve">Reconciliation between </w:t>
        </w:r>
        <w:r w:rsidR="00BB6FF4">
          <w:rPr>
            <w:rStyle w:val="Hyperlink"/>
            <w:noProof/>
          </w:rPr>
          <w:br/>
        </w:r>
        <w:r w:rsidR="00BB6F1F" w:rsidRPr="00BB586D">
          <w:rPr>
            <w:rStyle w:val="Hyperlink"/>
            <w:noProof/>
          </w:rPr>
          <w:t>Government Finance Statistics and Australian Accounting Standards</w:t>
        </w:r>
        <w:r w:rsidR="00BB6F1F">
          <w:rPr>
            <w:noProof/>
            <w:webHidden/>
          </w:rPr>
          <w:tab/>
        </w:r>
        <w:r w:rsidR="00BB6F1F">
          <w:rPr>
            <w:noProof/>
            <w:webHidden/>
          </w:rPr>
          <w:fldChar w:fldCharType="begin"/>
        </w:r>
        <w:r w:rsidR="00BB6F1F">
          <w:rPr>
            <w:noProof/>
            <w:webHidden/>
          </w:rPr>
          <w:instrText xml:space="preserve"> PAGEREF _Toc492984970 \h </w:instrText>
        </w:r>
        <w:r w:rsidR="00BB6F1F">
          <w:rPr>
            <w:noProof/>
            <w:webHidden/>
          </w:rPr>
        </w:r>
        <w:r w:rsidR="00BB6F1F">
          <w:rPr>
            <w:noProof/>
            <w:webHidden/>
          </w:rPr>
          <w:fldChar w:fldCharType="separate"/>
        </w:r>
        <w:r w:rsidR="002C7F26">
          <w:rPr>
            <w:noProof/>
            <w:webHidden/>
          </w:rPr>
          <w:t>138</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971" w:history="1">
        <w:r w:rsidR="00BB6F1F" w:rsidRPr="00BB586D">
          <w:rPr>
            <w:rStyle w:val="Hyperlink"/>
            <w:noProof/>
          </w:rPr>
          <w:t>9.5</w:t>
        </w:r>
        <w:r w:rsidR="00BB6F1F">
          <w:rPr>
            <w:rFonts w:eastAsiaTheme="minorEastAsia"/>
            <w:noProof/>
            <w:spacing w:val="0"/>
            <w:lang w:eastAsia="en-AU"/>
          </w:rPr>
          <w:tab/>
        </w:r>
        <w:r w:rsidR="00BB6F1F" w:rsidRPr="00BB586D">
          <w:rPr>
            <w:rStyle w:val="Hyperlink"/>
            <w:noProof/>
          </w:rPr>
          <w:t>Related party transactions</w:t>
        </w:r>
        <w:r w:rsidR="00BB6F1F">
          <w:rPr>
            <w:noProof/>
            <w:webHidden/>
          </w:rPr>
          <w:tab/>
        </w:r>
        <w:r w:rsidR="00BB6F1F">
          <w:rPr>
            <w:noProof/>
            <w:webHidden/>
          </w:rPr>
          <w:fldChar w:fldCharType="begin"/>
        </w:r>
        <w:r w:rsidR="00BB6F1F">
          <w:rPr>
            <w:noProof/>
            <w:webHidden/>
          </w:rPr>
          <w:instrText xml:space="preserve"> PAGEREF _Toc492984971 \h </w:instrText>
        </w:r>
        <w:r w:rsidR="00BB6F1F">
          <w:rPr>
            <w:noProof/>
            <w:webHidden/>
          </w:rPr>
        </w:r>
        <w:r w:rsidR="00BB6F1F">
          <w:rPr>
            <w:noProof/>
            <w:webHidden/>
          </w:rPr>
          <w:fldChar w:fldCharType="separate"/>
        </w:r>
        <w:r w:rsidR="002C7F26">
          <w:rPr>
            <w:noProof/>
            <w:webHidden/>
          </w:rPr>
          <w:t>143</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972" w:history="1">
        <w:r w:rsidR="00BB6F1F" w:rsidRPr="00BB586D">
          <w:rPr>
            <w:rStyle w:val="Hyperlink"/>
            <w:noProof/>
          </w:rPr>
          <w:t>9.6</w:t>
        </w:r>
        <w:r w:rsidR="00BB6F1F">
          <w:rPr>
            <w:rFonts w:eastAsiaTheme="minorEastAsia"/>
            <w:noProof/>
            <w:spacing w:val="0"/>
            <w:lang w:eastAsia="en-AU"/>
          </w:rPr>
          <w:tab/>
        </w:r>
        <w:r w:rsidR="00BB6F1F" w:rsidRPr="00BB586D">
          <w:rPr>
            <w:rStyle w:val="Hyperlink"/>
            <w:noProof/>
          </w:rPr>
          <w:t>Subsequent events</w:t>
        </w:r>
        <w:r w:rsidR="00BB6F1F">
          <w:rPr>
            <w:noProof/>
            <w:webHidden/>
          </w:rPr>
          <w:tab/>
        </w:r>
        <w:r w:rsidR="00BB6F1F">
          <w:rPr>
            <w:noProof/>
            <w:webHidden/>
          </w:rPr>
          <w:fldChar w:fldCharType="begin"/>
        </w:r>
        <w:r w:rsidR="00BB6F1F">
          <w:rPr>
            <w:noProof/>
            <w:webHidden/>
          </w:rPr>
          <w:instrText xml:space="preserve"> PAGEREF _Toc492984972 \h </w:instrText>
        </w:r>
        <w:r w:rsidR="00BB6F1F">
          <w:rPr>
            <w:noProof/>
            <w:webHidden/>
          </w:rPr>
        </w:r>
        <w:r w:rsidR="00BB6F1F">
          <w:rPr>
            <w:noProof/>
            <w:webHidden/>
          </w:rPr>
          <w:fldChar w:fldCharType="separate"/>
        </w:r>
        <w:r w:rsidR="002C7F26">
          <w:rPr>
            <w:noProof/>
            <w:webHidden/>
          </w:rPr>
          <w:t>144</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973" w:history="1">
        <w:r w:rsidR="00BB6F1F" w:rsidRPr="00BB586D">
          <w:rPr>
            <w:rStyle w:val="Hyperlink"/>
            <w:noProof/>
          </w:rPr>
          <w:t>9.7</w:t>
        </w:r>
        <w:r w:rsidR="00BB6F1F">
          <w:rPr>
            <w:rFonts w:eastAsiaTheme="minorEastAsia"/>
            <w:noProof/>
            <w:spacing w:val="0"/>
            <w:lang w:eastAsia="en-AU"/>
          </w:rPr>
          <w:tab/>
        </w:r>
        <w:r w:rsidR="00BB6F1F" w:rsidRPr="00BB586D">
          <w:rPr>
            <w:rStyle w:val="Hyperlink"/>
            <w:noProof/>
          </w:rPr>
          <w:t>Other accounting policies</w:t>
        </w:r>
        <w:r w:rsidR="00BB6F1F">
          <w:rPr>
            <w:noProof/>
            <w:webHidden/>
          </w:rPr>
          <w:tab/>
        </w:r>
        <w:r w:rsidR="00BB6F1F">
          <w:rPr>
            <w:noProof/>
            <w:webHidden/>
          </w:rPr>
          <w:fldChar w:fldCharType="begin"/>
        </w:r>
        <w:r w:rsidR="00BB6F1F">
          <w:rPr>
            <w:noProof/>
            <w:webHidden/>
          </w:rPr>
          <w:instrText xml:space="preserve"> PAGEREF _Toc492984973 \h </w:instrText>
        </w:r>
        <w:r w:rsidR="00BB6F1F">
          <w:rPr>
            <w:noProof/>
            <w:webHidden/>
          </w:rPr>
        </w:r>
        <w:r w:rsidR="00BB6F1F">
          <w:rPr>
            <w:noProof/>
            <w:webHidden/>
          </w:rPr>
          <w:fldChar w:fldCharType="separate"/>
        </w:r>
        <w:r w:rsidR="002C7F26">
          <w:rPr>
            <w:noProof/>
            <w:webHidden/>
          </w:rPr>
          <w:t>144</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974" w:history="1">
        <w:r w:rsidR="00BB6F1F" w:rsidRPr="00BB586D">
          <w:rPr>
            <w:rStyle w:val="Hyperlink"/>
            <w:noProof/>
          </w:rPr>
          <w:t>9.8</w:t>
        </w:r>
        <w:r w:rsidR="00BB6F1F">
          <w:rPr>
            <w:rFonts w:eastAsiaTheme="minorEastAsia"/>
            <w:noProof/>
            <w:spacing w:val="0"/>
            <w:lang w:eastAsia="en-AU"/>
          </w:rPr>
          <w:tab/>
        </w:r>
        <w:r w:rsidR="00BB6F1F" w:rsidRPr="00BB586D">
          <w:rPr>
            <w:rStyle w:val="Hyperlink"/>
            <w:noProof/>
          </w:rPr>
          <w:t>Controlled entities</w:t>
        </w:r>
        <w:r w:rsidR="00BB6F1F">
          <w:rPr>
            <w:noProof/>
            <w:webHidden/>
          </w:rPr>
          <w:tab/>
        </w:r>
        <w:r w:rsidR="00BB6F1F">
          <w:rPr>
            <w:noProof/>
            <w:webHidden/>
          </w:rPr>
          <w:fldChar w:fldCharType="begin"/>
        </w:r>
        <w:r w:rsidR="00BB6F1F">
          <w:rPr>
            <w:noProof/>
            <w:webHidden/>
          </w:rPr>
          <w:instrText xml:space="preserve"> PAGEREF _Toc492984974 \h </w:instrText>
        </w:r>
        <w:r w:rsidR="00BB6F1F">
          <w:rPr>
            <w:noProof/>
            <w:webHidden/>
          </w:rPr>
        </w:r>
        <w:r w:rsidR="00BB6F1F">
          <w:rPr>
            <w:noProof/>
            <w:webHidden/>
          </w:rPr>
          <w:fldChar w:fldCharType="separate"/>
        </w:r>
        <w:r w:rsidR="002C7F26">
          <w:rPr>
            <w:noProof/>
            <w:webHidden/>
          </w:rPr>
          <w:t>146</w:t>
        </w:r>
        <w:r w:rsidR="00BB6F1F">
          <w:rPr>
            <w:noProof/>
            <w:webHidden/>
          </w:rPr>
          <w:fldChar w:fldCharType="end"/>
        </w:r>
      </w:hyperlink>
    </w:p>
    <w:p w:rsidR="00BB6F1F" w:rsidRDefault="00E73501">
      <w:pPr>
        <w:pStyle w:val="TOC9"/>
        <w:rPr>
          <w:rFonts w:eastAsiaTheme="minorEastAsia"/>
          <w:noProof/>
          <w:spacing w:val="0"/>
          <w:lang w:eastAsia="en-AU"/>
        </w:rPr>
      </w:pPr>
      <w:hyperlink w:anchor="_Toc492984975" w:history="1">
        <w:r w:rsidR="00BB6F1F" w:rsidRPr="00BB586D">
          <w:rPr>
            <w:rStyle w:val="Hyperlink"/>
            <w:noProof/>
          </w:rPr>
          <w:t>9.9</w:t>
        </w:r>
        <w:r w:rsidR="00BB6F1F">
          <w:rPr>
            <w:rFonts w:eastAsiaTheme="minorEastAsia"/>
            <w:noProof/>
            <w:spacing w:val="0"/>
            <w:lang w:eastAsia="en-AU"/>
          </w:rPr>
          <w:tab/>
        </w:r>
        <w:r w:rsidR="00BB6F1F" w:rsidRPr="00BB586D">
          <w:rPr>
            <w:rStyle w:val="Hyperlink"/>
            <w:noProof/>
          </w:rPr>
          <w:t>Glossary of technical terms</w:t>
        </w:r>
        <w:r w:rsidR="00BB6F1F">
          <w:rPr>
            <w:noProof/>
            <w:webHidden/>
          </w:rPr>
          <w:tab/>
        </w:r>
        <w:r w:rsidR="00BB6F1F">
          <w:rPr>
            <w:noProof/>
            <w:webHidden/>
          </w:rPr>
          <w:fldChar w:fldCharType="begin"/>
        </w:r>
        <w:r w:rsidR="00BB6F1F">
          <w:rPr>
            <w:noProof/>
            <w:webHidden/>
          </w:rPr>
          <w:instrText xml:space="preserve"> PAGEREF _Toc492984975 \h </w:instrText>
        </w:r>
        <w:r w:rsidR="00BB6F1F">
          <w:rPr>
            <w:noProof/>
            <w:webHidden/>
          </w:rPr>
        </w:r>
        <w:r w:rsidR="00BB6F1F">
          <w:rPr>
            <w:noProof/>
            <w:webHidden/>
          </w:rPr>
          <w:fldChar w:fldCharType="separate"/>
        </w:r>
        <w:r w:rsidR="002C7F26">
          <w:rPr>
            <w:noProof/>
            <w:webHidden/>
          </w:rPr>
          <w:t>149</w:t>
        </w:r>
        <w:r w:rsidR="00BB6F1F">
          <w:rPr>
            <w:noProof/>
            <w:webHidden/>
          </w:rPr>
          <w:fldChar w:fldCharType="end"/>
        </w:r>
      </w:hyperlink>
    </w:p>
    <w:p w:rsidR="00BB6F1F" w:rsidRDefault="00BB6F1F" w:rsidP="00AC68FF">
      <w:pPr>
        <w:sectPr w:rsidR="00BB6F1F" w:rsidSect="00AC68FF">
          <w:headerReference w:type="default" r:id="rId136"/>
          <w:type w:val="continuous"/>
          <w:pgSz w:w="11907" w:h="16839" w:code="9"/>
          <w:pgMar w:top="1134" w:right="1134" w:bottom="1134" w:left="1134" w:header="624" w:footer="567" w:gutter="0"/>
          <w:cols w:num="2" w:space="709"/>
          <w:docGrid w:linePitch="360"/>
        </w:sectPr>
      </w:pPr>
      <w:r>
        <w:fldChar w:fldCharType="end"/>
      </w:r>
    </w:p>
    <w:p w:rsidR="00BB6F1F" w:rsidRPr="003E1E37" w:rsidRDefault="00BB6F1F" w:rsidP="00AC68FF"/>
    <w:p w:rsidR="00BB6F1F" w:rsidRPr="003E1E37" w:rsidRDefault="00BB6F1F" w:rsidP="00AC68FF">
      <w:r w:rsidRPr="003E1E37">
        <w:br w:type="page"/>
      </w:r>
    </w:p>
    <w:p w:rsidR="00BB6F1F" w:rsidRPr="00195B47" w:rsidRDefault="00BB6F1F" w:rsidP="00BB6F1F">
      <w:pPr>
        <w:pStyle w:val="Heading2"/>
        <w:numPr>
          <w:ilvl w:val="1"/>
          <w:numId w:val="24"/>
        </w:numPr>
      </w:pPr>
      <w:bookmarkStart w:id="89" w:name="_Toc462418975"/>
      <w:bookmarkStart w:id="90" w:name="_Toc492984967"/>
      <w:r w:rsidRPr="00195B47">
        <w:lastRenderedPageBreak/>
        <w:t>Disaggregated information</w:t>
      </w:r>
      <w:bookmarkEnd w:id="89"/>
      <w:bookmarkEnd w:id="90"/>
    </w:p>
    <w:p w:rsidR="00BB6F1F" w:rsidRPr="00EC2897" w:rsidRDefault="00BB6F1F" w:rsidP="00AC68FF">
      <w:pPr>
        <w:pStyle w:val="TableHeading"/>
        <w:rPr>
          <w:bCs/>
          <w:lang w:val="en-US"/>
        </w:rPr>
      </w:pPr>
      <w:r w:rsidRPr="00D42175">
        <w:t>Disaggregated operating statement for the financial</w:t>
      </w:r>
      <w:r>
        <w:t xml:space="preserve"> year ended 30 June</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244"/>
        <w:gridCol w:w="992"/>
        <w:gridCol w:w="992"/>
        <w:gridCol w:w="1559"/>
        <w:gridCol w:w="850"/>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iCs/>
                <w:color w:val="FFFFFF"/>
                <w:lang w:eastAsia="en-AU"/>
              </w:rPr>
            </w:pPr>
            <w:r w:rsidRPr="00EC2897">
              <w:rPr>
                <w:rFonts w:eastAsiaTheme="minorEastAsia" w:cs="Calibri"/>
                <w:iCs/>
                <w:color w:val="FFFFFF"/>
                <w:lang w:eastAsia="en-AU"/>
              </w:rPr>
              <w:t xml:space="preserve"> </w:t>
            </w:r>
          </w:p>
        </w:tc>
        <w:tc>
          <w:tcPr>
            <w:tcW w:w="1984"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EC2897">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EC2897">
              <w:rPr>
                <w:rFonts w:eastAsiaTheme="minorEastAsia" w:cs="Calibri"/>
                <w:iCs/>
                <w:color w:val="FFFFFF"/>
                <w:szCs w:val="18"/>
                <w:lang w:eastAsia="en-AU"/>
              </w:rPr>
              <w:t>government sector</w:t>
            </w:r>
          </w:p>
        </w:tc>
        <w:tc>
          <w:tcPr>
            <w:tcW w:w="2409"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EC2897">
              <w:rPr>
                <w:rFonts w:eastAsiaTheme="minorEastAsia" w:cs="Calibri"/>
                <w:iCs/>
                <w:color w:val="FFFFFF"/>
                <w:szCs w:val="18"/>
                <w:lang w:eastAsia="en-AU"/>
              </w:rPr>
              <w:t xml:space="preserve">Public non-financial </w:t>
            </w:r>
            <w:r>
              <w:rPr>
                <w:rFonts w:eastAsiaTheme="minorEastAsia" w:cs="Calibri"/>
                <w:iCs/>
                <w:color w:val="FFFFFF"/>
                <w:szCs w:val="18"/>
                <w:lang w:eastAsia="en-AU"/>
              </w:rPr>
              <w:br/>
            </w:r>
            <w:r w:rsidRPr="00EC2897">
              <w:rPr>
                <w:rFonts w:eastAsiaTheme="minorEastAsia" w:cs="Calibri"/>
                <w:iCs/>
                <w:color w:val="FFFFFF"/>
                <w:szCs w:val="18"/>
                <w:lang w:eastAsia="en-AU"/>
              </w:rPr>
              <w:t>corporations</w:t>
            </w:r>
          </w:p>
        </w:tc>
      </w:tr>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rPr>
                <w:rFonts w:eastAsiaTheme="minorEastAsia" w:cs="Calibri"/>
                <w:iCs/>
                <w:color w:val="FFFFFF"/>
                <w:lang w:eastAsia="en-AU"/>
              </w:rPr>
            </w:pPr>
            <w:r w:rsidRPr="00EC2897">
              <w:rPr>
                <w:rFonts w:eastAsiaTheme="minorEastAsia" w:cs="Calibri"/>
                <w:iCs/>
                <w:color w:val="FFFFFF"/>
                <w:lang w:eastAsia="en-AU"/>
              </w:rPr>
              <w:t xml:space="preserve"> </w:t>
            </w:r>
          </w:p>
        </w:tc>
        <w:tc>
          <w:tcPr>
            <w:tcW w:w="992"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EC2897">
              <w:rPr>
                <w:rFonts w:eastAsiaTheme="minorEastAsia" w:cs="Calibri"/>
                <w:iCs/>
                <w:color w:val="FFFFFF"/>
                <w:szCs w:val="18"/>
                <w:lang w:eastAsia="en-AU"/>
              </w:rPr>
              <w:t>2017</w:t>
            </w:r>
          </w:p>
        </w:tc>
        <w:tc>
          <w:tcPr>
            <w:tcW w:w="992"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EC2897">
              <w:rPr>
                <w:rFonts w:eastAsiaTheme="minorEastAsia" w:cs="Calibri"/>
                <w:iCs/>
                <w:color w:val="FFFFFF"/>
                <w:szCs w:val="18"/>
                <w:lang w:eastAsia="en-AU"/>
              </w:rPr>
              <w:t>2016</w:t>
            </w:r>
          </w:p>
        </w:tc>
        <w:tc>
          <w:tcPr>
            <w:tcW w:w="1559"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EC2897">
              <w:rPr>
                <w:rFonts w:eastAsiaTheme="minorEastAsia" w:cs="Calibri"/>
                <w:iCs/>
                <w:color w:val="FFFFFF"/>
                <w:szCs w:val="18"/>
                <w:lang w:eastAsia="en-AU"/>
              </w:rPr>
              <w:t>2017</w:t>
            </w:r>
          </w:p>
        </w:tc>
        <w:tc>
          <w:tcPr>
            <w:tcW w:w="85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EC2897">
              <w:rPr>
                <w:rFonts w:eastAsiaTheme="minorEastAsia" w:cs="Calibri"/>
                <w:iCs/>
                <w:color w:val="FFFFFF"/>
                <w:szCs w:val="18"/>
                <w:lang w:eastAsia="en-AU"/>
              </w:rPr>
              <w:t>2016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Revenue from transactions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Taxation revenue</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22 272</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19 896</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vertAlign w:val="superscript"/>
                <w:lang w:eastAsia="en-AU"/>
              </w:rPr>
            </w:pPr>
            <w:r w:rsidRPr="00EC2897">
              <w:rPr>
                <w:rFonts w:eastAsiaTheme="minorEastAsia" w:cs="Calibri"/>
                <w:color w:val="000000"/>
                <w:szCs w:val="16"/>
                <w:lang w:eastAsia="en-AU"/>
              </w:rPr>
              <w:t xml:space="preserve">Interest revenue </w:t>
            </w:r>
            <w:r w:rsidRPr="00EC2897">
              <w:rPr>
                <w:rFonts w:eastAsiaTheme="minorEastAsia" w:cs="Calibri"/>
                <w:color w:val="000000"/>
                <w:szCs w:val="16"/>
                <w:vertAlign w:val="superscript"/>
                <w:lang w:eastAsia="en-AU"/>
              </w:rPr>
              <w:t>(a)</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863</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786</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127</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Dividends, income tax equivalent and rate equivalent revenue</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658</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848</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Sales of goods and services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6 939</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6 671</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6 117</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6 225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Grant revenue</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27 542</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25 406</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3 253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3 011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Other revenue</w:t>
            </w:r>
          </w:p>
        </w:tc>
        <w:tc>
          <w:tcPr>
            <w:tcW w:w="992"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2 645</w:t>
            </w:r>
          </w:p>
        </w:tc>
        <w:tc>
          <w:tcPr>
            <w:tcW w:w="992"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3 108</w:t>
            </w:r>
          </w:p>
        </w:tc>
        <w:tc>
          <w:tcPr>
            <w:tcW w:w="1559"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799</w:t>
            </w:r>
          </w:p>
        </w:tc>
        <w:tc>
          <w:tcPr>
            <w:tcW w:w="850"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1 076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vertAlign w:val="superscript"/>
                <w:lang w:eastAsia="en-AU"/>
              </w:rPr>
            </w:pPr>
            <w:r w:rsidRPr="00EC2897">
              <w:rPr>
                <w:rFonts w:eastAsiaTheme="minorEastAsia" w:cs="Calibri"/>
                <w:b/>
                <w:bCs/>
                <w:color w:val="000000"/>
                <w:szCs w:val="16"/>
                <w:lang w:eastAsia="en-AU"/>
              </w:rPr>
              <w:t xml:space="preserve">Total revenue from transactions </w:t>
            </w:r>
            <w:r w:rsidRPr="00EC2897">
              <w:rPr>
                <w:rFonts w:eastAsiaTheme="minorEastAsia" w:cs="Calibri"/>
                <w:b/>
                <w:bCs/>
                <w:color w:val="000000"/>
                <w:szCs w:val="16"/>
                <w:vertAlign w:val="superscript"/>
                <w:lang w:eastAsia="en-AU"/>
              </w:rPr>
              <w:t>(a)</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60 918</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56 716</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10 318</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10 373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Expenses from transactions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Employee expenses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21 497</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20 002</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1 208</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1 156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Net superannuation interest expense</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692</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878</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Other superannuation</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2 332</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2 123</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117</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Depreciation</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2 616</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2 504</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2 208</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2 154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vertAlign w:val="superscript"/>
                <w:lang w:eastAsia="en-AU"/>
              </w:rPr>
            </w:pPr>
            <w:r w:rsidRPr="00EC2897">
              <w:rPr>
                <w:rFonts w:eastAsiaTheme="minorEastAsia" w:cs="Calibri"/>
                <w:color w:val="000000"/>
                <w:szCs w:val="16"/>
                <w:lang w:eastAsia="en-AU"/>
              </w:rPr>
              <w:t xml:space="preserve">Interest expense </w:t>
            </w:r>
            <w:r w:rsidRPr="00EC2897">
              <w:rPr>
                <w:rFonts w:eastAsiaTheme="minorEastAsia" w:cs="Calibri"/>
                <w:color w:val="000000"/>
                <w:szCs w:val="16"/>
                <w:vertAlign w:val="superscript"/>
                <w:lang w:eastAsia="en-AU"/>
              </w:rPr>
              <w:t>(a)</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2 028</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2 076</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1 106</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1 047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vertAlign w:val="superscript"/>
                <w:lang w:eastAsia="en-AU"/>
              </w:rPr>
            </w:pPr>
            <w:r w:rsidRPr="00EC2897">
              <w:rPr>
                <w:rFonts w:eastAsiaTheme="minorEastAsia" w:cs="Calibri"/>
                <w:color w:val="000000"/>
                <w:szCs w:val="16"/>
                <w:lang w:eastAsia="en-AU"/>
              </w:rPr>
              <w:t xml:space="preserve">Grant expense </w:t>
            </w:r>
            <w:r w:rsidRPr="00EC2897">
              <w:rPr>
                <w:rFonts w:eastAsiaTheme="minorEastAsia" w:cs="Calibri"/>
                <w:color w:val="000000"/>
                <w:szCs w:val="16"/>
                <w:vertAlign w:val="superscript"/>
                <w:lang w:eastAsia="en-AU"/>
              </w:rPr>
              <w:t>(b)</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10 471</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8 564</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603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290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vertAlign w:val="superscript"/>
                <w:lang w:eastAsia="en-AU"/>
              </w:rPr>
            </w:pPr>
            <w:r w:rsidRPr="00EC2897">
              <w:rPr>
                <w:rFonts w:eastAsiaTheme="minorEastAsia" w:cs="Calibri"/>
                <w:color w:val="000000"/>
                <w:szCs w:val="16"/>
                <w:lang w:eastAsia="en-AU"/>
              </w:rPr>
              <w:t xml:space="preserve">Other operating expenses </w:t>
            </w:r>
            <w:r w:rsidRPr="00EC2897">
              <w:rPr>
                <w:rFonts w:eastAsiaTheme="minorEastAsia" w:cs="Calibri"/>
                <w:color w:val="000000"/>
                <w:szCs w:val="16"/>
                <w:vertAlign w:val="superscript"/>
                <w:lang w:eastAsia="en-AU"/>
              </w:rPr>
              <w:t>(b)</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18 575</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17 905</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5 273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5 031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Other property expenses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238</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432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vertAlign w:val="superscript"/>
                <w:lang w:eastAsia="en-AU"/>
              </w:rPr>
            </w:pPr>
            <w:r w:rsidRPr="00EC2897">
              <w:rPr>
                <w:rFonts w:eastAsiaTheme="minorEastAsia" w:cs="Calibri"/>
                <w:b/>
                <w:bCs/>
                <w:color w:val="000000"/>
                <w:szCs w:val="16"/>
                <w:lang w:eastAsia="en-AU"/>
              </w:rPr>
              <w:t xml:space="preserve">Total expenses from transactions </w:t>
            </w:r>
            <w:r w:rsidRPr="00EC2897">
              <w:rPr>
                <w:rFonts w:eastAsiaTheme="minorEastAsia" w:cs="Calibri"/>
                <w:b/>
                <w:bCs/>
                <w:color w:val="000000"/>
                <w:szCs w:val="16"/>
                <w:vertAlign w:val="superscript"/>
                <w:lang w:eastAsia="en-AU"/>
              </w:rPr>
              <w:t>(a)</w:t>
            </w:r>
          </w:p>
        </w:tc>
        <w:tc>
          <w:tcPr>
            <w:tcW w:w="992"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58 210</w:t>
            </w:r>
          </w:p>
        </w:tc>
        <w:tc>
          <w:tcPr>
            <w:tcW w:w="992"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54 052</w:t>
            </w:r>
          </w:p>
        </w:tc>
        <w:tc>
          <w:tcPr>
            <w:tcW w:w="1559"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10 754</w:t>
            </w:r>
          </w:p>
        </w:tc>
        <w:tc>
          <w:tcPr>
            <w:tcW w:w="850"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10 219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Net result from transactions – net operating balance</w:t>
            </w:r>
          </w:p>
        </w:tc>
        <w:tc>
          <w:tcPr>
            <w:tcW w:w="992"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2 709</w:t>
            </w:r>
          </w:p>
        </w:tc>
        <w:tc>
          <w:tcPr>
            <w:tcW w:w="992"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2 664</w:t>
            </w:r>
          </w:p>
        </w:tc>
        <w:tc>
          <w:tcPr>
            <w:tcW w:w="1559"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(436)</w:t>
            </w:r>
          </w:p>
        </w:tc>
        <w:tc>
          <w:tcPr>
            <w:tcW w:w="850"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154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Other economic flows included in net result</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Net gain/(loss) on disposal of non-financial assets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51</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(145)</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(35)</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Net gain/(loss) on financial assets or liabilities at fair value</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24</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Share of net profit/(loss) from associates/joint venture entities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21</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Other gains/(losses) from other economic flows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(226)</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(688)</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116</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Total other economic flows included in net result</w:t>
            </w:r>
          </w:p>
        </w:tc>
        <w:tc>
          <w:tcPr>
            <w:tcW w:w="992"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(150)</w:t>
            </w:r>
          </w:p>
        </w:tc>
        <w:tc>
          <w:tcPr>
            <w:tcW w:w="992"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(847)</w:t>
            </w:r>
          </w:p>
        </w:tc>
        <w:tc>
          <w:tcPr>
            <w:tcW w:w="1559"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89</w:t>
            </w:r>
          </w:p>
        </w:tc>
        <w:tc>
          <w:tcPr>
            <w:tcW w:w="850"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160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Net result</w:t>
            </w:r>
          </w:p>
        </w:tc>
        <w:tc>
          <w:tcPr>
            <w:tcW w:w="992"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2 559</w:t>
            </w:r>
          </w:p>
        </w:tc>
        <w:tc>
          <w:tcPr>
            <w:tcW w:w="992"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1 817</w:t>
            </w:r>
          </w:p>
        </w:tc>
        <w:tc>
          <w:tcPr>
            <w:tcW w:w="1559"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(347)</w:t>
            </w:r>
          </w:p>
        </w:tc>
        <w:tc>
          <w:tcPr>
            <w:tcW w:w="850"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314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Other economic flows – other comprehensive income</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Items that will not be reclassified to net result</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Changes in non-financial assets revaluation surplus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6 090</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6 236</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2 669</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11 057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proofErr w:type="spellStart"/>
            <w:r w:rsidRPr="00EC2897">
              <w:rPr>
                <w:rFonts w:eastAsiaTheme="minorEastAsia" w:cs="Calibri"/>
                <w:color w:val="000000"/>
                <w:szCs w:val="16"/>
                <w:lang w:eastAsia="en-AU"/>
              </w:rPr>
              <w:t>Remeasurement</w:t>
            </w:r>
            <w:proofErr w:type="spellEnd"/>
            <w:r w:rsidRPr="00EC2897">
              <w:rPr>
                <w:rFonts w:eastAsiaTheme="minorEastAsia" w:cs="Calibri"/>
                <w:color w:val="000000"/>
                <w:szCs w:val="16"/>
                <w:lang w:eastAsia="en-AU"/>
              </w:rPr>
              <w:t xml:space="preserve"> of superannuation defined benefits plans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4 367</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(3 220)</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Other movements in equity</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89</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17</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(216)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Items that may be reclassified subsequently to net result</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Net gain/(loss) on financial assets at fair value</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53</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(85)</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Net gain/(loss) on equity investments in other sector entities at proportional share of the carrying amount of net assets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3 122</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10 533</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Total other economic flows – other comprehensive income</w:t>
            </w:r>
          </w:p>
        </w:tc>
        <w:tc>
          <w:tcPr>
            <w:tcW w:w="992"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13 720</w:t>
            </w:r>
          </w:p>
        </w:tc>
        <w:tc>
          <w:tcPr>
            <w:tcW w:w="992"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13 486</w:t>
            </w:r>
          </w:p>
        </w:tc>
        <w:tc>
          <w:tcPr>
            <w:tcW w:w="1559"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2 686</w:t>
            </w:r>
          </w:p>
        </w:tc>
        <w:tc>
          <w:tcPr>
            <w:tcW w:w="850"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10 791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Comprehensive result – total change in net worth</w:t>
            </w:r>
          </w:p>
        </w:tc>
        <w:tc>
          <w:tcPr>
            <w:tcW w:w="992"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16 279</w:t>
            </w:r>
          </w:p>
        </w:tc>
        <w:tc>
          <w:tcPr>
            <w:tcW w:w="992"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15 303</w:t>
            </w:r>
          </w:p>
        </w:tc>
        <w:tc>
          <w:tcPr>
            <w:tcW w:w="1559"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2 339</w:t>
            </w:r>
          </w:p>
        </w:tc>
        <w:tc>
          <w:tcPr>
            <w:tcW w:w="850"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11 106</w:t>
            </w:r>
          </w:p>
        </w:tc>
      </w:tr>
      <w:tr w:rsidR="00BB6F1F" w:rsidRPr="00EC2897"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lang w:eastAsia="en-AU"/>
              </w:rPr>
            </w:pPr>
            <w:r w:rsidRPr="00EC2897">
              <w:rPr>
                <w:rFonts w:eastAsiaTheme="minorEastAsia" w:cs="Calibri"/>
                <w:color w:val="000000"/>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FISCAL AGGREGRATES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Net operating balance</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2 709</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2 664</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(436)</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154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Net acquisition of non-financial assets from transactions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Purchases of non-financial assets (including change in inventories)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7 267</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4 452</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1 827</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2 383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Less: Sales of non-financial assets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(287)</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(190)</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(187)</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(263)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Less: Depreciation and amortisation</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(2 616)</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(2 504)</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(2 208)</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(2 154)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Plus: Other movements in non-financial assets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(2 711)</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(970)</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3 107</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2 172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Less: Net acquisition of non-financial assets from transactions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1 653</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788</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2 538</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2 138</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rPr>
                <w:rFonts w:eastAsiaTheme="minorEastAsia" w:cs="Calibri"/>
                <w:bCs/>
                <w:color w:val="000000"/>
                <w:szCs w:val="16"/>
                <w:lang w:eastAsia="en-AU"/>
              </w:rPr>
            </w:pPr>
            <w:r w:rsidRPr="00EC2897">
              <w:rPr>
                <w:rFonts w:eastAsiaTheme="minorEastAsia" w:cs="Calibri"/>
                <w:bCs/>
                <w:color w:val="000000"/>
                <w:szCs w:val="16"/>
                <w:lang w:eastAsia="en-AU"/>
              </w:rPr>
              <w:t>Net lending/(borrowing)</w:t>
            </w:r>
          </w:p>
        </w:tc>
        <w:tc>
          <w:tcPr>
            <w:tcW w:w="992"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EC2897">
              <w:rPr>
                <w:rFonts w:eastAsiaTheme="minorEastAsia" w:cs="Calibri"/>
                <w:bCs/>
                <w:color w:val="000000"/>
                <w:szCs w:val="16"/>
                <w:lang w:eastAsia="en-AU"/>
              </w:rPr>
              <w:t>1 055</w:t>
            </w:r>
          </w:p>
        </w:tc>
        <w:tc>
          <w:tcPr>
            <w:tcW w:w="992"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EC2897">
              <w:rPr>
                <w:rFonts w:eastAsiaTheme="minorEastAsia" w:cs="Calibri"/>
                <w:bCs/>
                <w:color w:val="000000"/>
                <w:szCs w:val="16"/>
                <w:lang w:eastAsia="en-AU"/>
              </w:rPr>
              <w:t>1 876</w:t>
            </w:r>
          </w:p>
        </w:tc>
        <w:tc>
          <w:tcPr>
            <w:tcW w:w="1559"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(2 974)</w:t>
            </w:r>
          </w:p>
        </w:tc>
        <w:tc>
          <w:tcPr>
            <w:tcW w:w="850"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(1 984)</w:t>
            </w:r>
          </w:p>
        </w:tc>
      </w:tr>
    </w:tbl>
    <w:p w:rsidR="00BB6F1F" w:rsidRDefault="00BB6F1F" w:rsidP="00AC68FF">
      <w:pPr>
        <w:pStyle w:val="Note"/>
      </w:pPr>
      <w:r>
        <w:t>Notes:</w:t>
      </w:r>
    </w:p>
    <w:p w:rsidR="00BB6F1F" w:rsidRPr="004E06C4" w:rsidRDefault="00BB6F1F" w:rsidP="00AC68FF">
      <w:pPr>
        <w:pStyle w:val="Note"/>
      </w:pPr>
      <w:r>
        <w:t>(a)</w:t>
      </w:r>
      <w:r>
        <w:tab/>
      </w:r>
      <w:r w:rsidRPr="008B5089">
        <w:t>June 2016 comparative figures have been restated to reflect the reclassification of borrowings</w:t>
      </w:r>
      <w:r>
        <w:t xml:space="preserve"> and investments sold at a premium/discount </w:t>
      </w:r>
      <w:r w:rsidRPr="008B5089">
        <w:t xml:space="preserve">from interest expense to interest revenue.  </w:t>
      </w:r>
    </w:p>
    <w:p w:rsidR="00BB6F1F" w:rsidRDefault="00BB6F1F" w:rsidP="00AC68FF">
      <w:pPr>
        <w:pStyle w:val="Note"/>
      </w:pPr>
      <w:r>
        <w:t>(b)</w:t>
      </w:r>
      <w:r>
        <w:tab/>
      </w:r>
      <w:r w:rsidRPr="00A0521C">
        <w:t>June 2016 comparative figures have been restated to reclassify the Transport Accident Commission Safer Roads Infrastructure Program expenditure from other operating expenses to grant expense to more correctly reflect the nature of the expenditure.</w:t>
      </w:r>
    </w:p>
    <w:p w:rsidR="00BB6F1F" w:rsidRDefault="00BB6F1F">
      <w:pPr>
        <w:keepLines w:val="0"/>
        <w:rPr>
          <w:rFonts w:asciiTheme="majorHAnsi" w:hAnsiTheme="majorHAnsi"/>
          <w:i/>
          <w:spacing w:val="-2"/>
          <w:sz w:val="14"/>
        </w:rPr>
      </w:pPr>
      <w:r>
        <w:br w:type="page"/>
      </w:r>
    </w:p>
    <w:p w:rsidR="00BB6F1F" w:rsidRDefault="00BB6F1F" w:rsidP="00AC68FF">
      <w:pPr>
        <w:pStyle w:val="Heading20"/>
      </w:pPr>
    </w:p>
    <w:p w:rsidR="00BB6F1F" w:rsidRPr="00EC2897" w:rsidRDefault="00BB6F1F" w:rsidP="00AC68FF">
      <w:pPr>
        <w:pStyle w:val="TableHeading"/>
        <w:rPr>
          <w:bCs/>
          <w:lang w:val="en-US"/>
        </w:rPr>
      </w:pPr>
    </w:p>
    <w:tbl>
      <w:tblPr>
        <w:tblStyle w:val="DTFTable"/>
        <w:tblW w:w="9624" w:type="dxa"/>
        <w:tblInd w:w="45" w:type="dxa"/>
        <w:tblLayout w:type="fixed"/>
        <w:tblCellMar>
          <w:left w:w="45" w:type="dxa"/>
          <w:right w:w="45" w:type="dxa"/>
        </w:tblCellMar>
        <w:tblLook w:val="06E0" w:firstRow="1" w:lastRow="1" w:firstColumn="1" w:lastColumn="0" w:noHBand="1" w:noVBand="1"/>
      </w:tblPr>
      <w:tblGrid>
        <w:gridCol w:w="1604"/>
        <w:gridCol w:w="1604"/>
        <w:gridCol w:w="1604"/>
        <w:gridCol w:w="1604"/>
        <w:gridCol w:w="1604"/>
        <w:gridCol w:w="1604"/>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8"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center"/>
              <w:rPr>
                <w:rFonts w:eastAsiaTheme="minorEastAsia" w:cs="Calibri"/>
                <w:iCs/>
                <w:color w:val="FFFFFF"/>
                <w:szCs w:val="18"/>
                <w:lang w:eastAsia="en-AU"/>
              </w:rPr>
            </w:pPr>
            <w:r w:rsidRPr="00EC2897">
              <w:rPr>
                <w:rFonts w:eastAsiaTheme="minorEastAsia" w:cs="Calibri"/>
                <w:iCs/>
                <w:color w:val="FFFFFF"/>
                <w:szCs w:val="18"/>
                <w:lang w:eastAsia="en-AU"/>
              </w:rPr>
              <w:t xml:space="preserve">Public financial </w:t>
            </w:r>
            <w:r>
              <w:rPr>
                <w:rFonts w:eastAsiaTheme="minorEastAsia" w:cs="Calibri"/>
                <w:iCs/>
                <w:color w:val="FFFFFF"/>
                <w:szCs w:val="18"/>
                <w:lang w:eastAsia="en-AU"/>
              </w:rPr>
              <w:br/>
            </w:r>
            <w:r w:rsidRPr="00EC2897">
              <w:rPr>
                <w:rFonts w:eastAsiaTheme="minorEastAsia" w:cs="Calibri"/>
                <w:iCs/>
                <w:color w:val="FFFFFF"/>
                <w:szCs w:val="18"/>
                <w:lang w:eastAsia="en-AU"/>
              </w:rPr>
              <w:t>corporations</w:t>
            </w:r>
          </w:p>
        </w:tc>
        <w:tc>
          <w:tcPr>
            <w:tcW w:w="3208"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EC2897">
              <w:rPr>
                <w:rFonts w:eastAsiaTheme="minorEastAsia" w:cs="Calibri"/>
                <w:iCs/>
                <w:color w:val="FFFFFF"/>
                <w:szCs w:val="18"/>
                <w:lang w:eastAsia="en-AU"/>
              </w:rPr>
              <w:t xml:space="preserve">Inter-sector </w:t>
            </w:r>
            <w:r>
              <w:rPr>
                <w:rFonts w:eastAsiaTheme="minorEastAsia" w:cs="Calibri"/>
                <w:iCs/>
                <w:color w:val="FFFFFF"/>
                <w:szCs w:val="18"/>
                <w:lang w:eastAsia="en-AU"/>
              </w:rPr>
              <w:br/>
            </w:r>
            <w:r w:rsidRPr="00EC2897">
              <w:rPr>
                <w:rFonts w:eastAsiaTheme="minorEastAsia" w:cs="Calibri"/>
                <w:iCs/>
                <w:color w:val="FFFFFF"/>
                <w:szCs w:val="18"/>
                <w:lang w:eastAsia="en-AU"/>
              </w:rPr>
              <w:t>eliminations</w:t>
            </w:r>
          </w:p>
        </w:tc>
        <w:tc>
          <w:tcPr>
            <w:tcW w:w="3208"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EC2897">
              <w:rPr>
                <w:rFonts w:eastAsiaTheme="minorEastAsia" w:cs="Calibri"/>
                <w:iCs/>
                <w:color w:val="FFFFFF"/>
                <w:szCs w:val="18"/>
                <w:lang w:eastAsia="en-AU"/>
              </w:rPr>
              <w:t xml:space="preserve">State of </w:t>
            </w:r>
            <w:r>
              <w:rPr>
                <w:rFonts w:eastAsiaTheme="minorEastAsia" w:cs="Calibri"/>
                <w:iCs/>
                <w:color w:val="FFFFFF"/>
                <w:szCs w:val="18"/>
                <w:lang w:eastAsia="en-AU"/>
              </w:rPr>
              <w:br/>
            </w:r>
            <w:r w:rsidRPr="00EC2897">
              <w:rPr>
                <w:rFonts w:eastAsiaTheme="minorEastAsia" w:cs="Calibri"/>
                <w:iCs/>
                <w:color w:val="FFFFFF"/>
                <w:szCs w:val="18"/>
                <w:lang w:eastAsia="en-AU"/>
              </w:rPr>
              <w:t>Victoria</w:t>
            </w:r>
          </w:p>
        </w:tc>
      </w:tr>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right"/>
              <w:rPr>
                <w:rFonts w:eastAsiaTheme="minorEastAsia" w:cs="Calibri"/>
                <w:iCs/>
                <w:color w:val="FFFFFF"/>
                <w:szCs w:val="18"/>
                <w:lang w:eastAsia="en-AU"/>
              </w:rPr>
            </w:pPr>
            <w:r w:rsidRPr="00EC2897">
              <w:rPr>
                <w:rFonts w:eastAsiaTheme="minorEastAsia" w:cs="Calibri"/>
                <w:iCs/>
                <w:color w:val="FFFFFF"/>
                <w:szCs w:val="18"/>
                <w:lang w:eastAsia="en-AU"/>
              </w:rPr>
              <w:t>2017</w:t>
            </w:r>
          </w:p>
        </w:tc>
        <w:tc>
          <w:tcPr>
            <w:tcW w:w="160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EC2897">
              <w:rPr>
                <w:rFonts w:eastAsiaTheme="minorEastAsia" w:cs="Calibri"/>
                <w:iCs/>
                <w:color w:val="FFFFFF"/>
                <w:szCs w:val="18"/>
                <w:lang w:eastAsia="en-AU"/>
              </w:rPr>
              <w:t>2016</w:t>
            </w:r>
          </w:p>
        </w:tc>
        <w:tc>
          <w:tcPr>
            <w:tcW w:w="160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EC2897">
              <w:rPr>
                <w:rFonts w:eastAsiaTheme="minorEastAsia" w:cs="Calibri"/>
                <w:iCs/>
                <w:color w:val="FFFFFF"/>
                <w:szCs w:val="18"/>
                <w:lang w:eastAsia="en-AU"/>
              </w:rPr>
              <w:t>2017</w:t>
            </w:r>
          </w:p>
        </w:tc>
        <w:tc>
          <w:tcPr>
            <w:tcW w:w="160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EC2897">
              <w:rPr>
                <w:rFonts w:eastAsiaTheme="minorEastAsia" w:cs="Calibri"/>
                <w:iCs/>
                <w:color w:val="FFFFFF"/>
                <w:szCs w:val="18"/>
                <w:lang w:eastAsia="en-AU"/>
              </w:rPr>
              <w:t>2016</w:t>
            </w:r>
          </w:p>
        </w:tc>
        <w:tc>
          <w:tcPr>
            <w:tcW w:w="160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EC2897">
              <w:rPr>
                <w:rFonts w:eastAsiaTheme="minorEastAsia" w:cs="Calibri"/>
                <w:iCs/>
                <w:color w:val="FFFFFF"/>
                <w:szCs w:val="18"/>
                <w:lang w:eastAsia="en-AU"/>
              </w:rPr>
              <w:t>2017</w:t>
            </w:r>
          </w:p>
        </w:tc>
        <w:tc>
          <w:tcPr>
            <w:tcW w:w="160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EC2897">
              <w:rPr>
                <w:rFonts w:eastAsiaTheme="minorEastAsia" w:cs="Calibri"/>
                <w:iCs/>
                <w:color w:val="FFFFFF"/>
                <w:szCs w:val="18"/>
                <w:lang w:eastAsia="en-AU"/>
              </w:rPr>
              <w:t>2016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(380)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(450)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21 892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19 446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sidRPr="00EC2897">
              <w:rPr>
                <w:rFonts w:eastAsiaTheme="minorEastAsia" w:cs="Calibri"/>
                <w:color w:val="000000"/>
                <w:szCs w:val="18"/>
                <w:lang w:eastAsia="en-AU"/>
              </w:rPr>
              <w:t>2 012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2 242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(2 292)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(2 342)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711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724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Pr>
                <w:rFonts w:eastAsiaTheme="minorEastAsia" w:cs="Calibri"/>
                <w:color w:val="000000"/>
                <w:szCs w:val="18"/>
                <w:lang w:eastAsia="en-AU"/>
              </w:rPr>
              <w:t>857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1 111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(623)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(823)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914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1 159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sidRPr="00EC2897">
              <w:rPr>
                <w:rFonts w:eastAsiaTheme="minorEastAsia" w:cs="Calibri"/>
                <w:color w:val="000000"/>
                <w:szCs w:val="18"/>
                <w:lang w:eastAsia="en-AU"/>
              </w:rPr>
              <w:t>4 480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4 224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(2 997)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(2 796)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14 539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14 324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(3 444)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(3 176)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27 350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25 241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Pr>
                <w:rFonts w:eastAsiaTheme="minorEastAsia" w:cs="Calibri"/>
                <w:color w:val="000000"/>
                <w:szCs w:val="18"/>
                <w:lang w:eastAsia="en-AU"/>
              </w:rPr>
              <w:t>150</w:t>
            </w:r>
          </w:p>
        </w:tc>
        <w:tc>
          <w:tcPr>
            <w:tcW w:w="1604"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w:t>
            </w:r>
          </w:p>
        </w:tc>
        <w:tc>
          <w:tcPr>
            <w:tcW w:w="1604"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(187)</w:t>
            </w:r>
          </w:p>
        </w:tc>
        <w:tc>
          <w:tcPr>
            <w:tcW w:w="1604"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(370)</w:t>
            </w:r>
          </w:p>
        </w:tc>
        <w:tc>
          <w:tcPr>
            <w:tcW w:w="1604"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3 406</w:t>
            </w:r>
          </w:p>
        </w:tc>
        <w:tc>
          <w:tcPr>
            <w:tcW w:w="1604" w:type="dxa"/>
            <w:tcBorders>
              <w:top w:val="nil"/>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3 835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b/>
                <w:bCs/>
                <w:color w:val="000000"/>
                <w:szCs w:val="18"/>
                <w:lang w:eastAsia="en-AU"/>
              </w:rPr>
            </w:pPr>
            <w:r w:rsidRPr="00EC2897">
              <w:rPr>
                <w:rFonts w:eastAsiaTheme="minorEastAsia" w:cs="Calibri"/>
                <w:b/>
                <w:bCs/>
                <w:color w:val="000000"/>
                <w:szCs w:val="18"/>
                <w:lang w:eastAsia="en-AU"/>
              </w:rPr>
              <w:t>7 499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7 598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(9 923)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(9 958)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68 812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64 729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Pr>
                <w:rFonts w:eastAsiaTheme="minorEastAsia" w:cs="Calibri"/>
                <w:color w:val="000000"/>
                <w:szCs w:val="18"/>
                <w:lang w:eastAsia="en-AU"/>
              </w:rPr>
              <w:t>325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291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(413)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(384)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22 617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21 066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693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880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Pr>
                <w:rFonts w:eastAsiaTheme="minorEastAsia" w:cs="Calibri"/>
                <w:color w:val="000000"/>
                <w:szCs w:val="18"/>
                <w:lang w:eastAsia="en-AU"/>
              </w:rPr>
              <w:t>26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2 475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2 254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Pr>
                <w:rFonts w:eastAsiaTheme="minorEastAsia" w:cs="Calibri"/>
                <w:color w:val="000000"/>
                <w:szCs w:val="18"/>
                <w:lang w:eastAsia="en-AU"/>
              </w:rPr>
              <w:t>44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4 869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4 706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sidRPr="00EC2897">
              <w:rPr>
                <w:rFonts w:eastAsiaTheme="minorEastAsia" w:cs="Calibri"/>
                <w:color w:val="000000"/>
                <w:szCs w:val="18"/>
                <w:lang w:eastAsia="en-AU"/>
              </w:rPr>
              <w:t>1 887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2 022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(2 292)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(2 342)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2 729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2 802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Pr>
                <w:rFonts w:eastAsiaTheme="minorEastAsia" w:cs="Calibri"/>
                <w:color w:val="000000"/>
                <w:szCs w:val="18"/>
                <w:lang w:eastAsia="en-AU"/>
              </w:rPr>
              <w:t>188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(3 639)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(3 340)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7 624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5 657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sidRPr="00EC2897">
              <w:rPr>
                <w:rFonts w:eastAsiaTheme="minorEastAsia" w:cs="Calibri"/>
                <w:color w:val="000000"/>
                <w:szCs w:val="18"/>
                <w:lang w:eastAsia="en-AU"/>
              </w:rPr>
              <w:t>6 161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5 854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(2 956)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(3 070)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27 053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25 720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Pr>
                <w:rFonts w:eastAsiaTheme="minorEastAsia" w:cs="Calibri"/>
                <w:color w:val="000000"/>
                <w:szCs w:val="18"/>
                <w:lang w:eastAsia="en-AU"/>
              </w:rPr>
              <w:t>847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(1 085)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(447)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b/>
                <w:bCs/>
                <w:color w:val="000000"/>
                <w:szCs w:val="18"/>
                <w:lang w:eastAsia="en-AU"/>
              </w:rPr>
            </w:pPr>
            <w:r w:rsidRPr="00EC2897">
              <w:rPr>
                <w:rFonts w:eastAsiaTheme="minorEastAsia" w:cs="Calibri"/>
                <w:b/>
                <w:bCs/>
                <w:color w:val="000000"/>
                <w:szCs w:val="18"/>
                <w:lang w:eastAsia="en-AU"/>
              </w:rPr>
              <w:t>9 479</w:t>
            </w:r>
          </w:p>
        </w:tc>
        <w:tc>
          <w:tcPr>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8 395</w:t>
            </w:r>
          </w:p>
        </w:tc>
        <w:tc>
          <w:tcPr>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(10 384)</w:t>
            </w:r>
          </w:p>
        </w:tc>
        <w:tc>
          <w:tcPr>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(9 581)</w:t>
            </w:r>
          </w:p>
        </w:tc>
        <w:tc>
          <w:tcPr>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68 058</w:t>
            </w:r>
          </w:p>
        </w:tc>
        <w:tc>
          <w:tcPr>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63 085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ind w:left="0" w:firstLine="0"/>
              <w:jc w:val="right"/>
              <w:rPr>
                <w:rFonts w:eastAsiaTheme="minorEastAsia" w:cs="Calibri"/>
                <w:b/>
                <w:bCs/>
                <w:color w:val="000000"/>
                <w:szCs w:val="18"/>
                <w:lang w:eastAsia="en-AU"/>
              </w:rPr>
            </w:pPr>
            <w:r>
              <w:rPr>
                <w:rFonts w:eastAsiaTheme="minorEastAsia" w:cs="Calibri"/>
                <w:b/>
                <w:bCs/>
                <w:color w:val="000000"/>
                <w:szCs w:val="18"/>
                <w:lang w:eastAsia="en-AU"/>
              </w:rPr>
              <w:t>(1 980)</w:t>
            </w:r>
          </w:p>
        </w:tc>
        <w:tc>
          <w:tcPr>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(797)</w:t>
            </w:r>
          </w:p>
        </w:tc>
        <w:tc>
          <w:tcPr>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461</w:t>
            </w:r>
          </w:p>
        </w:tc>
        <w:tc>
          <w:tcPr>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(376)</w:t>
            </w:r>
          </w:p>
        </w:tc>
        <w:tc>
          <w:tcPr>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754</w:t>
            </w:r>
          </w:p>
        </w:tc>
        <w:tc>
          <w:tcPr>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1 645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sidRPr="00EC2897">
              <w:rPr>
                <w:rFonts w:eastAsiaTheme="minorEastAsia" w:cs="Calibri"/>
                <w:color w:val="000000"/>
                <w:szCs w:val="18"/>
                <w:lang w:eastAsia="en-AU"/>
              </w:rPr>
              <w:t>4 134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(1 554)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4 144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(1 468)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sidRPr="00EC2897">
              <w:rPr>
                <w:rFonts w:eastAsiaTheme="minorEastAsia" w:cs="Calibri"/>
                <w:color w:val="000000"/>
                <w:szCs w:val="18"/>
                <w:lang w:eastAsia="en-AU"/>
              </w:rPr>
              <w:t>2 082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(367)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(915)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1 605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(1 596)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b/>
                <w:bCs/>
                <w:color w:val="000000"/>
                <w:szCs w:val="18"/>
                <w:lang w:eastAsia="en-AU"/>
              </w:rPr>
            </w:pPr>
            <w:r w:rsidRPr="00EC2897">
              <w:rPr>
                <w:rFonts w:eastAsiaTheme="minorEastAsia" w:cs="Calibri"/>
                <w:b/>
                <w:bCs/>
                <w:color w:val="000000"/>
                <w:szCs w:val="18"/>
                <w:lang w:eastAsia="en-AU"/>
              </w:rPr>
              <w:t>6 216</w:t>
            </w:r>
          </w:p>
        </w:tc>
        <w:tc>
          <w:tcPr>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(1 641)</w:t>
            </w:r>
          </w:p>
        </w:tc>
        <w:tc>
          <w:tcPr>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(339)</w:t>
            </w:r>
          </w:p>
        </w:tc>
        <w:tc>
          <w:tcPr>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(957)</w:t>
            </w:r>
          </w:p>
        </w:tc>
        <w:tc>
          <w:tcPr>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5 816</w:t>
            </w:r>
          </w:p>
        </w:tc>
        <w:tc>
          <w:tcPr>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(3 284)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ind w:left="0" w:firstLine="0"/>
              <w:jc w:val="right"/>
              <w:rPr>
                <w:rFonts w:eastAsiaTheme="minorEastAsia" w:cs="Calibri"/>
                <w:b/>
                <w:bCs/>
                <w:color w:val="000000"/>
                <w:szCs w:val="18"/>
                <w:lang w:eastAsia="en-AU"/>
              </w:rPr>
            </w:pPr>
            <w:r w:rsidRPr="00EC2897">
              <w:rPr>
                <w:rFonts w:eastAsiaTheme="minorEastAsia" w:cs="Calibri"/>
                <w:b/>
                <w:bCs/>
                <w:color w:val="000000"/>
                <w:szCs w:val="18"/>
                <w:lang w:eastAsia="en-AU"/>
              </w:rPr>
              <w:t>4 236</w:t>
            </w:r>
          </w:p>
        </w:tc>
        <w:tc>
          <w:tcPr>
            <w:tcW w:w="1604"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(2 438)</w:t>
            </w:r>
          </w:p>
        </w:tc>
        <w:tc>
          <w:tcPr>
            <w:tcW w:w="1604"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123</w:t>
            </w:r>
          </w:p>
        </w:tc>
        <w:tc>
          <w:tcPr>
            <w:tcW w:w="1604"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(1 334)</w:t>
            </w:r>
          </w:p>
        </w:tc>
        <w:tc>
          <w:tcPr>
            <w:tcW w:w="1604"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6 570</w:t>
            </w:r>
          </w:p>
        </w:tc>
        <w:tc>
          <w:tcPr>
            <w:tcW w:w="1604"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(1 640)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8 792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17 514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4 389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(3 246)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Pr>
                <w:rFonts w:eastAsiaTheme="minorEastAsia" w:cs="Calibri"/>
                <w:color w:val="000000"/>
                <w:szCs w:val="18"/>
                <w:lang w:eastAsia="en-AU"/>
              </w:rPr>
              <w:t>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8"/>
                <w:lang w:eastAsia="en-AU"/>
              </w:rPr>
            </w:pPr>
            <w:r w:rsidRPr="00EC2897">
              <w:rPr>
                <w:rFonts w:eastAsiaTheme="minorEastAsia" w:cs="Calibri"/>
                <w:color w:val="000000"/>
                <w:szCs w:val="18"/>
                <w:lang w:eastAsia="en-AU"/>
              </w:rPr>
              <w:t>..</w:t>
            </w:r>
            <w:r>
              <w:rPr>
                <w:rFonts w:eastAsiaTheme="minorEastAsia" w:cs="Calibri"/>
                <w:color w:val="000000"/>
                <w:szCs w:val="18"/>
                <w:lang w:eastAsia="en-AU"/>
              </w:rPr>
              <w:br/>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(3 122)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(10 533)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b/>
                <w:bCs/>
                <w:color w:val="000000"/>
                <w:szCs w:val="18"/>
                <w:lang w:eastAsia="en-AU"/>
              </w:rPr>
            </w:pPr>
            <w:r>
              <w:rPr>
                <w:rFonts w:eastAsiaTheme="minorEastAsia" w:cs="Calibri"/>
                <w:b/>
                <w:bCs/>
                <w:color w:val="000000"/>
                <w:szCs w:val="18"/>
                <w:lang w:eastAsia="en-AU"/>
              </w:rPr>
              <w:t>2</w:t>
            </w:r>
          </w:p>
        </w:tc>
        <w:tc>
          <w:tcPr>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w:t>
            </w:r>
          </w:p>
        </w:tc>
        <w:tc>
          <w:tcPr>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(3 089)</w:t>
            </w:r>
          </w:p>
        </w:tc>
        <w:tc>
          <w:tcPr>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(10 312)</w:t>
            </w:r>
          </w:p>
        </w:tc>
        <w:tc>
          <w:tcPr>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13 319</w:t>
            </w:r>
          </w:p>
        </w:tc>
        <w:tc>
          <w:tcPr>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13 965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ind w:left="0" w:firstLine="0"/>
              <w:jc w:val="right"/>
              <w:rPr>
                <w:rFonts w:eastAsiaTheme="minorEastAsia" w:cs="Calibri"/>
                <w:b/>
                <w:bCs/>
                <w:color w:val="000000"/>
                <w:szCs w:val="18"/>
                <w:lang w:eastAsia="en-AU"/>
              </w:rPr>
            </w:pPr>
            <w:r w:rsidRPr="00EC2897">
              <w:rPr>
                <w:rFonts w:eastAsiaTheme="minorEastAsia" w:cs="Calibri"/>
                <w:b/>
                <w:bCs/>
                <w:color w:val="000000"/>
                <w:szCs w:val="18"/>
                <w:lang w:eastAsia="en-AU"/>
              </w:rPr>
              <w:t>4 237</w:t>
            </w:r>
          </w:p>
        </w:tc>
        <w:tc>
          <w:tcPr>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(2 438)</w:t>
            </w:r>
          </w:p>
        </w:tc>
        <w:tc>
          <w:tcPr>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(2 967)</w:t>
            </w:r>
          </w:p>
        </w:tc>
        <w:tc>
          <w:tcPr>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(11 646)</w:t>
            </w:r>
          </w:p>
        </w:tc>
        <w:tc>
          <w:tcPr>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19 889</w:t>
            </w:r>
          </w:p>
        </w:tc>
        <w:tc>
          <w:tcPr>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12 325</w:t>
            </w:r>
          </w:p>
        </w:tc>
      </w:tr>
      <w:tr w:rsidR="00BB6F1F" w:rsidRPr="00EC2897"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lang w:eastAsia="en-AU"/>
              </w:rPr>
            </w:pPr>
            <w:r w:rsidRPr="00EC2897">
              <w:rPr>
                <w:rFonts w:eastAsiaTheme="minorEastAsia" w:cs="Calibri"/>
                <w:color w:val="000000"/>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b/>
                <w:bCs/>
                <w:color w:val="000000"/>
                <w:szCs w:val="16"/>
                <w:lang w:eastAsia="en-AU"/>
              </w:rPr>
            </w:pPr>
            <w:r>
              <w:rPr>
                <w:rFonts w:eastAsiaTheme="minorEastAsia" w:cs="Calibri"/>
                <w:b/>
                <w:bCs/>
                <w:color w:val="000000"/>
                <w:szCs w:val="16"/>
                <w:lang w:eastAsia="en-AU"/>
              </w:rPr>
              <w:t>(1 980)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(797)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461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(376)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754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1 645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6"/>
                <w:lang w:eastAsia="en-AU"/>
              </w:rPr>
            </w:pPr>
            <w:r>
              <w:rPr>
                <w:rFonts w:eastAsiaTheme="minorEastAsia" w:cs="Calibri"/>
                <w:color w:val="000000"/>
                <w:szCs w:val="16"/>
                <w:lang w:eastAsia="en-AU"/>
              </w:rPr>
              <w:t>45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9 084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6 870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6"/>
                <w:lang w:eastAsia="en-AU"/>
              </w:rPr>
            </w:pPr>
            <w:r>
              <w:rPr>
                <w:rFonts w:eastAsiaTheme="minorEastAsia" w:cs="Calibri"/>
                <w:color w:val="000000"/>
                <w:szCs w:val="16"/>
                <w:lang w:eastAsia="en-AU"/>
              </w:rPr>
              <w:t>(1)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(476)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(454)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6"/>
                <w:lang w:eastAsia="en-AU"/>
              </w:rPr>
            </w:pPr>
            <w:r>
              <w:rPr>
                <w:rFonts w:eastAsiaTheme="minorEastAsia" w:cs="Calibri"/>
                <w:color w:val="000000"/>
                <w:szCs w:val="16"/>
                <w:lang w:eastAsia="en-AU"/>
              </w:rPr>
              <w:t>(44)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(4 869)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(4 706)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color w:val="000000"/>
                <w:szCs w:val="16"/>
                <w:lang w:eastAsia="en-AU"/>
              </w:rPr>
            </w:pPr>
            <w:r w:rsidRPr="00EC2897">
              <w:rPr>
                <w:rFonts w:eastAsiaTheme="minorEastAsia" w:cs="Calibri"/>
                <w:color w:val="000000"/>
                <w:szCs w:val="16"/>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451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EC2897">
              <w:rPr>
                <w:rFonts w:eastAsiaTheme="minorEastAsia" w:cs="Calibri"/>
                <w:color w:val="000000"/>
                <w:szCs w:val="16"/>
                <w:lang w:eastAsia="en-AU"/>
              </w:rPr>
              <w:t>1 202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ind w:left="0" w:firstLine="0"/>
              <w:jc w:val="right"/>
              <w:rPr>
                <w:rFonts w:eastAsiaTheme="minorEastAsia" w:cs="Calibri"/>
                <w:b/>
                <w:bCs/>
                <w:color w:val="000000"/>
                <w:szCs w:val="16"/>
                <w:lang w:eastAsia="en-AU"/>
              </w:rPr>
            </w:pPr>
            <w:r>
              <w:rPr>
                <w:rFonts w:eastAsiaTheme="minorEastAsia" w:cs="Calibri"/>
                <w:b/>
                <w:bCs/>
                <w:color w:val="000000"/>
                <w:szCs w:val="16"/>
                <w:lang w:eastAsia="en-AU"/>
              </w:rPr>
              <w:t>(1)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4 190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EC2897">
              <w:rPr>
                <w:rFonts w:eastAsiaTheme="minorEastAsia" w:cs="Calibri"/>
                <w:b/>
                <w:bCs/>
                <w:color w:val="000000"/>
                <w:szCs w:val="16"/>
                <w:lang w:eastAsia="en-AU"/>
              </w:rPr>
              <w:t>2 912</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ind w:left="0" w:firstLine="0"/>
              <w:jc w:val="right"/>
              <w:rPr>
                <w:rFonts w:eastAsiaTheme="minorEastAsia" w:cs="Calibri"/>
                <w:bCs/>
                <w:color w:val="000000"/>
                <w:szCs w:val="16"/>
                <w:lang w:eastAsia="en-AU"/>
              </w:rPr>
            </w:pPr>
            <w:r>
              <w:rPr>
                <w:rFonts w:eastAsiaTheme="minorEastAsia" w:cs="Calibri"/>
                <w:bCs/>
                <w:color w:val="000000"/>
                <w:szCs w:val="16"/>
                <w:lang w:eastAsia="en-AU"/>
              </w:rPr>
              <w:t>(1 979)</w:t>
            </w:r>
          </w:p>
        </w:tc>
        <w:tc>
          <w:tcPr>
            <w:tcW w:w="1604"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(783)</w:t>
            </w:r>
          </w:p>
        </w:tc>
        <w:tc>
          <w:tcPr>
            <w:tcW w:w="1604"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462</w:t>
            </w:r>
          </w:p>
        </w:tc>
        <w:tc>
          <w:tcPr>
            <w:tcW w:w="1604"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(377)</w:t>
            </w:r>
          </w:p>
        </w:tc>
        <w:tc>
          <w:tcPr>
            <w:tcW w:w="1604"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(3 436)</w:t>
            </w:r>
          </w:p>
        </w:tc>
        <w:tc>
          <w:tcPr>
            <w:tcW w:w="1604"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(1 267)</w:t>
            </w:r>
          </w:p>
        </w:tc>
      </w:tr>
    </w:tbl>
    <w:p w:rsidR="00BB6F1F" w:rsidRPr="00D42175" w:rsidRDefault="00BB6F1F" w:rsidP="00AC68FF"/>
    <w:p w:rsidR="00BB6F1F" w:rsidRDefault="00BB6F1F" w:rsidP="00AC68FF">
      <w:pPr>
        <w:rPr>
          <w:rFonts w:asciiTheme="majorHAnsi" w:hAnsiTheme="majorHAnsi"/>
          <w:b/>
          <w:spacing w:val="-2"/>
        </w:rPr>
      </w:pPr>
      <w:r>
        <w:br w:type="page"/>
      </w:r>
    </w:p>
    <w:p w:rsidR="00BB6F1F" w:rsidRPr="00EC2897" w:rsidRDefault="00BB6F1F" w:rsidP="00AC68FF">
      <w:pPr>
        <w:pStyle w:val="TableHeading"/>
        <w:rPr>
          <w:bCs/>
          <w:lang w:val="en-US"/>
        </w:rPr>
      </w:pPr>
      <w:r w:rsidRPr="00D42175">
        <w:lastRenderedPageBreak/>
        <w:t xml:space="preserve">Disaggregated balance </w:t>
      </w:r>
      <w:r>
        <w:t>sheet as at 30 June</w:t>
      </w:r>
      <w:r>
        <w:tab/>
        <w:t>($ million)</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5244"/>
        <w:gridCol w:w="992"/>
        <w:gridCol w:w="992"/>
        <w:gridCol w:w="1559"/>
        <w:gridCol w:w="850"/>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iCs/>
                <w:color w:val="FFFFFF"/>
                <w:lang w:eastAsia="en-AU"/>
              </w:rPr>
            </w:pPr>
            <w:r w:rsidRPr="00EC2897">
              <w:rPr>
                <w:rFonts w:eastAsiaTheme="minorEastAsia" w:cs="Calibri"/>
                <w:iCs/>
                <w:color w:val="FFFFFF"/>
                <w:lang w:eastAsia="en-AU"/>
              </w:rPr>
              <w:t xml:space="preserve"> </w:t>
            </w:r>
          </w:p>
        </w:tc>
        <w:tc>
          <w:tcPr>
            <w:tcW w:w="1984"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EC2897">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EC2897">
              <w:rPr>
                <w:rFonts w:eastAsiaTheme="minorEastAsia" w:cs="Calibri"/>
                <w:iCs/>
                <w:color w:val="FFFFFF"/>
                <w:szCs w:val="18"/>
                <w:lang w:eastAsia="en-AU"/>
              </w:rPr>
              <w:t>government sector</w:t>
            </w:r>
          </w:p>
        </w:tc>
        <w:tc>
          <w:tcPr>
            <w:tcW w:w="2404"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EC2897">
              <w:rPr>
                <w:rFonts w:eastAsiaTheme="minorEastAsia" w:cs="Calibri"/>
                <w:iCs/>
                <w:color w:val="FFFFFF"/>
                <w:szCs w:val="18"/>
                <w:lang w:eastAsia="en-AU"/>
              </w:rPr>
              <w:t xml:space="preserve">Public non-financial </w:t>
            </w:r>
            <w:r>
              <w:rPr>
                <w:rFonts w:eastAsiaTheme="minorEastAsia" w:cs="Calibri"/>
                <w:iCs/>
                <w:color w:val="FFFFFF"/>
                <w:szCs w:val="18"/>
                <w:lang w:eastAsia="en-AU"/>
              </w:rPr>
              <w:br/>
            </w:r>
            <w:r w:rsidRPr="00EC2897">
              <w:rPr>
                <w:rFonts w:eastAsiaTheme="minorEastAsia" w:cs="Calibri"/>
                <w:iCs/>
                <w:color w:val="FFFFFF"/>
                <w:szCs w:val="18"/>
                <w:lang w:eastAsia="en-AU"/>
              </w:rPr>
              <w:t>corporations</w:t>
            </w:r>
          </w:p>
        </w:tc>
      </w:tr>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rPr>
                <w:rFonts w:eastAsiaTheme="minorEastAsia" w:cs="Calibri"/>
                <w:iCs/>
                <w:color w:val="FFFFFF"/>
                <w:lang w:eastAsia="en-AU"/>
              </w:rPr>
            </w:pPr>
            <w:r w:rsidRPr="00EC2897">
              <w:rPr>
                <w:rFonts w:eastAsiaTheme="minorEastAsia" w:cs="Calibri"/>
                <w:iCs/>
                <w:color w:val="FFFFFF"/>
                <w:lang w:eastAsia="en-AU"/>
              </w:rPr>
              <w:t xml:space="preserve"> </w:t>
            </w:r>
          </w:p>
        </w:tc>
        <w:tc>
          <w:tcPr>
            <w:tcW w:w="992"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2017</w:t>
            </w:r>
          </w:p>
        </w:tc>
        <w:tc>
          <w:tcPr>
            <w:tcW w:w="992"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2016</w:t>
            </w:r>
          </w:p>
        </w:tc>
        <w:tc>
          <w:tcPr>
            <w:tcW w:w="1559"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2017</w:t>
            </w:r>
          </w:p>
        </w:tc>
        <w:tc>
          <w:tcPr>
            <w:tcW w:w="85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2016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Assets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Financial assets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Cash and deposits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5 530</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4 772</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1 154</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802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Advances paid</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12 939</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4 582</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8 323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Receivables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5 931</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5 566</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1 688</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1 644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Investments, loans and placements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3 673</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2 853</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1 119</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1 052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vertAlign w:val="superscript"/>
                <w:lang w:eastAsia="en-AU"/>
              </w:rPr>
            </w:pPr>
            <w:r w:rsidRPr="00EC2897">
              <w:rPr>
                <w:rFonts w:eastAsiaTheme="minorEastAsia" w:cs="Calibri"/>
                <w:color w:val="000000"/>
                <w:szCs w:val="16"/>
                <w:lang w:eastAsia="en-AU"/>
              </w:rPr>
              <w:t xml:space="preserve">Loans receivable from non-financial public sector </w:t>
            </w:r>
            <w:r w:rsidRPr="00EC2897">
              <w:rPr>
                <w:rFonts w:eastAsiaTheme="minorEastAsia" w:cs="Calibri"/>
                <w:color w:val="000000"/>
                <w:szCs w:val="16"/>
                <w:vertAlign w:val="superscript"/>
                <w:lang w:eastAsia="en-AU"/>
              </w:rPr>
              <w:t>(a)</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Investments accounted for using equity method</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47</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46</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1 651</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1 498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Investments in other sector entities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92 509</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94 710</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Total financial assets</w:t>
            </w:r>
          </w:p>
        </w:tc>
        <w:tc>
          <w:tcPr>
            <w:tcW w:w="992"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120 630</w:t>
            </w:r>
          </w:p>
        </w:tc>
        <w:tc>
          <w:tcPr>
            <w:tcW w:w="992"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112 531</w:t>
            </w:r>
          </w:p>
        </w:tc>
        <w:tc>
          <w:tcPr>
            <w:tcW w:w="1559"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13 934</w:t>
            </w:r>
          </w:p>
        </w:tc>
        <w:tc>
          <w:tcPr>
            <w:tcW w:w="850"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5 043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Non-financial assets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Inventories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173</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188</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498</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522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Non-financial assets held for sale</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405</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188</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27</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Land, buildings, infrastructure, plant and equipment</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121 776</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114 254</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117 030</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112 227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vertAlign w:val="superscript"/>
                <w:lang w:eastAsia="en-AU"/>
              </w:rPr>
            </w:pPr>
            <w:r w:rsidRPr="00EC2897">
              <w:rPr>
                <w:rFonts w:eastAsiaTheme="minorEastAsia" w:cs="Calibri"/>
                <w:color w:val="000000"/>
                <w:szCs w:val="16"/>
                <w:lang w:eastAsia="en-AU"/>
              </w:rPr>
              <w:t xml:space="preserve">Other non-financial assets </w:t>
            </w:r>
            <w:r w:rsidRPr="00EC2897">
              <w:rPr>
                <w:rFonts w:eastAsiaTheme="minorEastAsia" w:cs="Calibri"/>
                <w:color w:val="000000"/>
                <w:szCs w:val="16"/>
                <w:vertAlign w:val="superscript"/>
                <w:lang w:eastAsia="en-AU"/>
              </w:rPr>
              <w:t>(b)</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1 494</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1 184</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1 354</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1 352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Cs w:val="16"/>
                <w:vertAlign w:val="superscript"/>
                <w:lang w:eastAsia="en-AU"/>
              </w:rPr>
            </w:pPr>
            <w:r w:rsidRPr="00EC2897">
              <w:rPr>
                <w:rFonts w:eastAsiaTheme="minorEastAsia" w:cs="Calibri"/>
                <w:b/>
                <w:bCs/>
                <w:color w:val="000000"/>
                <w:szCs w:val="16"/>
                <w:lang w:eastAsia="en-AU"/>
              </w:rPr>
              <w:t xml:space="preserve">Total non-financial assets </w:t>
            </w:r>
            <w:r w:rsidRPr="00EC2897">
              <w:rPr>
                <w:rFonts w:eastAsiaTheme="minorEastAsia" w:cs="Calibri"/>
                <w:b/>
                <w:bCs/>
                <w:color w:val="000000"/>
                <w:szCs w:val="16"/>
                <w:vertAlign w:val="superscript"/>
                <w:lang w:eastAsia="en-AU"/>
              </w:rPr>
              <w:t>(b)</w:t>
            </w:r>
          </w:p>
        </w:tc>
        <w:tc>
          <w:tcPr>
            <w:tcW w:w="992"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123 849</w:t>
            </w:r>
          </w:p>
        </w:tc>
        <w:tc>
          <w:tcPr>
            <w:tcW w:w="992"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115 814</w:t>
            </w:r>
          </w:p>
        </w:tc>
        <w:tc>
          <w:tcPr>
            <w:tcW w:w="1559"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118 909</w:t>
            </w:r>
          </w:p>
        </w:tc>
        <w:tc>
          <w:tcPr>
            <w:tcW w:w="850"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114 112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vertAlign w:val="superscript"/>
                <w:lang w:eastAsia="en-AU"/>
              </w:rPr>
            </w:pPr>
            <w:r w:rsidRPr="00EC2897">
              <w:rPr>
                <w:rFonts w:eastAsiaTheme="minorEastAsia" w:cs="Calibri"/>
                <w:b/>
                <w:bCs/>
                <w:color w:val="000000"/>
                <w:szCs w:val="16"/>
                <w:lang w:eastAsia="en-AU"/>
              </w:rPr>
              <w:t xml:space="preserve">Total assets </w:t>
            </w:r>
            <w:r w:rsidRPr="00EC2897">
              <w:rPr>
                <w:rFonts w:eastAsiaTheme="minorEastAsia" w:cs="Calibri"/>
                <w:b/>
                <w:bCs/>
                <w:color w:val="000000"/>
                <w:szCs w:val="16"/>
                <w:vertAlign w:val="superscript"/>
                <w:lang w:eastAsia="en-AU"/>
              </w:rPr>
              <w:t>(b)</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244 478</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228 345</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132 843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119 155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Liabilities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Deposits held and advances received</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9 088</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706</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8 760</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396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Payables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5 815</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5 773</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10 158</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1 460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Borrowings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28 816</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33 811</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15 925</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15 778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Employee benefits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6 506</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6 137</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421</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414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Superannuation</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24 900</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29 291</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37</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Other provisions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1 326</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829</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8 415</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8 811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Total liabilities</w:t>
            </w:r>
          </w:p>
        </w:tc>
        <w:tc>
          <w:tcPr>
            <w:tcW w:w="992"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76 451</w:t>
            </w:r>
          </w:p>
        </w:tc>
        <w:tc>
          <w:tcPr>
            <w:tcW w:w="992"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76 547</w:t>
            </w:r>
          </w:p>
        </w:tc>
        <w:tc>
          <w:tcPr>
            <w:tcW w:w="1559"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43 717</w:t>
            </w:r>
          </w:p>
        </w:tc>
        <w:tc>
          <w:tcPr>
            <w:tcW w:w="850"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26 922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Cs w:val="16"/>
                <w:vertAlign w:val="superscript"/>
                <w:lang w:eastAsia="en-AU"/>
              </w:rPr>
            </w:pPr>
            <w:r w:rsidRPr="00EC2897">
              <w:rPr>
                <w:rFonts w:eastAsiaTheme="minorEastAsia" w:cs="Calibri"/>
                <w:b/>
                <w:bCs/>
                <w:color w:val="000000"/>
                <w:szCs w:val="16"/>
                <w:lang w:eastAsia="en-AU"/>
              </w:rPr>
              <w:t xml:space="preserve">Net assets </w:t>
            </w:r>
            <w:r w:rsidRPr="00EC2897">
              <w:rPr>
                <w:rFonts w:eastAsiaTheme="minorEastAsia" w:cs="Calibri"/>
                <w:b/>
                <w:bCs/>
                <w:color w:val="000000"/>
                <w:szCs w:val="16"/>
                <w:vertAlign w:val="superscript"/>
                <w:lang w:eastAsia="en-AU"/>
              </w:rPr>
              <w:t>(b)(c)</w:t>
            </w:r>
          </w:p>
        </w:tc>
        <w:tc>
          <w:tcPr>
            <w:tcW w:w="992"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168 027</w:t>
            </w:r>
          </w:p>
        </w:tc>
        <w:tc>
          <w:tcPr>
            <w:tcW w:w="992"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151 798</w:t>
            </w:r>
          </w:p>
        </w:tc>
        <w:tc>
          <w:tcPr>
            <w:tcW w:w="1559"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89 126</w:t>
            </w:r>
          </w:p>
        </w:tc>
        <w:tc>
          <w:tcPr>
            <w:tcW w:w="850"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92 233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vertAlign w:val="superscript"/>
                <w:lang w:eastAsia="en-AU"/>
              </w:rPr>
            </w:pPr>
            <w:r w:rsidRPr="00EC2897">
              <w:rPr>
                <w:rFonts w:eastAsiaTheme="minorEastAsia" w:cs="Calibri"/>
                <w:color w:val="000000"/>
                <w:szCs w:val="16"/>
                <w:lang w:eastAsia="en-AU"/>
              </w:rPr>
              <w:t xml:space="preserve">Accumulated surplus/(deficit) </w:t>
            </w:r>
            <w:r w:rsidRPr="00EC2897">
              <w:rPr>
                <w:rFonts w:eastAsiaTheme="minorEastAsia" w:cs="Calibri"/>
                <w:color w:val="000000"/>
                <w:szCs w:val="16"/>
                <w:vertAlign w:val="superscript"/>
                <w:lang w:eastAsia="en-AU"/>
              </w:rPr>
              <w:t>(b)</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51 464</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44 557</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3 747</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4 397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Reserves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116 563</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107 191</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85 379</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87 836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Non-controlling interest</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50</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Cs w:val="16"/>
                <w:vertAlign w:val="superscript"/>
                <w:lang w:eastAsia="en-AU"/>
              </w:rPr>
            </w:pPr>
            <w:r w:rsidRPr="00EC2897">
              <w:rPr>
                <w:rFonts w:eastAsiaTheme="minorEastAsia" w:cs="Calibri"/>
                <w:b/>
                <w:bCs/>
                <w:color w:val="000000"/>
                <w:szCs w:val="16"/>
                <w:lang w:eastAsia="en-AU"/>
              </w:rPr>
              <w:t xml:space="preserve">Net worth </w:t>
            </w:r>
            <w:r w:rsidRPr="00EC2897">
              <w:rPr>
                <w:rFonts w:eastAsiaTheme="minorEastAsia" w:cs="Calibri"/>
                <w:b/>
                <w:bCs/>
                <w:color w:val="000000"/>
                <w:szCs w:val="16"/>
                <w:vertAlign w:val="superscript"/>
                <w:lang w:eastAsia="en-AU"/>
              </w:rPr>
              <w:t>(b)(c)</w:t>
            </w:r>
          </w:p>
        </w:tc>
        <w:tc>
          <w:tcPr>
            <w:tcW w:w="992"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168 027</w:t>
            </w:r>
          </w:p>
        </w:tc>
        <w:tc>
          <w:tcPr>
            <w:tcW w:w="992"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151 798</w:t>
            </w:r>
          </w:p>
        </w:tc>
        <w:tc>
          <w:tcPr>
            <w:tcW w:w="1559"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89 126</w:t>
            </w:r>
          </w:p>
        </w:tc>
        <w:tc>
          <w:tcPr>
            <w:tcW w:w="850"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92 233</w:t>
            </w:r>
          </w:p>
        </w:tc>
      </w:tr>
      <w:tr w:rsidR="00BB6F1F" w:rsidRPr="00EC2897"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lang w:eastAsia="en-AU"/>
              </w:rPr>
            </w:pPr>
            <w:r w:rsidRPr="00EC2897">
              <w:rPr>
                <w:rFonts w:eastAsiaTheme="minorEastAsia" w:cs="Calibri"/>
                <w:color w:val="000000"/>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16"/>
                <w:lang w:eastAsia="en-AU"/>
              </w:rPr>
            </w:pPr>
            <w:r w:rsidRPr="00EC2897">
              <w:rPr>
                <w:rFonts w:eastAsiaTheme="minorEastAsia" w:cs="Calibri"/>
                <w:b/>
                <w:bCs/>
                <w:color w:val="000000"/>
                <w:szCs w:val="16"/>
                <w:lang w:eastAsia="en-AU"/>
              </w:rPr>
              <w:t>FISCAL AGGREGATES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Net financial worth</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44 178</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35 984</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(29 783)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(21 879)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Net financial liabilities</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48 331</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58 727</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29 783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21 879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single" w:sz="12" w:space="0" w:color="000000"/>
              <w:right w:val="nil"/>
            </w:tcBorders>
          </w:tcPr>
          <w:p w:rsidR="00BB6F1F" w:rsidRPr="00EC2897" w:rsidRDefault="00BB6F1F" w:rsidP="00AC68FF">
            <w:pPr>
              <w:keepLines w:val="0"/>
              <w:autoSpaceDE w:val="0"/>
              <w:autoSpaceDN w:val="0"/>
              <w:adjustRightInd w:val="0"/>
              <w:rPr>
                <w:rFonts w:eastAsiaTheme="minorEastAsia" w:cs="Calibri"/>
                <w:color w:val="000000"/>
                <w:szCs w:val="16"/>
                <w:lang w:eastAsia="en-AU"/>
              </w:rPr>
            </w:pPr>
            <w:r w:rsidRPr="00EC2897">
              <w:rPr>
                <w:rFonts w:eastAsiaTheme="minorEastAsia" w:cs="Calibri"/>
                <w:color w:val="000000"/>
                <w:szCs w:val="16"/>
                <w:lang w:eastAsia="en-AU"/>
              </w:rPr>
              <w:t>Net debt</w:t>
            </w:r>
          </w:p>
        </w:tc>
        <w:tc>
          <w:tcPr>
            <w:tcW w:w="992" w:type="dxa"/>
            <w:tcBorders>
              <w:top w:val="nil"/>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15 762</w:t>
            </w:r>
          </w:p>
        </w:tc>
        <w:tc>
          <w:tcPr>
            <w:tcW w:w="992" w:type="dxa"/>
            <w:tcBorders>
              <w:top w:val="nil"/>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22 309</w:t>
            </w:r>
          </w:p>
        </w:tc>
        <w:tc>
          <w:tcPr>
            <w:tcW w:w="1559" w:type="dxa"/>
            <w:tcBorders>
              <w:top w:val="nil"/>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14 090</w:t>
            </w:r>
          </w:p>
        </w:tc>
        <w:tc>
          <w:tcPr>
            <w:tcW w:w="850" w:type="dxa"/>
            <w:tcBorders>
              <w:top w:val="nil"/>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14 272</w:t>
            </w:r>
          </w:p>
        </w:tc>
      </w:tr>
    </w:tbl>
    <w:p w:rsidR="00BB6F1F" w:rsidRPr="00D42175" w:rsidRDefault="00BB6F1F" w:rsidP="00AC68FF">
      <w:pPr>
        <w:pStyle w:val="Note"/>
      </w:pPr>
      <w:r w:rsidRPr="00D42175">
        <w:t>Notes:</w:t>
      </w:r>
    </w:p>
    <w:p w:rsidR="00BB6F1F" w:rsidRDefault="00BB6F1F" w:rsidP="00AC68FF">
      <w:pPr>
        <w:pStyle w:val="Note"/>
      </w:pPr>
      <w:r>
        <w:t>(a</w:t>
      </w:r>
      <w:r w:rsidRPr="00D42175">
        <w:t>)</w:t>
      </w:r>
      <w:r w:rsidRPr="00D42175">
        <w:tab/>
        <w:t>Loans receivable from the non-financial public sector are reported at amortised cost.</w:t>
      </w:r>
    </w:p>
    <w:p w:rsidR="00BB6F1F" w:rsidRPr="00D42175" w:rsidRDefault="00BB6F1F" w:rsidP="00AC68FF">
      <w:pPr>
        <w:pStyle w:val="Note"/>
      </w:pPr>
      <w:r>
        <w:t xml:space="preserve">(b) </w:t>
      </w:r>
      <w:r>
        <w:tab/>
        <w:t xml:space="preserve">June 2016 </w:t>
      </w:r>
      <w:r w:rsidRPr="00181405">
        <w:t xml:space="preserve">comparative figures have been restated to reflect an adjustment to the Department of Environment, Land, Water and Planning's intangible produced assets and </w:t>
      </w:r>
      <w:r>
        <w:t xml:space="preserve">opening </w:t>
      </w:r>
      <w:r w:rsidRPr="00181405">
        <w:t xml:space="preserve">accumulated </w:t>
      </w:r>
      <w:r>
        <w:t>surplus / (deficit)</w:t>
      </w:r>
      <w:r w:rsidRPr="00181405">
        <w:t xml:space="preserve"> balances due to the </w:t>
      </w:r>
      <w:r>
        <w:t xml:space="preserve">first-time </w:t>
      </w:r>
      <w:r w:rsidRPr="00181405">
        <w:t>recognition of Renewable Energy Certificates.  </w:t>
      </w:r>
    </w:p>
    <w:p w:rsidR="00BB6F1F" w:rsidRPr="00D42175" w:rsidRDefault="00BB6F1F" w:rsidP="00AC68FF">
      <w:pPr>
        <w:pStyle w:val="Note"/>
      </w:pPr>
      <w:r>
        <w:t>(c</w:t>
      </w:r>
      <w:r w:rsidRPr="00D42175">
        <w:t>)</w:t>
      </w:r>
      <w:r w:rsidRPr="00D42175">
        <w:tab/>
        <w:t>The net assets and net worth of the public financial corporations sector incorporates the impact of Treasury Corporation of Victoria’s external loan liabilities being reported at market value while the corresponding assets, that is lending to the non-financial public sector, being reported at amortised cost. This mismatch has contributed to the negative net asset position of the sector.</w:t>
      </w:r>
    </w:p>
    <w:p w:rsidR="00BB6F1F" w:rsidRDefault="00BB6F1F" w:rsidP="00AC68FF">
      <w:pPr>
        <w:rPr>
          <w:rFonts w:asciiTheme="majorHAnsi" w:hAnsiTheme="majorHAnsi"/>
          <w:b/>
          <w:spacing w:val="-2"/>
        </w:rPr>
      </w:pPr>
      <w:r>
        <w:br w:type="page"/>
      </w:r>
    </w:p>
    <w:p w:rsidR="00BB6F1F" w:rsidRPr="00EC2897" w:rsidRDefault="00BB6F1F" w:rsidP="00AC68FF">
      <w:pPr>
        <w:pStyle w:val="TableHeading"/>
        <w:rPr>
          <w:bCs/>
          <w:lang w:val="en-US"/>
        </w:rPr>
      </w:pPr>
    </w:p>
    <w:tbl>
      <w:tblPr>
        <w:tblStyle w:val="DTFTable"/>
        <w:tblW w:w="9624" w:type="dxa"/>
        <w:tblInd w:w="45" w:type="dxa"/>
        <w:tblLayout w:type="fixed"/>
        <w:tblCellMar>
          <w:left w:w="45" w:type="dxa"/>
          <w:right w:w="45" w:type="dxa"/>
        </w:tblCellMar>
        <w:tblLook w:val="06A0" w:firstRow="1" w:lastRow="0" w:firstColumn="1" w:lastColumn="0" w:noHBand="1" w:noVBand="1"/>
      </w:tblPr>
      <w:tblGrid>
        <w:gridCol w:w="1604"/>
        <w:gridCol w:w="1604"/>
        <w:gridCol w:w="1604"/>
        <w:gridCol w:w="1604"/>
        <w:gridCol w:w="1604"/>
        <w:gridCol w:w="1604"/>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8"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center"/>
              <w:rPr>
                <w:rFonts w:eastAsiaTheme="minorEastAsia" w:cs="Calibri"/>
                <w:iCs/>
                <w:color w:val="FFFFFF"/>
                <w:szCs w:val="18"/>
                <w:lang w:eastAsia="en-AU"/>
              </w:rPr>
            </w:pPr>
            <w:r w:rsidRPr="00EC2897">
              <w:rPr>
                <w:rFonts w:eastAsiaTheme="minorEastAsia" w:cs="Calibri"/>
                <w:iCs/>
                <w:color w:val="FFFFFF"/>
                <w:szCs w:val="18"/>
                <w:lang w:eastAsia="en-AU"/>
              </w:rPr>
              <w:t xml:space="preserve">Public financial </w:t>
            </w:r>
            <w:r>
              <w:rPr>
                <w:rFonts w:eastAsiaTheme="minorEastAsia" w:cs="Calibri"/>
                <w:iCs/>
                <w:color w:val="FFFFFF"/>
                <w:szCs w:val="18"/>
                <w:lang w:eastAsia="en-AU"/>
              </w:rPr>
              <w:br/>
            </w:r>
            <w:r w:rsidRPr="00EC2897">
              <w:rPr>
                <w:rFonts w:eastAsiaTheme="minorEastAsia" w:cs="Calibri"/>
                <w:iCs/>
                <w:color w:val="FFFFFF"/>
                <w:szCs w:val="18"/>
                <w:lang w:eastAsia="en-AU"/>
              </w:rPr>
              <w:t>corporations</w:t>
            </w:r>
          </w:p>
        </w:tc>
        <w:tc>
          <w:tcPr>
            <w:tcW w:w="3208"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EC2897">
              <w:rPr>
                <w:rFonts w:eastAsiaTheme="minorEastAsia" w:cs="Calibri"/>
                <w:iCs/>
                <w:color w:val="FFFFFF"/>
                <w:szCs w:val="18"/>
                <w:lang w:eastAsia="en-AU"/>
              </w:rPr>
              <w:t xml:space="preserve">Inter-sector </w:t>
            </w:r>
            <w:r>
              <w:rPr>
                <w:rFonts w:eastAsiaTheme="minorEastAsia" w:cs="Calibri"/>
                <w:iCs/>
                <w:color w:val="FFFFFF"/>
                <w:szCs w:val="18"/>
                <w:lang w:eastAsia="en-AU"/>
              </w:rPr>
              <w:br/>
            </w:r>
            <w:r w:rsidRPr="00EC2897">
              <w:rPr>
                <w:rFonts w:eastAsiaTheme="minorEastAsia" w:cs="Calibri"/>
                <w:iCs/>
                <w:color w:val="FFFFFF"/>
                <w:szCs w:val="18"/>
                <w:lang w:eastAsia="en-AU"/>
              </w:rPr>
              <w:t>eliminations</w:t>
            </w:r>
          </w:p>
        </w:tc>
        <w:tc>
          <w:tcPr>
            <w:tcW w:w="3208"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EC2897">
              <w:rPr>
                <w:rFonts w:eastAsiaTheme="minorEastAsia" w:cs="Calibri"/>
                <w:iCs/>
                <w:color w:val="FFFFFF"/>
                <w:szCs w:val="18"/>
                <w:lang w:eastAsia="en-AU"/>
              </w:rPr>
              <w:t xml:space="preserve">State of </w:t>
            </w:r>
            <w:r>
              <w:rPr>
                <w:rFonts w:eastAsiaTheme="minorEastAsia" w:cs="Calibri"/>
                <w:iCs/>
                <w:color w:val="FFFFFF"/>
                <w:szCs w:val="18"/>
                <w:lang w:eastAsia="en-AU"/>
              </w:rPr>
              <w:br/>
            </w:r>
            <w:r w:rsidRPr="00EC2897">
              <w:rPr>
                <w:rFonts w:eastAsiaTheme="minorEastAsia" w:cs="Calibri"/>
                <w:iCs/>
                <w:color w:val="FFFFFF"/>
                <w:szCs w:val="18"/>
                <w:lang w:eastAsia="en-AU"/>
              </w:rPr>
              <w:t>Victoria</w:t>
            </w:r>
          </w:p>
        </w:tc>
      </w:tr>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right"/>
              <w:rPr>
                <w:rFonts w:eastAsiaTheme="minorEastAsia" w:cs="Calibri"/>
                <w:iCs/>
                <w:color w:val="FFFFFF"/>
                <w:szCs w:val="16"/>
                <w:lang w:eastAsia="en-AU"/>
              </w:rPr>
            </w:pPr>
            <w:r w:rsidRPr="00EC2897">
              <w:rPr>
                <w:rFonts w:eastAsiaTheme="minorEastAsia" w:cs="Calibri"/>
                <w:iCs/>
                <w:color w:val="FFFFFF"/>
                <w:szCs w:val="16"/>
                <w:lang w:eastAsia="en-AU"/>
              </w:rPr>
              <w:t>2017</w:t>
            </w:r>
          </w:p>
        </w:tc>
        <w:tc>
          <w:tcPr>
            <w:tcW w:w="160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2016</w:t>
            </w:r>
          </w:p>
        </w:tc>
        <w:tc>
          <w:tcPr>
            <w:tcW w:w="160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2017</w:t>
            </w:r>
          </w:p>
        </w:tc>
        <w:tc>
          <w:tcPr>
            <w:tcW w:w="160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2016</w:t>
            </w:r>
          </w:p>
        </w:tc>
        <w:tc>
          <w:tcPr>
            <w:tcW w:w="160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2017</w:t>
            </w:r>
          </w:p>
        </w:tc>
        <w:tc>
          <w:tcPr>
            <w:tcW w:w="160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EC2897">
              <w:rPr>
                <w:rFonts w:eastAsiaTheme="minorEastAsia" w:cs="Calibri"/>
                <w:iCs/>
                <w:color w:val="FFFFFF"/>
                <w:szCs w:val="16"/>
                <w:lang w:eastAsia="en-AU"/>
              </w:rPr>
              <w:t>2016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sidRPr="00EC2897">
              <w:rPr>
                <w:rFonts w:eastAsiaTheme="minorEastAsia" w:cs="Calibri"/>
                <w:color w:val="000000"/>
                <w:szCs w:val="18"/>
                <w:lang w:eastAsia="en-AU"/>
              </w:rPr>
              <w:t>4 229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4 654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(5 043)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(3 552)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5 869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6 676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Pr>
                <w:rFonts w:eastAsiaTheme="minorEastAsia" w:cs="Calibri"/>
                <w:color w:val="000000"/>
                <w:szCs w:val="18"/>
                <w:lang w:eastAsia="en-AU"/>
              </w:rPr>
              <w:t>17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(20 999)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(4 491)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sidRPr="00EC2897">
              <w:rPr>
                <w:rFonts w:eastAsiaTheme="minorEastAsia" w:cs="Calibri"/>
                <w:color w:val="000000"/>
                <w:szCs w:val="18"/>
                <w:lang w:eastAsia="en-AU"/>
              </w:rPr>
              <w:t>1 516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1 943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(1 097)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(1 361)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8 038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7 793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sidRPr="00EC2897">
              <w:rPr>
                <w:rFonts w:eastAsiaTheme="minorEastAsia" w:cs="Calibri"/>
                <w:color w:val="000000"/>
                <w:szCs w:val="18"/>
                <w:lang w:eastAsia="en-AU"/>
              </w:rPr>
              <w:t>40 182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33 317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(2 168)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(1 689)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42 806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35 534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sidRPr="00EC2897">
              <w:rPr>
                <w:rFonts w:eastAsiaTheme="minorEastAsia" w:cs="Calibri"/>
                <w:color w:val="000000"/>
                <w:szCs w:val="18"/>
                <w:lang w:eastAsia="en-AU"/>
              </w:rPr>
              <w:t>29 695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35 169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(29 695)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(35 169)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488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374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2 187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1 918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(92 509)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(94 710)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jc w:val="right"/>
              <w:rPr>
                <w:rFonts w:eastAsiaTheme="minorEastAsia" w:cs="Calibri"/>
                <w:b/>
                <w:bCs/>
                <w:color w:val="000000"/>
                <w:szCs w:val="18"/>
                <w:lang w:eastAsia="en-AU"/>
              </w:rPr>
            </w:pPr>
            <w:r w:rsidRPr="00EC2897">
              <w:rPr>
                <w:rFonts w:eastAsiaTheme="minorEastAsia" w:cs="Calibri"/>
                <w:b/>
                <w:bCs/>
                <w:color w:val="000000"/>
                <w:szCs w:val="18"/>
                <w:lang w:eastAsia="en-AU"/>
              </w:rPr>
              <w:t>75 640</w:t>
            </w:r>
          </w:p>
        </w:tc>
        <w:tc>
          <w:tcPr>
            <w:tcW w:w="1604"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75 097</w:t>
            </w:r>
          </w:p>
        </w:tc>
        <w:tc>
          <w:tcPr>
            <w:tcW w:w="1604"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(151 023)</w:t>
            </w:r>
          </w:p>
        </w:tc>
        <w:tc>
          <w:tcPr>
            <w:tcW w:w="1604"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(140 597)</w:t>
            </w:r>
          </w:p>
        </w:tc>
        <w:tc>
          <w:tcPr>
            <w:tcW w:w="1604"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59 180</w:t>
            </w:r>
          </w:p>
        </w:tc>
        <w:tc>
          <w:tcPr>
            <w:tcW w:w="1604"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52 074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671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709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432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Pr>
                <w:rFonts w:eastAsiaTheme="minorEastAsia" w:cs="Calibri"/>
                <w:color w:val="000000"/>
                <w:szCs w:val="18"/>
                <w:lang w:eastAsia="en-AU"/>
              </w:rPr>
              <w:t>80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238 886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226 557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Pr>
                <w:rFonts w:eastAsiaTheme="minorEastAsia" w:cs="Calibri"/>
                <w:color w:val="000000"/>
                <w:szCs w:val="18"/>
                <w:lang w:eastAsia="en-AU"/>
              </w:rPr>
              <w:t>780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1 645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(980)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(1 715)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2 648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2 466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jc w:val="right"/>
              <w:rPr>
                <w:rFonts w:eastAsiaTheme="minorEastAsia" w:cs="Calibri"/>
                <w:b/>
                <w:bCs/>
                <w:color w:val="000000"/>
                <w:szCs w:val="18"/>
                <w:lang w:eastAsia="en-AU"/>
              </w:rPr>
            </w:pPr>
            <w:r>
              <w:rPr>
                <w:rFonts w:eastAsiaTheme="minorEastAsia" w:cs="Calibri"/>
                <w:b/>
                <w:bCs/>
                <w:color w:val="000000"/>
                <w:szCs w:val="18"/>
                <w:lang w:eastAsia="en-AU"/>
              </w:rPr>
              <w:t>860</w:t>
            </w:r>
          </w:p>
        </w:tc>
        <w:tc>
          <w:tcPr>
            <w:tcW w:w="1604"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1 721</w:t>
            </w:r>
          </w:p>
        </w:tc>
        <w:tc>
          <w:tcPr>
            <w:tcW w:w="1604"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(980)</w:t>
            </w:r>
          </w:p>
        </w:tc>
        <w:tc>
          <w:tcPr>
            <w:tcW w:w="1604"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(1 715)</w:t>
            </w:r>
          </w:p>
        </w:tc>
        <w:tc>
          <w:tcPr>
            <w:tcW w:w="1604"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242 637</w:t>
            </w:r>
          </w:p>
        </w:tc>
        <w:tc>
          <w:tcPr>
            <w:tcW w:w="1604" w:type="dxa"/>
            <w:tcBorders>
              <w:top w:val="single" w:sz="6" w:space="0" w:color="000000"/>
              <w:left w:val="nil"/>
              <w:bottom w:val="single" w:sz="6"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229 932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b/>
                <w:bCs/>
                <w:color w:val="000000"/>
                <w:szCs w:val="18"/>
                <w:lang w:eastAsia="en-AU"/>
              </w:rPr>
            </w:pPr>
            <w:r w:rsidRPr="00EC2897">
              <w:rPr>
                <w:rFonts w:eastAsiaTheme="minorEastAsia" w:cs="Calibri"/>
                <w:b/>
                <w:bCs/>
                <w:color w:val="000000"/>
                <w:szCs w:val="18"/>
                <w:lang w:eastAsia="en-AU"/>
              </w:rPr>
              <w:t>76 499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76 818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(152 004)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(142 312)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301 818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282 006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sidRPr="00EC2897">
              <w:rPr>
                <w:rFonts w:eastAsiaTheme="minorEastAsia" w:cs="Calibri"/>
                <w:color w:val="000000"/>
                <w:szCs w:val="18"/>
                <w:lang w:eastAsia="en-AU"/>
              </w:rPr>
              <w:t>7 363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6 647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(23 270)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(5 122)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1 940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2 628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sidRPr="00EC2897">
              <w:rPr>
                <w:rFonts w:eastAsiaTheme="minorEastAsia" w:cs="Calibri"/>
                <w:color w:val="000000"/>
                <w:szCs w:val="18"/>
                <w:lang w:eastAsia="en-AU"/>
              </w:rPr>
              <w:t>1 920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1 629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(659)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(925)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17 233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7 937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sidRPr="00EC2897">
              <w:rPr>
                <w:rFonts w:eastAsiaTheme="minorEastAsia" w:cs="Calibri"/>
                <w:color w:val="000000"/>
                <w:szCs w:val="18"/>
                <w:lang w:eastAsia="en-AU"/>
              </w:rPr>
              <w:t>38 776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44 184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(34 670)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(39 813)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48 847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53 959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Pr>
                <w:rFonts w:eastAsiaTheme="minorEastAsia" w:cs="Calibri"/>
                <w:color w:val="000000"/>
                <w:szCs w:val="18"/>
                <w:lang w:eastAsia="en-AU"/>
              </w:rPr>
              <w:t>106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7 034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6 647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24 938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29 354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sidRPr="00EC2897">
              <w:rPr>
                <w:rFonts w:eastAsiaTheme="minorEastAsia" w:cs="Calibri"/>
                <w:color w:val="000000"/>
                <w:szCs w:val="18"/>
                <w:lang w:eastAsia="en-AU"/>
              </w:rPr>
              <w:t>28 122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28 040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(8 271)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(8 594)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29 592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29 085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b/>
                <w:bCs/>
                <w:color w:val="000000"/>
                <w:szCs w:val="18"/>
                <w:lang w:eastAsia="en-AU"/>
              </w:rPr>
            </w:pPr>
            <w:r w:rsidRPr="00EC2897">
              <w:rPr>
                <w:rFonts w:eastAsiaTheme="minorEastAsia" w:cs="Calibri"/>
                <w:b/>
                <w:bCs/>
                <w:color w:val="000000"/>
                <w:szCs w:val="18"/>
                <w:lang w:eastAsia="en-AU"/>
              </w:rPr>
              <w:t>76 287</w:t>
            </w:r>
          </w:p>
        </w:tc>
        <w:tc>
          <w:tcPr>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80 596</w:t>
            </w:r>
          </w:p>
        </w:tc>
        <w:tc>
          <w:tcPr>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(66 871)</w:t>
            </w:r>
          </w:p>
        </w:tc>
        <w:tc>
          <w:tcPr>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(54 454)</w:t>
            </w:r>
          </w:p>
        </w:tc>
        <w:tc>
          <w:tcPr>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129 584</w:t>
            </w:r>
          </w:p>
        </w:tc>
        <w:tc>
          <w:tcPr>
            <w:tcW w:w="160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129 611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jc w:val="right"/>
              <w:rPr>
                <w:rFonts w:eastAsiaTheme="minorEastAsia" w:cs="Calibri"/>
                <w:b/>
                <w:bCs/>
                <w:color w:val="000000"/>
                <w:szCs w:val="18"/>
                <w:lang w:eastAsia="en-AU"/>
              </w:rPr>
            </w:pPr>
            <w:r>
              <w:rPr>
                <w:rFonts w:eastAsiaTheme="minorEastAsia" w:cs="Calibri"/>
                <w:b/>
                <w:bCs/>
                <w:color w:val="000000"/>
                <w:szCs w:val="18"/>
                <w:lang w:eastAsia="en-AU"/>
              </w:rPr>
              <w:t>213</w:t>
            </w:r>
          </w:p>
        </w:tc>
        <w:tc>
          <w:tcPr>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(3 778)</w:t>
            </w:r>
          </w:p>
        </w:tc>
        <w:tc>
          <w:tcPr>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(85 133)</w:t>
            </w:r>
          </w:p>
        </w:tc>
        <w:tc>
          <w:tcPr>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(87 858)</w:t>
            </w:r>
          </w:p>
        </w:tc>
        <w:tc>
          <w:tcPr>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172 234</w:t>
            </w:r>
          </w:p>
        </w:tc>
        <w:tc>
          <w:tcPr>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152 395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Pr>
                <w:rFonts w:eastAsiaTheme="minorEastAsia" w:cs="Calibri"/>
                <w:color w:val="000000"/>
                <w:szCs w:val="18"/>
                <w:lang w:eastAsia="en-AU"/>
              </w:rPr>
              <w:t>143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(3 849)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19 783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11 232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75 137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56 337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Pr>
                <w:rFonts w:eastAsiaTheme="minorEastAsia" w:cs="Calibri"/>
                <w:color w:val="000000"/>
                <w:szCs w:val="18"/>
                <w:lang w:eastAsia="en-AU"/>
              </w:rPr>
              <w:t>70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(104 915)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(99 090)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97 096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96 008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jc w:val="right"/>
              <w:rPr>
                <w:rFonts w:eastAsiaTheme="minorEastAsia" w:cs="Calibri"/>
                <w:b/>
                <w:bCs/>
                <w:color w:val="000000"/>
                <w:szCs w:val="18"/>
                <w:lang w:eastAsia="en-AU"/>
              </w:rPr>
            </w:pPr>
            <w:r>
              <w:rPr>
                <w:rFonts w:eastAsiaTheme="minorEastAsia" w:cs="Calibri"/>
                <w:b/>
                <w:bCs/>
                <w:color w:val="000000"/>
                <w:szCs w:val="18"/>
                <w:lang w:eastAsia="en-AU"/>
              </w:rPr>
              <w:t>213</w:t>
            </w:r>
          </w:p>
        </w:tc>
        <w:tc>
          <w:tcPr>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(3 778)</w:t>
            </w:r>
          </w:p>
        </w:tc>
        <w:tc>
          <w:tcPr>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(85 133)</w:t>
            </w:r>
          </w:p>
        </w:tc>
        <w:tc>
          <w:tcPr>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(87 858)</w:t>
            </w:r>
          </w:p>
        </w:tc>
        <w:tc>
          <w:tcPr>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172 234</w:t>
            </w:r>
          </w:p>
        </w:tc>
        <w:tc>
          <w:tcPr>
            <w:tcW w:w="160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152 395</w:t>
            </w:r>
          </w:p>
        </w:tc>
      </w:tr>
      <w:tr w:rsidR="00BB6F1F" w:rsidRPr="00EC2897"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lang w:eastAsia="en-AU"/>
              </w:rPr>
            </w:pPr>
            <w:r w:rsidRPr="00EC2897">
              <w:rPr>
                <w:rFonts w:eastAsiaTheme="minorEastAsia" w:cs="Calibri"/>
                <w:color w:val="000000"/>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EC2897">
              <w:rPr>
                <w:rFonts w:eastAsiaTheme="minorEastAsia" w:cs="Calibri"/>
                <w:b/>
                <w:bCs/>
                <w:color w:val="000000"/>
                <w:szCs w:val="18"/>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Pr>
                <w:rFonts w:eastAsiaTheme="minorEastAsia" w:cs="Calibri"/>
                <w:color w:val="000000"/>
                <w:szCs w:val="18"/>
                <w:lang w:eastAsia="en-AU"/>
              </w:rPr>
              <w:t>(647)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(5 499)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(84 152)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(86 143)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(70 404)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(77 538)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Pr>
                <w:rFonts w:eastAsiaTheme="minorEastAsia" w:cs="Calibri"/>
                <w:color w:val="000000"/>
                <w:szCs w:val="18"/>
                <w:lang w:eastAsia="en-AU"/>
              </w:rPr>
              <w:t>647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5 499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(8 357)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(8 567)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70 404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77 538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single" w:sz="12" w:space="0" w:color="000000"/>
              <w:right w:val="nil"/>
            </w:tcBorders>
          </w:tcPr>
          <w:p w:rsidR="00BB6F1F" w:rsidRPr="00EC2897" w:rsidRDefault="00BB6F1F" w:rsidP="00AC68FF">
            <w:pPr>
              <w:keepLines w:val="0"/>
              <w:autoSpaceDE w:val="0"/>
              <w:autoSpaceDN w:val="0"/>
              <w:adjustRightInd w:val="0"/>
              <w:jc w:val="right"/>
              <w:rPr>
                <w:rFonts w:eastAsiaTheme="minorEastAsia" w:cs="Calibri"/>
                <w:color w:val="000000"/>
                <w:szCs w:val="18"/>
                <w:lang w:eastAsia="en-AU"/>
              </w:rPr>
            </w:pPr>
            <w:r>
              <w:rPr>
                <w:rFonts w:eastAsiaTheme="minorEastAsia" w:cs="Calibri"/>
                <w:color w:val="000000"/>
                <w:szCs w:val="18"/>
                <w:lang w:eastAsia="en-AU"/>
              </w:rPr>
              <w:t>(27 985)</w:t>
            </w:r>
          </w:p>
        </w:tc>
        <w:tc>
          <w:tcPr>
            <w:tcW w:w="1604" w:type="dxa"/>
            <w:tcBorders>
              <w:top w:val="nil"/>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(22 322)</w:t>
            </w:r>
          </w:p>
        </w:tc>
        <w:tc>
          <w:tcPr>
            <w:tcW w:w="1604" w:type="dxa"/>
            <w:tcBorders>
              <w:top w:val="nil"/>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(35)</w:t>
            </w:r>
          </w:p>
        </w:tc>
        <w:tc>
          <w:tcPr>
            <w:tcW w:w="1604" w:type="dxa"/>
            <w:tcBorders>
              <w:top w:val="nil"/>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(35)</w:t>
            </w:r>
          </w:p>
        </w:tc>
        <w:tc>
          <w:tcPr>
            <w:tcW w:w="1604" w:type="dxa"/>
            <w:tcBorders>
              <w:top w:val="nil"/>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1 833</w:t>
            </w:r>
          </w:p>
        </w:tc>
        <w:tc>
          <w:tcPr>
            <w:tcW w:w="1604" w:type="dxa"/>
            <w:tcBorders>
              <w:top w:val="nil"/>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EC2897">
              <w:rPr>
                <w:rFonts w:eastAsiaTheme="minorEastAsia" w:cs="Calibri"/>
                <w:color w:val="000000"/>
                <w:szCs w:val="18"/>
                <w:lang w:eastAsia="en-AU"/>
              </w:rPr>
              <w:t>14 224</w:t>
            </w:r>
          </w:p>
        </w:tc>
      </w:tr>
    </w:tbl>
    <w:p w:rsidR="00BB6F1F" w:rsidRPr="001976DE" w:rsidRDefault="00BB6F1F" w:rsidP="00AC68FF"/>
    <w:p w:rsidR="00BB6F1F" w:rsidRDefault="00BB6F1F" w:rsidP="00AC68FF">
      <w:pPr>
        <w:rPr>
          <w:rFonts w:asciiTheme="majorHAnsi" w:eastAsiaTheme="majorEastAsia" w:hAnsiTheme="majorHAnsi" w:cstheme="majorBidi"/>
          <w:b/>
          <w:bCs/>
          <w:spacing w:val="-2"/>
          <w:szCs w:val="26"/>
        </w:rPr>
      </w:pPr>
      <w:r>
        <w:br w:type="page"/>
      </w:r>
    </w:p>
    <w:p w:rsidR="00BB6F1F" w:rsidRPr="00EC2897" w:rsidRDefault="00BB6F1F" w:rsidP="00AC68FF">
      <w:pPr>
        <w:pStyle w:val="TableHeading"/>
        <w:rPr>
          <w:bCs/>
          <w:lang w:val="en-US"/>
        </w:rPr>
      </w:pPr>
      <w:r w:rsidRPr="00D42175">
        <w:lastRenderedPageBreak/>
        <w:t>Disaggregated cash flow statement for the financial year ended 30 June</w:t>
      </w:r>
      <w:r w:rsidRPr="00D42175">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811"/>
        <w:gridCol w:w="283"/>
        <w:gridCol w:w="709"/>
        <w:gridCol w:w="992"/>
        <w:gridCol w:w="992"/>
        <w:gridCol w:w="850"/>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shd w:val="solid" w:color="000000" w:fill="auto"/>
          </w:tcPr>
          <w:p w:rsidR="00BB6F1F" w:rsidRPr="00EC2897" w:rsidRDefault="00BB6F1F" w:rsidP="00AC68FF">
            <w:pPr>
              <w:autoSpaceDE w:val="0"/>
              <w:autoSpaceDN w:val="0"/>
              <w:adjustRightInd w:val="0"/>
              <w:spacing w:before="12" w:after="0"/>
              <w:rPr>
                <w:rFonts w:eastAsiaTheme="minorEastAsia" w:cs="Calibri"/>
                <w:iCs/>
                <w:color w:val="FFFFFF"/>
                <w:sz w:val="16"/>
                <w:lang w:eastAsia="en-AU"/>
              </w:rPr>
            </w:pPr>
            <w:r w:rsidRPr="00EC2897">
              <w:rPr>
                <w:rFonts w:eastAsiaTheme="minorEastAsia" w:cs="Calibri"/>
                <w:iCs/>
                <w:color w:val="FFFFFF"/>
                <w:sz w:val="16"/>
                <w:lang w:eastAsia="en-AU"/>
              </w:rPr>
              <w:t xml:space="preserve"> </w:t>
            </w:r>
          </w:p>
        </w:tc>
        <w:tc>
          <w:tcPr>
            <w:tcW w:w="1984" w:type="dxa"/>
            <w:gridSpan w:val="3"/>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spacing w:before="12" w:after="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lang w:eastAsia="en-AU"/>
              </w:rPr>
            </w:pPr>
            <w:r w:rsidRPr="00EC2897">
              <w:rPr>
                <w:rFonts w:eastAsiaTheme="minorEastAsia" w:cs="Calibri"/>
                <w:iCs/>
                <w:color w:val="FFFFFF"/>
                <w:sz w:val="16"/>
                <w:lang w:eastAsia="en-AU"/>
              </w:rPr>
              <w:t xml:space="preserve">General </w:t>
            </w:r>
            <w:r>
              <w:rPr>
                <w:rFonts w:eastAsiaTheme="minorEastAsia" w:cs="Calibri"/>
                <w:iCs/>
                <w:color w:val="FFFFFF"/>
                <w:sz w:val="16"/>
                <w:lang w:eastAsia="en-AU"/>
              </w:rPr>
              <w:br/>
            </w:r>
            <w:r w:rsidRPr="00EC2897">
              <w:rPr>
                <w:rFonts w:eastAsiaTheme="minorEastAsia" w:cs="Calibri"/>
                <w:iCs/>
                <w:color w:val="FFFFFF"/>
                <w:sz w:val="16"/>
                <w:lang w:eastAsia="en-AU"/>
              </w:rPr>
              <w:t>government sector</w:t>
            </w:r>
          </w:p>
        </w:tc>
        <w:tc>
          <w:tcPr>
            <w:tcW w:w="1842"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spacing w:before="12" w:after="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lang w:eastAsia="en-AU"/>
              </w:rPr>
            </w:pPr>
            <w:r w:rsidRPr="00EC2897">
              <w:rPr>
                <w:rFonts w:eastAsiaTheme="minorEastAsia" w:cs="Calibri"/>
                <w:iCs/>
                <w:color w:val="FFFFFF"/>
                <w:sz w:val="16"/>
                <w:lang w:eastAsia="en-AU"/>
              </w:rPr>
              <w:t xml:space="preserve">Public non-financial </w:t>
            </w:r>
            <w:r>
              <w:rPr>
                <w:rFonts w:eastAsiaTheme="minorEastAsia" w:cs="Calibri"/>
                <w:iCs/>
                <w:color w:val="FFFFFF"/>
                <w:sz w:val="16"/>
                <w:lang w:eastAsia="en-AU"/>
              </w:rPr>
              <w:br/>
            </w:r>
            <w:r w:rsidRPr="00EC2897">
              <w:rPr>
                <w:rFonts w:eastAsiaTheme="minorEastAsia" w:cs="Calibri"/>
                <w:iCs/>
                <w:color w:val="FFFFFF"/>
                <w:sz w:val="16"/>
                <w:lang w:eastAsia="en-AU"/>
              </w:rPr>
              <w:t>corporations</w:t>
            </w:r>
          </w:p>
        </w:tc>
      </w:tr>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spacing w:before="12" w:after="0"/>
              <w:rPr>
                <w:rFonts w:eastAsiaTheme="minorEastAsia" w:cs="Calibri"/>
                <w:iCs/>
                <w:color w:val="FFFFFF"/>
                <w:sz w:val="16"/>
                <w:lang w:eastAsia="en-AU"/>
              </w:rPr>
            </w:pPr>
            <w:r w:rsidRPr="00EC2897">
              <w:rPr>
                <w:rFonts w:eastAsiaTheme="minorEastAsia" w:cs="Calibri"/>
                <w:iCs/>
                <w:color w:val="FFFFFF"/>
                <w:sz w:val="16"/>
                <w:lang w:eastAsia="en-AU"/>
              </w:rPr>
              <w:t xml:space="preserve"> </w:t>
            </w:r>
          </w:p>
        </w:tc>
        <w:tc>
          <w:tcPr>
            <w:tcW w:w="992"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spacing w:before="12"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lang w:eastAsia="en-AU"/>
              </w:rPr>
            </w:pPr>
            <w:r w:rsidRPr="00EC2897">
              <w:rPr>
                <w:rFonts w:eastAsiaTheme="minorEastAsia" w:cs="Calibri"/>
                <w:iCs/>
                <w:color w:val="FFFFFF"/>
                <w:sz w:val="16"/>
                <w:lang w:eastAsia="en-AU"/>
              </w:rPr>
              <w:t>2017</w:t>
            </w:r>
          </w:p>
        </w:tc>
        <w:tc>
          <w:tcPr>
            <w:tcW w:w="992"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spacing w:before="12"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lang w:eastAsia="en-AU"/>
              </w:rPr>
            </w:pPr>
            <w:r w:rsidRPr="00EC2897">
              <w:rPr>
                <w:rFonts w:eastAsiaTheme="minorEastAsia" w:cs="Calibri"/>
                <w:iCs/>
                <w:color w:val="FFFFFF"/>
                <w:sz w:val="16"/>
                <w:lang w:eastAsia="en-AU"/>
              </w:rPr>
              <w:t>2016</w:t>
            </w:r>
          </w:p>
        </w:tc>
        <w:tc>
          <w:tcPr>
            <w:tcW w:w="992"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spacing w:before="12"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lang w:eastAsia="en-AU"/>
              </w:rPr>
            </w:pPr>
            <w:r w:rsidRPr="00EC2897">
              <w:rPr>
                <w:rFonts w:eastAsiaTheme="minorEastAsia" w:cs="Calibri"/>
                <w:iCs/>
                <w:color w:val="FFFFFF"/>
                <w:sz w:val="16"/>
                <w:lang w:eastAsia="en-AU"/>
              </w:rPr>
              <w:t>2017</w:t>
            </w:r>
          </w:p>
        </w:tc>
        <w:tc>
          <w:tcPr>
            <w:tcW w:w="85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spacing w:before="12"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lang w:eastAsia="en-AU"/>
              </w:rPr>
            </w:pPr>
            <w:r w:rsidRPr="00EC2897">
              <w:rPr>
                <w:rFonts w:eastAsiaTheme="minorEastAsia" w:cs="Calibri"/>
                <w:iCs/>
                <w:color w:val="FFFFFF"/>
                <w:sz w:val="16"/>
                <w:lang w:eastAsia="en-AU"/>
              </w:rPr>
              <w:t>2016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b/>
                <w:bCs/>
                <w:color w:val="000000"/>
                <w:sz w:val="16"/>
                <w:lang w:eastAsia="en-AU"/>
              </w:rPr>
            </w:pPr>
            <w:r w:rsidRPr="00EC2897">
              <w:rPr>
                <w:rFonts w:eastAsiaTheme="minorEastAsia" w:cs="Calibri"/>
                <w:b/>
                <w:bCs/>
                <w:color w:val="000000"/>
                <w:sz w:val="16"/>
                <w:lang w:eastAsia="en-AU"/>
              </w:rPr>
              <w:t>Cash flows from operating activities</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jc w:val="center"/>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EC2897">
              <w:rPr>
                <w:rFonts w:eastAsiaTheme="minorEastAsia" w:cs="Calibri"/>
                <w:i/>
                <w:iCs/>
                <w:color w:val="000000"/>
                <w:sz w:val="16"/>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center"/>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EC2897">
              <w:rPr>
                <w:rFonts w:eastAsiaTheme="minorEastAsia" w:cs="Calibri"/>
                <w:i/>
                <w:iCs/>
                <w:color w:val="000000"/>
                <w:sz w:val="16"/>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b/>
                <w:bCs/>
                <w:color w:val="000000"/>
                <w:sz w:val="16"/>
                <w:lang w:eastAsia="en-AU"/>
              </w:rPr>
            </w:pPr>
            <w:r w:rsidRPr="00EC2897">
              <w:rPr>
                <w:rFonts w:eastAsiaTheme="minorEastAsia" w:cs="Calibri"/>
                <w:b/>
                <w:bCs/>
                <w:color w:val="000000"/>
                <w:sz w:val="16"/>
                <w:lang w:eastAsia="en-AU"/>
              </w:rPr>
              <w:t>Receipts</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jc w:val="center"/>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EC2897">
              <w:rPr>
                <w:rFonts w:eastAsiaTheme="minorEastAsia" w:cs="Calibri"/>
                <w:i/>
                <w:iCs/>
                <w:color w:val="000000"/>
                <w:sz w:val="16"/>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center"/>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EC2897">
              <w:rPr>
                <w:rFonts w:eastAsiaTheme="minorEastAsia" w:cs="Calibri"/>
                <w:i/>
                <w:iCs/>
                <w:color w:val="000000"/>
                <w:sz w:val="16"/>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Taxes received</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21 786</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19 775</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Grants</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27 542</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25 375</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3 312</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3 072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vertAlign w:val="superscript"/>
                <w:lang w:eastAsia="en-AU"/>
              </w:rPr>
            </w:pPr>
            <w:r w:rsidRPr="00EC2897">
              <w:rPr>
                <w:rFonts w:eastAsiaTheme="minorEastAsia" w:cs="Calibri"/>
                <w:color w:val="000000"/>
                <w:sz w:val="16"/>
                <w:lang w:eastAsia="en-AU"/>
              </w:rPr>
              <w:t xml:space="preserve">Sales of goods and services </w:t>
            </w:r>
            <w:r w:rsidRPr="00EC2897">
              <w:rPr>
                <w:rFonts w:eastAsiaTheme="minorEastAsia" w:cs="Calibri"/>
                <w:color w:val="000000"/>
                <w:sz w:val="16"/>
                <w:vertAlign w:val="superscript"/>
                <w:lang w:eastAsia="en-AU"/>
              </w:rPr>
              <w:t>(a)</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7 737</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7 253</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15 458</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6 788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Interest received</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862</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786</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117</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Dividends, income tax equivalent and rate equivalent receipts</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743</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802</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Other receipts</w:t>
            </w:r>
          </w:p>
        </w:tc>
        <w:tc>
          <w:tcPr>
            <w:tcW w:w="992" w:type="dxa"/>
            <w:gridSpan w:val="2"/>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1 735</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2 436</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515</w:t>
            </w:r>
          </w:p>
        </w:tc>
        <w:tc>
          <w:tcPr>
            <w:tcW w:w="850"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166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single" w:sz="6" w:space="0" w:color="auto"/>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b/>
                <w:bCs/>
                <w:color w:val="000000"/>
                <w:sz w:val="16"/>
                <w:lang w:eastAsia="en-AU"/>
              </w:rPr>
            </w:pPr>
            <w:r w:rsidRPr="00EC2897">
              <w:rPr>
                <w:rFonts w:eastAsiaTheme="minorEastAsia" w:cs="Calibri"/>
                <w:b/>
                <w:bCs/>
                <w:color w:val="000000"/>
                <w:sz w:val="16"/>
                <w:lang w:eastAsia="en-AU"/>
              </w:rPr>
              <w:t>Total receipts</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60 405</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56 428</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19 424</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10 091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b/>
                <w:bCs/>
                <w:color w:val="000000"/>
                <w:sz w:val="16"/>
                <w:lang w:eastAsia="en-AU"/>
              </w:rPr>
            </w:pPr>
            <w:r w:rsidRPr="00EC2897">
              <w:rPr>
                <w:rFonts w:eastAsiaTheme="minorEastAsia" w:cs="Calibri"/>
                <w:b/>
                <w:bCs/>
                <w:color w:val="000000"/>
                <w:sz w:val="16"/>
                <w:lang w:eastAsia="en-AU"/>
              </w:rPr>
              <w:t>Payments</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Payments for employees</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(20 965)</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(19 621)</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(1 200)</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(1 121)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Superannuation</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(3 047)</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(2 877)</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(122)</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(113)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Interest paid</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(1 998)</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(2 040)</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(1 097)</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(1 048)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vertAlign w:val="superscript"/>
                <w:lang w:eastAsia="en-AU"/>
              </w:rPr>
            </w:pPr>
            <w:r w:rsidRPr="00EC2897">
              <w:rPr>
                <w:rFonts w:eastAsiaTheme="minorEastAsia" w:cs="Calibri"/>
                <w:color w:val="000000"/>
                <w:sz w:val="16"/>
                <w:lang w:eastAsia="en-AU"/>
              </w:rPr>
              <w:t xml:space="preserve">Grants and subsidies </w:t>
            </w:r>
            <w:r w:rsidRPr="00EC2897">
              <w:rPr>
                <w:rFonts w:eastAsiaTheme="minorEastAsia" w:cs="Calibri"/>
                <w:color w:val="000000"/>
                <w:sz w:val="16"/>
                <w:vertAlign w:val="superscript"/>
                <w:lang w:eastAsia="en-AU"/>
              </w:rPr>
              <w:t>(b)</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(10 203)</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(8 538)</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(186)</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(162)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vertAlign w:val="superscript"/>
                <w:lang w:eastAsia="en-AU"/>
              </w:rPr>
            </w:pPr>
            <w:r w:rsidRPr="00EC2897">
              <w:rPr>
                <w:rFonts w:eastAsiaTheme="minorEastAsia" w:cs="Calibri"/>
                <w:color w:val="000000"/>
                <w:sz w:val="16"/>
                <w:lang w:eastAsia="en-AU"/>
              </w:rPr>
              <w:t xml:space="preserve">Goods and services </w:t>
            </w:r>
            <w:r w:rsidRPr="00EC2897">
              <w:rPr>
                <w:rFonts w:eastAsiaTheme="minorEastAsia" w:cs="Calibri"/>
                <w:color w:val="000000"/>
                <w:sz w:val="16"/>
                <w:vertAlign w:val="superscript"/>
                <w:lang w:eastAsia="en-AU"/>
              </w:rPr>
              <w:t>(a)(b)</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(18 048)</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(17 257)</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(4 019)</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(3 822)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Other payments</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(620)</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(736)</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(2 412)</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(1 986)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rPr>
                <w:rFonts w:eastAsiaTheme="minorEastAsia" w:cs="Calibri"/>
                <w:b/>
                <w:bCs/>
                <w:color w:val="000000"/>
                <w:sz w:val="16"/>
                <w:lang w:eastAsia="en-AU"/>
              </w:rPr>
            </w:pPr>
            <w:r w:rsidRPr="00EC2897">
              <w:rPr>
                <w:rFonts w:eastAsiaTheme="minorEastAsia" w:cs="Calibri"/>
                <w:b/>
                <w:bCs/>
                <w:color w:val="000000"/>
                <w:sz w:val="16"/>
                <w:lang w:eastAsia="en-AU"/>
              </w:rPr>
              <w:t>Total payments</w:t>
            </w:r>
          </w:p>
        </w:tc>
        <w:tc>
          <w:tcPr>
            <w:tcW w:w="992" w:type="dxa"/>
            <w:gridSpan w:val="2"/>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(54 880)</w:t>
            </w:r>
          </w:p>
        </w:tc>
        <w:tc>
          <w:tcPr>
            <w:tcW w:w="992"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(51 069)</w:t>
            </w:r>
          </w:p>
        </w:tc>
        <w:tc>
          <w:tcPr>
            <w:tcW w:w="992"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(9 034)</w:t>
            </w:r>
          </w:p>
        </w:tc>
        <w:tc>
          <w:tcPr>
            <w:tcW w:w="850"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(8 253)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single" w:sz="6" w:space="0" w:color="auto"/>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b/>
                <w:bCs/>
                <w:color w:val="000000"/>
                <w:sz w:val="16"/>
                <w:lang w:eastAsia="en-AU"/>
              </w:rPr>
            </w:pPr>
            <w:r w:rsidRPr="00EC2897">
              <w:rPr>
                <w:rFonts w:eastAsiaTheme="minorEastAsia" w:cs="Calibri"/>
                <w:b/>
                <w:bCs/>
                <w:color w:val="000000"/>
                <w:sz w:val="16"/>
                <w:lang w:eastAsia="en-AU"/>
              </w:rPr>
              <w:t>Net cash flows from operating activities</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5 524</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5 359</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10 390</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1 838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b/>
                <w:bCs/>
                <w:color w:val="000000"/>
                <w:sz w:val="16"/>
                <w:lang w:eastAsia="en-AU"/>
              </w:rPr>
            </w:pPr>
            <w:r w:rsidRPr="00EC2897">
              <w:rPr>
                <w:rFonts w:eastAsiaTheme="minorEastAsia" w:cs="Calibri"/>
                <w:b/>
                <w:bCs/>
                <w:color w:val="000000"/>
                <w:sz w:val="16"/>
                <w:lang w:eastAsia="en-AU"/>
              </w:rPr>
              <w:t>Cash flows from investing activities</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b/>
                <w:bCs/>
                <w:color w:val="000000"/>
                <w:sz w:val="16"/>
                <w:lang w:eastAsia="en-AU"/>
              </w:rPr>
            </w:pPr>
            <w:r w:rsidRPr="00EC2897">
              <w:rPr>
                <w:rFonts w:eastAsiaTheme="minorEastAsia" w:cs="Calibri"/>
                <w:b/>
                <w:bCs/>
                <w:color w:val="000000"/>
                <w:sz w:val="16"/>
                <w:lang w:eastAsia="en-AU"/>
              </w:rPr>
              <w:t>Cash flows from investments in non-financial assets</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Purchases of non-financial assets</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(7 278)</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(4 420)</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(1 818)</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(2 381)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Sales of non-financial assets</w:t>
            </w:r>
          </w:p>
        </w:tc>
        <w:tc>
          <w:tcPr>
            <w:tcW w:w="992" w:type="dxa"/>
            <w:gridSpan w:val="2"/>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287</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190</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187</w:t>
            </w:r>
          </w:p>
        </w:tc>
        <w:tc>
          <w:tcPr>
            <w:tcW w:w="850"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263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b/>
                <w:bCs/>
                <w:color w:val="000000"/>
                <w:sz w:val="16"/>
                <w:lang w:eastAsia="en-AU"/>
              </w:rPr>
            </w:pPr>
            <w:r w:rsidRPr="00EC2897">
              <w:rPr>
                <w:rFonts w:eastAsiaTheme="minorEastAsia" w:cs="Calibri"/>
                <w:b/>
                <w:bCs/>
                <w:color w:val="000000"/>
                <w:sz w:val="16"/>
                <w:lang w:eastAsia="en-AU"/>
              </w:rPr>
              <w:t>Net cash flows from investments in non-financial assets</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(6 991)</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(4 230)</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(1 630)</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(2 118)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b/>
                <w:bCs/>
                <w:color w:val="000000"/>
                <w:sz w:val="16"/>
                <w:lang w:eastAsia="en-AU"/>
              </w:rPr>
            </w:pPr>
            <w:r w:rsidRPr="00EC2897">
              <w:rPr>
                <w:rFonts w:eastAsiaTheme="minorEastAsia" w:cs="Calibri"/>
                <w:b/>
                <w:bCs/>
                <w:color w:val="000000"/>
                <w:sz w:val="16"/>
                <w:lang w:eastAsia="en-AU"/>
              </w:rPr>
              <w:t>Cash flows from investments in financial assets for policy purposes</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Cash inflows</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11 255</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564</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1 507</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74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Cash outflows</w:t>
            </w:r>
          </w:p>
        </w:tc>
        <w:tc>
          <w:tcPr>
            <w:tcW w:w="992" w:type="dxa"/>
            <w:gridSpan w:val="2"/>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(11 121)</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(471)</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(9 706)</w:t>
            </w:r>
          </w:p>
        </w:tc>
        <w:tc>
          <w:tcPr>
            <w:tcW w:w="850"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single" w:sz="6" w:space="0" w:color="auto"/>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b/>
                <w:bCs/>
                <w:color w:val="000000"/>
                <w:sz w:val="16"/>
                <w:lang w:eastAsia="en-AU"/>
              </w:rPr>
            </w:pPr>
            <w:r w:rsidRPr="00EC2897">
              <w:rPr>
                <w:rFonts w:eastAsiaTheme="minorEastAsia" w:cs="Calibri"/>
                <w:b/>
                <w:bCs/>
                <w:color w:val="000000"/>
                <w:sz w:val="16"/>
                <w:lang w:eastAsia="en-AU"/>
              </w:rPr>
              <w:t>Net cash flows from investments in financial assets for policy purposes</w:t>
            </w:r>
          </w:p>
        </w:tc>
        <w:tc>
          <w:tcPr>
            <w:tcW w:w="992" w:type="dxa"/>
            <w:gridSpan w:val="2"/>
            <w:tcBorders>
              <w:top w:val="single" w:sz="6" w:space="0" w:color="auto"/>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134</w:t>
            </w:r>
          </w:p>
        </w:tc>
        <w:tc>
          <w:tcPr>
            <w:tcW w:w="992" w:type="dxa"/>
            <w:tcBorders>
              <w:top w:val="single" w:sz="6" w:space="0" w:color="auto"/>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93</w:t>
            </w:r>
          </w:p>
        </w:tc>
        <w:tc>
          <w:tcPr>
            <w:tcW w:w="992" w:type="dxa"/>
            <w:tcBorders>
              <w:top w:val="single" w:sz="6" w:space="0" w:color="auto"/>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(8 199)</w:t>
            </w:r>
          </w:p>
        </w:tc>
        <w:tc>
          <w:tcPr>
            <w:tcW w:w="850" w:type="dxa"/>
            <w:tcBorders>
              <w:top w:val="single" w:sz="6" w:space="0" w:color="auto"/>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69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b/>
                <w:bCs/>
                <w:color w:val="000000"/>
                <w:sz w:val="16"/>
                <w:lang w:eastAsia="en-AU"/>
              </w:rPr>
            </w:pPr>
            <w:r w:rsidRPr="00EC2897">
              <w:rPr>
                <w:rFonts w:eastAsiaTheme="minorEastAsia" w:cs="Calibri"/>
                <w:b/>
                <w:bCs/>
                <w:color w:val="000000"/>
                <w:sz w:val="16"/>
                <w:lang w:eastAsia="en-AU"/>
              </w:rPr>
              <w:t>Sub-total</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(6 857)</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(4 137)</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(9 829)</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(2 049)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b/>
                <w:bCs/>
                <w:color w:val="000000"/>
                <w:sz w:val="16"/>
                <w:vertAlign w:val="superscript"/>
                <w:lang w:eastAsia="en-AU"/>
              </w:rPr>
            </w:pPr>
            <w:r w:rsidRPr="00EC2897">
              <w:rPr>
                <w:rFonts w:eastAsiaTheme="minorEastAsia" w:cs="Calibri"/>
                <w:b/>
                <w:bCs/>
                <w:color w:val="000000"/>
                <w:sz w:val="16"/>
                <w:lang w:eastAsia="en-AU"/>
              </w:rPr>
              <w:t xml:space="preserve">Cash flows from investments in financial assets for liquidity management purposes </w:t>
            </w:r>
            <w:r w:rsidRPr="00EC2897">
              <w:rPr>
                <w:rFonts w:eastAsiaTheme="minorEastAsia" w:cs="Calibri"/>
                <w:b/>
                <w:bCs/>
                <w:color w:val="000000"/>
                <w:sz w:val="16"/>
                <w:vertAlign w:val="superscript"/>
                <w:lang w:eastAsia="en-AU"/>
              </w:rPr>
              <w:t>(c)</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vertAlign w:val="superscript"/>
                <w:lang w:eastAsia="en-AU"/>
              </w:rPr>
            </w:pPr>
            <w:r w:rsidRPr="00EC2897">
              <w:rPr>
                <w:rFonts w:eastAsiaTheme="minorEastAsia" w:cs="Calibri"/>
                <w:color w:val="000000"/>
                <w:sz w:val="16"/>
                <w:lang w:eastAsia="en-AU"/>
              </w:rPr>
              <w:t xml:space="preserve">Cash inflows </w:t>
            </w:r>
            <w:r w:rsidRPr="00EC2897">
              <w:rPr>
                <w:rFonts w:eastAsiaTheme="minorEastAsia" w:cs="Calibri"/>
                <w:color w:val="000000"/>
                <w:sz w:val="16"/>
                <w:vertAlign w:val="superscript"/>
                <w:lang w:eastAsia="en-AU"/>
              </w:rPr>
              <w:t>(d)</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2 360</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2 384</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327</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307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Cash outflows</w:t>
            </w:r>
          </w:p>
        </w:tc>
        <w:tc>
          <w:tcPr>
            <w:tcW w:w="992" w:type="dxa"/>
            <w:gridSpan w:val="2"/>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(3 111)</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(1 848)</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(495)</w:t>
            </w:r>
          </w:p>
        </w:tc>
        <w:tc>
          <w:tcPr>
            <w:tcW w:w="850"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(281)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6094" w:type="dxa"/>
            <w:gridSpan w:val="2"/>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rPr>
                <w:rFonts w:eastAsiaTheme="minorEastAsia" w:cs="Calibri"/>
                <w:b/>
                <w:bCs/>
                <w:color w:val="000000"/>
                <w:sz w:val="16"/>
                <w:vertAlign w:val="superscript"/>
                <w:lang w:eastAsia="en-AU"/>
              </w:rPr>
            </w:pPr>
            <w:r w:rsidRPr="00EC2897">
              <w:rPr>
                <w:rFonts w:eastAsiaTheme="minorEastAsia" w:cs="Calibri"/>
                <w:b/>
                <w:bCs/>
                <w:color w:val="000000"/>
                <w:sz w:val="16"/>
                <w:lang w:eastAsia="en-AU"/>
              </w:rPr>
              <w:t xml:space="preserve">Net cash flows from investments in financial assets for liquidity management purposes </w:t>
            </w:r>
            <w:r w:rsidRPr="00EC2897">
              <w:rPr>
                <w:rFonts w:eastAsiaTheme="minorEastAsia" w:cs="Calibri"/>
                <w:b/>
                <w:bCs/>
                <w:color w:val="000000"/>
                <w:sz w:val="16"/>
                <w:vertAlign w:val="superscript"/>
                <w:lang w:eastAsia="en-AU"/>
              </w:rPr>
              <w:t>(d)</w:t>
            </w:r>
          </w:p>
        </w:tc>
        <w:tc>
          <w:tcPr>
            <w:tcW w:w="709"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(751)</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535</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(168)</w:t>
            </w:r>
          </w:p>
        </w:tc>
        <w:tc>
          <w:tcPr>
            <w:tcW w:w="850"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single" w:sz="6" w:space="0" w:color="auto"/>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b/>
                <w:bCs/>
                <w:color w:val="000000"/>
                <w:sz w:val="16"/>
                <w:lang w:eastAsia="en-AU"/>
              </w:rPr>
            </w:pPr>
            <w:r w:rsidRPr="00EC2897">
              <w:rPr>
                <w:rFonts w:eastAsiaTheme="minorEastAsia" w:cs="Calibri"/>
                <w:b/>
                <w:bCs/>
                <w:color w:val="000000"/>
                <w:sz w:val="16"/>
                <w:lang w:eastAsia="en-AU"/>
              </w:rPr>
              <w:t>Net cash flows from investing activities</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(7 608)</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(3 602)</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(9 997)</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(2 024)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b/>
                <w:bCs/>
                <w:color w:val="000000"/>
                <w:sz w:val="16"/>
                <w:lang w:eastAsia="en-AU"/>
              </w:rPr>
            </w:pPr>
            <w:r w:rsidRPr="00EC2897">
              <w:rPr>
                <w:rFonts w:eastAsiaTheme="minorEastAsia" w:cs="Calibri"/>
                <w:b/>
                <w:bCs/>
                <w:color w:val="000000"/>
                <w:sz w:val="16"/>
                <w:lang w:eastAsia="en-AU"/>
              </w:rPr>
              <w:t>Cash flows from financing activities</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Advances received</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9 929</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9 703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Advances repaid</w:t>
            </w:r>
          </w:p>
        </w:tc>
        <w:tc>
          <w:tcPr>
            <w:tcW w:w="992" w:type="dxa"/>
            <w:gridSpan w:val="2"/>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(1 551)</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(1 431)</w:t>
            </w:r>
          </w:p>
        </w:tc>
        <w:tc>
          <w:tcPr>
            <w:tcW w:w="850"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vertAlign w:val="superscript"/>
                <w:lang w:eastAsia="en-AU"/>
              </w:rPr>
            </w:pPr>
            <w:r w:rsidRPr="00EC2897">
              <w:rPr>
                <w:rFonts w:eastAsiaTheme="minorEastAsia" w:cs="Calibri"/>
                <w:color w:val="000000"/>
                <w:sz w:val="16"/>
                <w:lang w:eastAsia="en-AU"/>
              </w:rPr>
              <w:t xml:space="preserve">Advances received (net) </w:t>
            </w:r>
            <w:r w:rsidRPr="00EC2897">
              <w:rPr>
                <w:rFonts w:eastAsiaTheme="minorEastAsia" w:cs="Calibri"/>
                <w:color w:val="000000"/>
                <w:sz w:val="16"/>
                <w:vertAlign w:val="superscript"/>
                <w:lang w:eastAsia="en-AU"/>
              </w:rPr>
              <w:t xml:space="preserve">(c) </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8 378</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8 273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Borrowings received</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296</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291</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814</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461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vertAlign w:val="superscript"/>
                <w:lang w:eastAsia="en-AU"/>
              </w:rPr>
            </w:pPr>
            <w:r w:rsidRPr="00EC2897">
              <w:rPr>
                <w:rFonts w:eastAsiaTheme="minorEastAsia" w:cs="Calibri"/>
                <w:color w:val="000000"/>
                <w:sz w:val="16"/>
                <w:lang w:eastAsia="en-AU"/>
              </w:rPr>
              <w:t xml:space="preserve">Borrowings repaid </w:t>
            </w:r>
            <w:r w:rsidRPr="00EC2897">
              <w:rPr>
                <w:rFonts w:eastAsiaTheme="minorEastAsia" w:cs="Calibri"/>
                <w:color w:val="000000"/>
                <w:sz w:val="16"/>
                <w:vertAlign w:val="superscript"/>
                <w:lang w:eastAsia="en-AU"/>
              </w:rPr>
              <w:t>(d)</w:t>
            </w:r>
          </w:p>
        </w:tc>
        <w:tc>
          <w:tcPr>
            <w:tcW w:w="992" w:type="dxa"/>
            <w:gridSpan w:val="2"/>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(5 836)</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(1 623)</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(601)</w:t>
            </w:r>
          </w:p>
        </w:tc>
        <w:tc>
          <w:tcPr>
            <w:tcW w:w="850"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(639)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vertAlign w:val="superscript"/>
                <w:lang w:eastAsia="en-AU"/>
              </w:rPr>
            </w:pPr>
            <w:r w:rsidRPr="00EC2897">
              <w:rPr>
                <w:rFonts w:eastAsiaTheme="minorEastAsia" w:cs="Calibri"/>
                <w:color w:val="000000"/>
                <w:sz w:val="16"/>
                <w:lang w:eastAsia="en-AU"/>
              </w:rPr>
              <w:t xml:space="preserve">Net borrowings </w:t>
            </w:r>
            <w:r w:rsidRPr="00EC2897">
              <w:rPr>
                <w:rFonts w:eastAsiaTheme="minorEastAsia" w:cs="Calibri"/>
                <w:color w:val="000000"/>
                <w:sz w:val="16"/>
                <w:vertAlign w:val="superscript"/>
                <w:lang w:eastAsia="en-AU"/>
              </w:rPr>
              <w:t>(c)(d)</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(5 541)</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(1 332)</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213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(178)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Deposits received</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564</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799</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132</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72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Deposits repaid</w:t>
            </w:r>
          </w:p>
        </w:tc>
        <w:tc>
          <w:tcPr>
            <w:tcW w:w="992" w:type="dxa"/>
            <w:gridSpan w:val="2"/>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(560)</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(734)</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(41)</w:t>
            </w:r>
          </w:p>
        </w:tc>
        <w:tc>
          <w:tcPr>
            <w:tcW w:w="850"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(99)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vertAlign w:val="superscript"/>
                <w:lang w:eastAsia="en-AU"/>
              </w:rPr>
            </w:pPr>
            <w:r w:rsidRPr="00EC2897">
              <w:rPr>
                <w:rFonts w:eastAsiaTheme="minorEastAsia" w:cs="Calibri"/>
                <w:color w:val="000000"/>
                <w:sz w:val="16"/>
                <w:lang w:eastAsia="en-AU"/>
              </w:rPr>
              <w:t xml:space="preserve">Deposits received (net) </w:t>
            </w:r>
            <w:r w:rsidRPr="00EC2897">
              <w:rPr>
                <w:rFonts w:eastAsiaTheme="minorEastAsia" w:cs="Calibri"/>
                <w:color w:val="000000"/>
                <w:sz w:val="16"/>
                <w:vertAlign w:val="superscript"/>
                <w:lang w:eastAsia="en-AU"/>
              </w:rPr>
              <w:t>(c)</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65</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91</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Other financing inflows</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426</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454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Other financing outflows</w:t>
            </w:r>
          </w:p>
        </w:tc>
        <w:tc>
          <w:tcPr>
            <w:tcW w:w="992" w:type="dxa"/>
            <w:gridSpan w:val="2"/>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c>
          <w:tcPr>
            <w:tcW w:w="992"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(9 045)</w:t>
            </w:r>
          </w:p>
        </w:tc>
        <w:tc>
          <w:tcPr>
            <w:tcW w:w="850"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(350)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vertAlign w:val="superscript"/>
                <w:lang w:eastAsia="en-AU"/>
              </w:rPr>
            </w:pPr>
            <w:r w:rsidRPr="00EC2897">
              <w:rPr>
                <w:rFonts w:eastAsiaTheme="minorEastAsia" w:cs="Calibri"/>
                <w:color w:val="000000"/>
                <w:sz w:val="16"/>
                <w:lang w:eastAsia="en-AU"/>
              </w:rPr>
              <w:t xml:space="preserve">Other financing (net) </w:t>
            </w:r>
            <w:r w:rsidRPr="00EC2897">
              <w:rPr>
                <w:rFonts w:eastAsiaTheme="minorEastAsia" w:cs="Calibri"/>
                <w:color w:val="000000"/>
                <w:sz w:val="16"/>
                <w:vertAlign w:val="superscript"/>
                <w:lang w:eastAsia="en-AU"/>
              </w:rPr>
              <w:t xml:space="preserve">(c) </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(8 619)</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103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single" w:sz="6" w:space="0" w:color="auto"/>
              <w:left w:val="nil"/>
              <w:bottom w:val="single" w:sz="6" w:space="0" w:color="auto"/>
              <w:right w:val="nil"/>
            </w:tcBorders>
            <w:shd w:val="solid" w:color="FFFFFF" w:fill="auto"/>
          </w:tcPr>
          <w:p w:rsidR="00BB6F1F" w:rsidRPr="00EC2897" w:rsidRDefault="00BB6F1F" w:rsidP="00AC68FF">
            <w:pPr>
              <w:keepLines w:val="0"/>
              <w:autoSpaceDE w:val="0"/>
              <w:autoSpaceDN w:val="0"/>
              <w:adjustRightInd w:val="0"/>
              <w:spacing w:before="12" w:after="0"/>
              <w:rPr>
                <w:rFonts w:eastAsiaTheme="minorEastAsia" w:cs="Calibri"/>
                <w:b/>
                <w:bCs/>
                <w:color w:val="000000"/>
                <w:sz w:val="16"/>
                <w:lang w:eastAsia="en-AU"/>
              </w:rPr>
            </w:pPr>
            <w:r w:rsidRPr="00EC2897">
              <w:rPr>
                <w:rFonts w:eastAsiaTheme="minorEastAsia" w:cs="Calibri"/>
                <w:b/>
                <w:bCs/>
                <w:color w:val="000000"/>
                <w:sz w:val="16"/>
                <w:lang w:eastAsia="en-AU"/>
              </w:rPr>
              <w:t>Net cash flows from financing activities</w:t>
            </w:r>
          </w:p>
        </w:tc>
        <w:tc>
          <w:tcPr>
            <w:tcW w:w="992" w:type="dxa"/>
            <w:gridSpan w:val="2"/>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2 841</w:t>
            </w:r>
          </w:p>
        </w:tc>
        <w:tc>
          <w:tcPr>
            <w:tcW w:w="992"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(1 267)</w:t>
            </w:r>
          </w:p>
        </w:tc>
        <w:tc>
          <w:tcPr>
            <w:tcW w:w="992"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(42)</w:t>
            </w:r>
          </w:p>
        </w:tc>
        <w:tc>
          <w:tcPr>
            <w:tcW w:w="850"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(104)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spacing w:before="12" w:after="0"/>
              <w:rPr>
                <w:rFonts w:eastAsiaTheme="minorEastAsia" w:cs="Calibri"/>
                <w:b/>
                <w:bCs/>
                <w:color w:val="000000"/>
                <w:sz w:val="16"/>
                <w:lang w:eastAsia="en-AU"/>
              </w:rPr>
            </w:pPr>
            <w:r w:rsidRPr="00EC2897">
              <w:rPr>
                <w:rFonts w:eastAsiaTheme="minorEastAsia" w:cs="Calibri"/>
                <w:b/>
                <w:bCs/>
                <w:color w:val="000000"/>
                <w:sz w:val="16"/>
                <w:lang w:eastAsia="en-AU"/>
              </w:rPr>
              <w:t>Net increase/(decrease) in cash and cash equivalents</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758</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490</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351</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(290)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Cash and cash equivalents at beginning of the reporting period</w:t>
            </w:r>
          </w:p>
        </w:tc>
        <w:tc>
          <w:tcPr>
            <w:tcW w:w="992" w:type="dxa"/>
            <w:gridSpan w:val="2"/>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4 772</w:t>
            </w:r>
          </w:p>
        </w:tc>
        <w:tc>
          <w:tcPr>
            <w:tcW w:w="992"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4 282</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802</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1 092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single" w:sz="6" w:space="0" w:color="auto"/>
              <w:left w:val="nil"/>
              <w:bottom w:val="single" w:sz="12" w:space="0" w:color="auto"/>
              <w:right w:val="nil"/>
            </w:tcBorders>
            <w:shd w:val="solid" w:color="FFFFFF" w:fill="auto"/>
          </w:tcPr>
          <w:p w:rsidR="00BB6F1F" w:rsidRPr="00EC2897" w:rsidRDefault="00BB6F1F" w:rsidP="00AC68FF">
            <w:pPr>
              <w:keepLines w:val="0"/>
              <w:autoSpaceDE w:val="0"/>
              <w:autoSpaceDN w:val="0"/>
              <w:adjustRightInd w:val="0"/>
              <w:spacing w:before="12" w:after="0"/>
              <w:rPr>
                <w:rFonts w:eastAsiaTheme="minorEastAsia" w:cs="Calibri"/>
                <w:b/>
                <w:bCs/>
                <w:color w:val="000000"/>
                <w:sz w:val="16"/>
                <w:vertAlign w:val="superscript"/>
                <w:lang w:eastAsia="en-AU"/>
              </w:rPr>
            </w:pPr>
            <w:r w:rsidRPr="00EC2897">
              <w:rPr>
                <w:rFonts w:eastAsiaTheme="minorEastAsia" w:cs="Calibri"/>
                <w:b/>
                <w:bCs/>
                <w:color w:val="000000"/>
                <w:sz w:val="16"/>
                <w:lang w:eastAsia="en-AU"/>
              </w:rPr>
              <w:t xml:space="preserve">Cash and cash equivalents at end of the reporting period </w:t>
            </w:r>
            <w:r w:rsidRPr="00EC2897">
              <w:rPr>
                <w:rFonts w:eastAsiaTheme="minorEastAsia" w:cs="Calibri"/>
                <w:b/>
                <w:bCs/>
                <w:color w:val="000000"/>
                <w:sz w:val="16"/>
                <w:vertAlign w:val="superscript"/>
                <w:lang w:eastAsia="en-AU"/>
              </w:rPr>
              <w:t>(e)</w:t>
            </w:r>
          </w:p>
        </w:tc>
        <w:tc>
          <w:tcPr>
            <w:tcW w:w="992" w:type="dxa"/>
            <w:gridSpan w:val="2"/>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5 530</w:t>
            </w:r>
          </w:p>
        </w:tc>
        <w:tc>
          <w:tcPr>
            <w:tcW w:w="992"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4 772</w:t>
            </w:r>
          </w:p>
        </w:tc>
        <w:tc>
          <w:tcPr>
            <w:tcW w:w="992"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1 153</w:t>
            </w:r>
          </w:p>
        </w:tc>
        <w:tc>
          <w:tcPr>
            <w:tcW w:w="850"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802</w:t>
            </w:r>
          </w:p>
        </w:tc>
      </w:tr>
      <w:tr w:rsidR="00BB6F1F" w:rsidRPr="00EC2897"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spacing w:before="12" w:after="0"/>
              <w:rPr>
                <w:rFonts w:eastAsiaTheme="minorEastAsia" w:cs="Calibri"/>
                <w:i/>
                <w:iCs/>
                <w:color w:val="000000"/>
                <w:sz w:val="16"/>
                <w:lang w:eastAsia="en-AU"/>
              </w:rPr>
            </w:pPr>
            <w:r w:rsidRPr="00EC2897">
              <w:rPr>
                <w:rFonts w:eastAsiaTheme="minorEastAsia" w:cs="Calibri"/>
                <w:i/>
                <w:iCs/>
                <w:color w:val="000000"/>
                <w:sz w:val="16"/>
                <w:lang w:eastAsia="en-AU"/>
              </w:rPr>
              <w:t xml:space="preserve"> </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EC2897">
              <w:rPr>
                <w:rFonts w:eastAsiaTheme="minorEastAsia" w:cs="Calibri"/>
                <w:i/>
                <w:iCs/>
                <w:color w:val="000000"/>
                <w:sz w:val="16"/>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EC2897">
              <w:rPr>
                <w:rFonts w:eastAsiaTheme="minorEastAsia" w:cs="Calibri"/>
                <w:i/>
                <w:iCs/>
                <w:color w:val="000000"/>
                <w:sz w:val="16"/>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b/>
                <w:bCs/>
                <w:color w:val="000000"/>
                <w:sz w:val="16"/>
                <w:lang w:eastAsia="en-AU"/>
              </w:rPr>
            </w:pPr>
            <w:r w:rsidRPr="00EC2897">
              <w:rPr>
                <w:rFonts w:eastAsiaTheme="minorEastAsia" w:cs="Calibri"/>
                <w:b/>
                <w:bCs/>
                <w:color w:val="000000"/>
                <w:sz w:val="16"/>
                <w:lang w:eastAsia="en-AU"/>
              </w:rPr>
              <w:t>FISCAL AGGREGATES</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EC2897">
              <w:rPr>
                <w:rFonts w:eastAsiaTheme="minorEastAsia" w:cs="Calibri"/>
                <w:i/>
                <w:iCs/>
                <w:color w:val="000000"/>
                <w:sz w:val="16"/>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EC2897">
              <w:rPr>
                <w:rFonts w:eastAsiaTheme="minorEastAsia" w:cs="Calibri"/>
                <w:i/>
                <w:iCs/>
                <w:color w:val="000000"/>
                <w:sz w:val="16"/>
                <w:lang w:eastAsia="en-AU"/>
              </w:rPr>
              <w:t xml:space="preserve"> </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 xml:space="preserve">Net cash flows from operating activities </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5 524</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5 359</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10 390</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1 838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Dividends paid</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(123)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(149)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rPr>
                <w:rFonts w:eastAsiaTheme="minorEastAsia" w:cs="Calibri"/>
                <w:color w:val="000000"/>
                <w:sz w:val="16"/>
                <w:lang w:eastAsia="en-AU"/>
              </w:rPr>
            </w:pPr>
            <w:r w:rsidRPr="00EC2897">
              <w:rPr>
                <w:rFonts w:eastAsiaTheme="minorEastAsia" w:cs="Calibri"/>
                <w:color w:val="000000"/>
                <w:sz w:val="16"/>
                <w:lang w:eastAsia="en-AU"/>
              </w:rPr>
              <w:t>Net cash flows from investments in non-financial assets</w:t>
            </w:r>
          </w:p>
        </w:tc>
        <w:tc>
          <w:tcPr>
            <w:tcW w:w="992" w:type="dxa"/>
            <w:gridSpan w:val="2"/>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(6 991)</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(4 230)</w:t>
            </w:r>
          </w:p>
        </w:tc>
        <w:tc>
          <w:tcPr>
            <w:tcW w:w="992"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(1 630)</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(2 118)</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1" w:type="dxa"/>
            <w:tcBorders>
              <w:top w:val="single" w:sz="6" w:space="0" w:color="auto"/>
              <w:bottom w:val="single" w:sz="12" w:space="0" w:color="auto"/>
            </w:tcBorders>
          </w:tcPr>
          <w:p w:rsidR="00BB6F1F" w:rsidRPr="00EC2897" w:rsidRDefault="00BB6F1F" w:rsidP="00AC68FF">
            <w:pPr>
              <w:keepLines w:val="0"/>
              <w:autoSpaceDE w:val="0"/>
              <w:autoSpaceDN w:val="0"/>
              <w:adjustRightInd w:val="0"/>
              <w:spacing w:before="12" w:after="0"/>
              <w:rPr>
                <w:rFonts w:eastAsiaTheme="minorEastAsia" w:cs="Calibri"/>
                <w:bCs/>
                <w:color w:val="000000"/>
                <w:sz w:val="16"/>
                <w:lang w:eastAsia="en-AU"/>
              </w:rPr>
            </w:pPr>
            <w:r w:rsidRPr="00EC2897">
              <w:rPr>
                <w:rFonts w:eastAsiaTheme="minorEastAsia" w:cs="Calibri"/>
                <w:bCs/>
                <w:color w:val="000000"/>
                <w:sz w:val="16"/>
                <w:lang w:eastAsia="en-AU"/>
              </w:rPr>
              <w:t>Cash surplus/(deficit)</w:t>
            </w:r>
          </w:p>
        </w:tc>
        <w:tc>
          <w:tcPr>
            <w:tcW w:w="992" w:type="dxa"/>
            <w:gridSpan w:val="2"/>
            <w:tcBorders>
              <w:top w:val="single" w:sz="6" w:space="0" w:color="auto"/>
              <w:bottom w:val="single" w:sz="12" w:space="0" w:color="auto"/>
            </w:tcBorders>
          </w:tcPr>
          <w:p w:rsidR="00BB6F1F" w:rsidRPr="00EC2897" w:rsidRDefault="00BB6F1F" w:rsidP="00AC68FF">
            <w:pPr>
              <w:keepLines w:val="0"/>
              <w:autoSpaceDE w:val="0"/>
              <w:autoSpaceDN w:val="0"/>
              <w:adjustRightInd w:val="0"/>
              <w:spacing w:before="12"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lang w:eastAsia="en-AU"/>
              </w:rPr>
            </w:pPr>
            <w:r w:rsidRPr="00EC2897">
              <w:rPr>
                <w:rFonts w:eastAsiaTheme="minorEastAsia" w:cs="Calibri"/>
                <w:bCs/>
                <w:color w:val="000000"/>
                <w:sz w:val="16"/>
                <w:lang w:eastAsia="en-AU"/>
              </w:rPr>
              <w:t>(1 467)</w:t>
            </w:r>
          </w:p>
        </w:tc>
        <w:tc>
          <w:tcPr>
            <w:tcW w:w="992" w:type="dxa"/>
            <w:tcBorders>
              <w:top w:val="single" w:sz="6" w:space="0" w:color="auto"/>
              <w:bottom w:val="single" w:sz="12" w:space="0" w:color="auto"/>
            </w:tcBorders>
          </w:tcPr>
          <w:p w:rsidR="00BB6F1F" w:rsidRPr="00EC2897" w:rsidRDefault="00BB6F1F" w:rsidP="00AC68FF">
            <w:pPr>
              <w:keepLines w:val="0"/>
              <w:autoSpaceDE w:val="0"/>
              <w:autoSpaceDN w:val="0"/>
              <w:adjustRightInd w:val="0"/>
              <w:spacing w:before="12"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lang w:eastAsia="en-AU"/>
              </w:rPr>
            </w:pPr>
            <w:r w:rsidRPr="00EC2897">
              <w:rPr>
                <w:rFonts w:eastAsiaTheme="minorEastAsia" w:cs="Calibri"/>
                <w:bCs/>
                <w:color w:val="000000"/>
                <w:sz w:val="16"/>
                <w:lang w:eastAsia="en-AU"/>
              </w:rPr>
              <w:t>1 129</w:t>
            </w:r>
          </w:p>
        </w:tc>
        <w:tc>
          <w:tcPr>
            <w:tcW w:w="992" w:type="dxa"/>
            <w:tcBorders>
              <w:top w:val="single" w:sz="6" w:space="0" w:color="auto"/>
              <w:bottom w:val="single" w:sz="12" w:space="0" w:color="auto"/>
            </w:tcBorders>
          </w:tcPr>
          <w:p w:rsidR="00BB6F1F" w:rsidRPr="00EC2897" w:rsidRDefault="00BB6F1F" w:rsidP="00AC68FF">
            <w:pPr>
              <w:keepLines w:val="0"/>
              <w:autoSpaceDE w:val="0"/>
              <w:autoSpaceDN w:val="0"/>
              <w:adjustRightInd w:val="0"/>
              <w:spacing w:before="12"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lang w:eastAsia="en-AU"/>
              </w:rPr>
            </w:pPr>
            <w:r w:rsidRPr="00EC2897">
              <w:rPr>
                <w:rFonts w:eastAsiaTheme="minorEastAsia" w:cs="Calibri"/>
                <w:bCs/>
                <w:color w:val="000000"/>
                <w:sz w:val="16"/>
                <w:lang w:eastAsia="en-AU"/>
              </w:rPr>
              <w:t>8 637</w:t>
            </w:r>
          </w:p>
        </w:tc>
        <w:tc>
          <w:tcPr>
            <w:tcW w:w="850" w:type="dxa"/>
            <w:tcBorders>
              <w:top w:val="single" w:sz="6" w:space="0" w:color="auto"/>
              <w:bottom w:val="single" w:sz="12" w:space="0" w:color="auto"/>
            </w:tcBorders>
          </w:tcPr>
          <w:p w:rsidR="00BB6F1F" w:rsidRPr="00EC2897" w:rsidRDefault="00BB6F1F" w:rsidP="00AC68FF">
            <w:pPr>
              <w:keepLines w:val="0"/>
              <w:autoSpaceDE w:val="0"/>
              <w:autoSpaceDN w:val="0"/>
              <w:adjustRightInd w:val="0"/>
              <w:spacing w:before="12"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lang w:eastAsia="en-AU"/>
              </w:rPr>
            </w:pPr>
            <w:r>
              <w:rPr>
                <w:rFonts w:eastAsiaTheme="minorEastAsia" w:cs="Calibri"/>
                <w:bCs/>
                <w:color w:val="000000"/>
                <w:sz w:val="16"/>
                <w:lang w:eastAsia="en-AU"/>
              </w:rPr>
              <w:t>(429)</w:t>
            </w:r>
          </w:p>
        </w:tc>
      </w:tr>
    </w:tbl>
    <w:p w:rsidR="00BB6F1F" w:rsidRPr="00D42175" w:rsidRDefault="00BB6F1F" w:rsidP="00AC68FF">
      <w:pPr>
        <w:pStyle w:val="Note"/>
      </w:pPr>
      <w:r w:rsidRPr="00D42175">
        <w:t>Notes:</w:t>
      </w:r>
    </w:p>
    <w:p w:rsidR="00BB6F1F" w:rsidRDefault="00BB6F1F" w:rsidP="00AC68FF">
      <w:pPr>
        <w:pStyle w:val="Note"/>
      </w:pPr>
      <w:r w:rsidRPr="00D42175">
        <w:t>(a)</w:t>
      </w:r>
      <w:r w:rsidRPr="00D42175">
        <w:tab/>
        <w:t xml:space="preserve">These items </w:t>
      </w:r>
      <w:r>
        <w:t>include goods and services tax.</w:t>
      </w:r>
    </w:p>
    <w:p w:rsidR="00BB6F1F" w:rsidRDefault="00BB6F1F" w:rsidP="00AC68FF">
      <w:pPr>
        <w:pStyle w:val="Note"/>
      </w:pPr>
      <w:r>
        <w:t>(b</w:t>
      </w:r>
      <w:r w:rsidRPr="00D42175">
        <w:t>)</w:t>
      </w:r>
      <w:r w:rsidRPr="00D42175">
        <w:tab/>
      </w:r>
      <w:r w:rsidRPr="00A0521C">
        <w:t xml:space="preserve">The June 2016 comparative figures have been restated to reclassify the Transport Accident Commission Safer Roads </w:t>
      </w:r>
      <w:r>
        <w:t xml:space="preserve">Infrastructure Program payment from goods and services to grants and subsidies </w:t>
      </w:r>
      <w:r w:rsidRPr="00A0521C">
        <w:t>to more correctly refle</w:t>
      </w:r>
      <w:r>
        <w:t>ct the nature of the payment</w:t>
      </w:r>
      <w:r w:rsidRPr="00A0521C">
        <w:t>.</w:t>
      </w:r>
    </w:p>
    <w:p w:rsidR="00BB6F1F" w:rsidRDefault="00BB6F1F" w:rsidP="00AC68FF">
      <w:pPr>
        <w:pStyle w:val="Note"/>
      </w:pPr>
      <w:r>
        <w:t>(c)</w:t>
      </w:r>
      <w:r>
        <w:tab/>
      </w:r>
      <w:r w:rsidRPr="00417360">
        <w:t xml:space="preserve">In accordance with AASB 107, Treasury Corporation of Victoria (TCV) is not required to gross up their cash flow information for whole of government consolidation purposes. The net cash movements for TCV have been added to cash inflows or outflows for both financial years ended 30 June 2017 and 30 June 2016. </w:t>
      </w:r>
    </w:p>
    <w:p w:rsidR="00BB6F1F" w:rsidRPr="00D42175" w:rsidRDefault="00BB6F1F" w:rsidP="00AC68FF">
      <w:pPr>
        <w:pStyle w:val="Note"/>
      </w:pPr>
      <w:r>
        <w:t>(d</w:t>
      </w:r>
      <w:r w:rsidRPr="00D42175">
        <w:t>)</w:t>
      </w:r>
      <w:r w:rsidRPr="00D42175">
        <w:tab/>
      </w:r>
      <w:r w:rsidRPr="00417360">
        <w:t>June 2016 comparative figures have been restated to reflect the reclassification of borrowings sold at a premium.</w:t>
      </w:r>
    </w:p>
    <w:p w:rsidR="00BB6F1F" w:rsidRDefault="00BB6F1F" w:rsidP="00AC68FF">
      <w:pPr>
        <w:pStyle w:val="Note"/>
        <w:rPr>
          <w:b/>
          <w:sz w:val="20"/>
          <w:szCs w:val="20"/>
          <w:lang w:val="en-US"/>
        </w:rPr>
      </w:pPr>
      <w:r>
        <w:t>(e</w:t>
      </w:r>
      <w:r w:rsidRPr="00D42175">
        <w:t>)</w:t>
      </w:r>
      <w:r w:rsidRPr="00D42175">
        <w:tab/>
        <w:t>Cash and cash equivalents at the end of the reporting period does not equal cash and deposits on the balance sheet. This is due to overdrafts being included in the cash flow statement balances. See Note 5.3.</w:t>
      </w:r>
    </w:p>
    <w:p w:rsidR="00BB6F1F" w:rsidRPr="00EC2897" w:rsidRDefault="00BB6F1F" w:rsidP="00AC68FF">
      <w:pPr>
        <w:pStyle w:val="TableHeading"/>
        <w:rPr>
          <w:bCs/>
          <w:lang w:val="en-US"/>
        </w:rPr>
      </w:pPr>
    </w:p>
    <w:tbl>
      <w:tblPr>
        <w:tblStyle w:val="DTFTable"/>
        <w:tblW w:w="9624" w:type="dxa"/>
        <w:tblInd w:w="45" w:type="dxa"/>
        <w:tblLayout w:type="fixed"/>
        <w:tblCellMar>
          <w:left w:w="45" w:type="dxa"/>
          <w:right w:w="45" w:type="dxa"/>
        </w:tblCellMar>
        <w:tblLook w:val="06E0" w:firstRow="1" w:lastRow="1" w:firstColumn="1" w:lastColumn="0" w:noHBand="1" w:noVBand="1"/>
      </w:tblPr>
      <w:tblGrid>
        <w:gridCol w:w="1604"/>
        <w:gridCol w:w="1604"/>
        <w:gridCol w:w="1604"/>
        <w:gridCol w:w="1604"/>
        <w:gridCol w:w="1604"/>
        <w:gridCol w:w="1604"/>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8"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spacing w:before="12" w:after="0"/>
              <w:jc w:val="center"/>
              <w:rPr>
                <w:rFonts w:eastAsiaTheme="minorEastAsia" w:cs="Calibri"/>
                <w:iCs/>
                <w:color w:val="FFFFFF"/>
                <w:sz w:val="16"/>
                <w:lang w:eastAsia="en-AU"/>
              </w:rPr>
            </w:pPr>
            <w:r w:rsidRPr="00EC2897">
              <w:rPr>
                <w:rFonts w:eastAsiaTheme="minorEastAsia" w:cs="Calibri"/>
                <w:iCs/>
                <w:color w:val="FFFFFF"/>
                <w:sz w:val="16"/>
                <w:lang w:eastAsia="en-AU"/>
              </w:rPr>
              <w:t xml:space="preserve">Public financial </w:t>
            </w:r>
            <w:r>
              <w:rPr>
                <w:rFonts w:eastAsiaTheme="minorEastAsia" w:cs="Calibri"/>
                <w:iCs/>
                <w:color w:val="FFFFFF"/>
                <w:sz w:val="16"/>
                <w:lang w:eastAsia="en-AU"/>
              </w:rPr>
              <w:br/>
            </w:r>
            <w:r w:rsidRPr="00EC2897">
              <w:rPr>
                <w:rFonts w:eastAsiaTheme="minorEastAsia" w:cs="Calibri"/>
                <w:iCs/>
                <w:color w:val="FFFFFF"/>
                <w:sz w:val="16"/>
                <w:lang w:eastAsia="en-AU"/>
              </w:rPr>
              <w:t>corporations</w:t>
            </w:r>
          </w:p>
        </w:tc>
        <w:tc>
          <w:tcPr>
            <w:tcW w:w="3208"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spacing w:before="12" w:after="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lang w:eastAsia="en-AU"/>
              </w:rPr>
            </w:pPr>
            <w:r w:rsidRPr="00EC2897">
              <w:rPr>
                <w:rFonts w:eastAsiaTheme="minorEastAsia" w:cs="Calibri"/>
                <w:iCs/>
                <w:color w:val="FFFFFF"/>
                <w:sz w:val="16"/>
                <w:lang w:eastAsia="en-AU"/>
              </w:rPr>
              <w:t xml:space="preserve">Inter-sector </w:t>
            </w:r>
            <w:r>
              <w:rPr>
                <w:rFonts w:eastAsiaTheme="minorEastAsia" w:cs="Calibri"/>
                <w:iCs/>
                <w:color w:val="FFFFFF"/>
                <w:sz w:val="16"/>
                <w:lang w:eastAsia="en-AU"/>
              </w:rPr>
              <w:br/>
            </w:r>
            <w:r w:rsidRPr="00EC2897">
              <w:rPr>
                <w:rFonts w:eastAsiaTheme="minorEastAsia" w:cs="Calibri"/>
                <w:iCs/>
                <w:color w:val="FFFFFF"/>
                <w:sz w:val="16"/>
                <w:lang w:eastAsia="en-AU"/>
              </w:rPr>
              <w:t>eliminations</w:t>
            </w:r>
          </w:p>
        </w:tc>
        <w:tc>
          <w:tcPr>
            <w:tcW w:w="3208"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spacing w:before="12" w:after="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lang w:eastAsia="en-AU"/>
              </w:rPr>
            </w:pPr>
            <w:r w:rsidRPr="00EC2897">
              <w:rPr>
                <w:rFonts w:eastAsiaTheme="minorEastAsia" w:cs="Calibri"/>
                <w:iCs/>
                <w:color w:val="FFFFFF"/>
                <w:sz w:val="16"/>
                <w:lang w:eastAsia="en-AU"/>
              </w:rPr>
              <w:t xml:space="preserve">State of </w:t>
            </w:r>
            <w:r>
              <w:rPr>
                <w:rFonts w:eastAsiaTheme="minorEastAsia" w:cs="Calibri"/>
                <w:iCs/>
                <w:color w:val="FFFFFF"/>
                <w:sz w:val="16"/>
                <w:lang w:eastAsia="en-AU"/>
              </w:rPr>
              <w:br/>
            </w:r>
            <w:r w:rsidRPr="00EC2897">
              <w:rPr>
                <w:rFonts w:eastAsiaTheme="minorEastAsia" w:cs="Calibri"/>
                <w:iCs/>
                <w:color w:val="FFFFFF"/>
                <w:sz w:val="16"/>
                <w:lang w:eastAsia="en-AU"/>
              </w:rPr>
              <w:t>Victoria</w:t>
            </w:r>
          </w:p>
        </w:tc>
      </w:tr>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spacing w:before="12" w:after="0"/>
              <w:jc w:val="right"/>
              <w:rPr>
                <w:rFonts w:eastAsiaTheme="minorEastAsia" w:cs="Calibri"/>
                <w:iCs/>
                <w:color w:val="FFFFFF"/>
                <w:sz w:val="16"/>
                <w:lang w:eastAsia="en-AU"/>
              </w:rPr>
            </w:pPr>
            <w:r w:rsidRPr="00EC2897">
              <w:rPr>
                <w:rFonts w:eastAsiaTheme="minorEastAsia" w:cs="Calibri"/>
                <w:iCs/>
                <w:color w:val="FFFFFF"/>
                <w:sz w:val="16"/>
                <w:lang w:eastAsia="en-AU"/>
              </w:rPr>
              <w:t>2017</w:t>
            </w:r>
          </w:p>
        </w:tc>
        <w:tc>
          <w:tcPr>
            <w:tcW w:w="160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spacing w:before="12"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lang w:eastAsia="en-AU"/>
              </w:rPr>
            </w:pPr>
            <w:r w:rsidRPr="00EC2897">
              <w:rPr>
                <w:rFonts w:eastAsiaTheme="minorEastAsia" w:cs="Calibri"/>
                <w:iCs/>
                <w:color w:val="FFFFFF"/>
                <w:sz w:val="16"/>
                <w:lang w:eastAsia="en-AU"/>
              </w:rPr>
              <w:t>2016</w:t>
            </w:r>
          </w:p>
        </w:tc>
        <w:tc>
          <w:tcPr>
            <w:tcW w:w="160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spacing w:before="12"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lang w:eastAsia="en-AU"/>
              </w:rPr>
            </w:pPr>
            <w:r w:rsidRPr="00EC2897">
              <w:rPr>
                <w:rFonts w:eastAsiaTheme="minorEastAsia" w:cs="Calibri"/>
                <w:iCs/>
                <w:color w:val="FFFFFF"/>
                <w:sz w:val="16"/>
                <w:lang w:eastAsia="en-AU"/>
              </w:rPr>
              <w:t>2017</w:t>
            </w:r>
          </w:p>
        </w:tc>
        <w:tc>
          <w:tcPr>
            <w:tcW w:w="160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spacing w:before="12"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lang w:eastAsia="en-AU"/>
              </w:rPr>
            </w:pPr>
            <w:r w:rsidRPr="00EC2897">
              <w:rPr>
                <w:rFonts w:eastAsiaTheme="minorEastAsia" w:cs="Calibri"/>
                <w:iCs/>
                <w:color w:val="FFFFFF"/>
                <w:sz w:val="16"/>
                <w:lang w:eastAsia="en-AU"/>
              </w:rPr>
              <w:t>2016</w:t>
            </w:r>
          </w:p>
        </w:tc>
        <w:tc>
          <w:tcPr>
            <w:tcW w:w="160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spacing w:before="12"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lang w:eastAsia="en-AU"/>
              </w:rPr>
            </w:pPr>
            <w:r w:rsidRPr="00EC2897">
              <w:rPr>
                <w:rFonts w:eastAsiaTheme="minorEastAsia" w:cs="Calibri"/>
                <w:iCs/>
                <w:color w:val="FFFFFF"/>
                <w:sz w:val="16"/>
                <w:lang w:eastAsia="en-AU"/>
              </w:rPr>
              <w:t>2017</w:t>
            </w:r>
          </w:p>
        </w:tc>
        <w:tc>
          <w:tcPr>
            <w:tcW w:w="160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spacing w:before="12"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lang w:eastAsia="en-AU"/>
              </w:rPr>
            </w:pPr>
            <w:r w:rsidRPr="00EC2897">
              <w:rPr>
                <w:rFonts w:eastAsiaTheme="minorEastAsia" w:cs="Calibri"/>
                <w:iCs/>
                <w:color w:val="FFFFFF"/>
                <w:sz w:val="16"/>
                <w:lang w:eastAsia="en-AU"/>
              </w:rPr>
              <w:t>2016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i/>
                <w:iCs/>
                <w:color w:val="000000"/>
                <w:sz w:val="16"/>
                <w:lang w:eastAsia="en-AU"/>
              </w:rPr>
            </w:pPr>
            <w:r w:rsidRPr="00EC2897">
              <w:rPr>
                <w:rFonts w:eastAsiaTheme="minorEastAsia" w:cs="Calibri"/>
                <w:i/>
                <w:iCs/>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EC2897">
              <w:rPr>
                <w:rFonts w:eastAsiaTheme="minorEastAsia" w:cs="Calibri"/>
                <w:i/>
                <w:iCs/>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EC2897">
              <w:rPr>
                <w:rFonts w:eastAsiaTheme="minorEastAsia" w:cs="Calibri"/>
                <w:i/>
                <w:iCs/>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i/>
                <w:iCs/>
                <w:color w:val="0000FF"/>
                <w:sz w:val="16"/>
                <w:lang w:eastAsia="en-AU"/>
              </w:rPr>
            </w:pPr>
            <w:r w:rsidRPr="00EC2897">
              <w:rPr>
                <w:rFonts w:eastAsiaTheme="minorEastAsia" w:cs="Calibri"/>
                <w:i/>
                <w:iCs/>
                <w:color w:val="0000FF"/>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EC2897">
              <w:rPr>
                <w:rFonts w:eastAsiaTheme="minorEastAsia" w:cs="Calibri"/>
                <w:i/>
                <w:iCs/>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EC2897">
              <w:rPr>
                <w:rFonts w:eastAsiaTheme="minorEastAsia" w:cs="Calibri"/>
                <w:i/>
                <w:iCs/>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sidRPr="00EC2897">
              <w:rPr>
                <w:rFonts w:eastAsiaTheme="minorEastAsia" w:cs="Calibri"/>
                <w:color w:val="000000"/>
                <w:sz w:val="16"/>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(380)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(450)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21 406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19 325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302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(3 804)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(3 244)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27 351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25 203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sidRPr="00EC2897">
              <w:rPr>
                <w:rFonts w:eastAsiaTheme="minorEastAsia" w:cs="Calibri"/>
                <w:color w:val="000000"/>
                <w:sz w:val="16"/>
                <w:lang w:eastAsia="en-AU"/>
              </w:rPr>
              <w:t>5 084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4 582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(3 078)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(2 732)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25 201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15 892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sidRPr="00EC2897">
              <w:rPr>
                <w:rFonts w:eastAsiaTheme="minorEastAsia" w:cs="Calibri"/>
                <w:color w:val="000000"/>
                <w:sz w:val="16"/>
                <w:lang w:eastAsia="en-AU"/>
              </w:rPr>
              <w:t>1 836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2 078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(2 298)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(2 348)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517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557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857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1 111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(708)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(777)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915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1 158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200</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58</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(3)</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(33)</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2 447</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2 627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b/>
                <w:bCs/>
                <w:color w:val="000000"/>
                <w:sz w:val="16"/>
                <w:lang w:eastAsia="en-AU"/>
              </w:rPr>
            </w:pPr>
            <w:r w:rsidRPr="00EC2897">
              <w:rPr>
                <w:rFonts w:eastAsiaTheme="minorEastAsia" w:cs="Calibri"/>
                <w:b/>
                <w:bCs/>
                <w:color w:val="000000"/>
                <w:sz w:val="16"/>
                <w:lang w:eastAsia="en-AU"/>
              </w:rPr>
              <w:t>8 279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7 829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(10 270)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(9 585)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77 837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64 763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(316)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(287)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413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384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(22 067)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(20 645)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(26)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(3 195)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(3 014)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sidRPr="00EC2897">
              <w:rPr>
                <w:rFonts w:eastAsiaTheme="minorEastAsia" w:cs="Calibri"/>
                <w:color w:val="000000"/>
                <w:sz w:val="16"/>
                <w:lang w:eastAsia="en-AU"/>
              </w:rPr>
              <w:t>(1 921)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(1 971)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2 298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2 348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(2 718)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(2 711)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(188)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(142)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3 805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3 219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(6 772)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(5 623)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sidRPr="00EC2897">
              <w:rPr>
                <w:rFonts w:eastAsiaTheme="minorEastAsia" w:cs="Calibri"/>
                <w:color w:val="000000"/>
                <w:sz w:val="16"/>
                <w:lang w:eastAsia="en-AU"/>
              </w:rPr>
              <w:t>(4 245)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(4 145)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1 032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860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(25 280)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(24 365)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(138)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2 268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2 391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(767)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(468)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b/>
                <w:bCs/>
                <w:color w:val="000000"/>
                <w:sz w:val="16"/>
                <w:lang w:eastAsia="en-AU"/>
              </w:rPr>
            </w:pPr>
            <w:r w:rsidRPr="00EC2897">
              <w:rPr>
                <w:rFonts w:eastAsiaTheme="minorEastAsia" w:cs="Calibri"/>
                <w:b/>
                <w:bCs/>
                <w:color w:val="000000"/>
                <w:sz w:val="16"/>
                <w:lang w:eastAsia="en-AU"/>
              </w:rPr>
              <w:t>(6 699)</w:t>
            </w:r>
          </w:p>
        </w:tc>
        <w:tc>
          <w:tcPr>
            <w:tcW w:w="160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(6 707)</w:t>
            </w:r>
          </w:p>
        </w:tc>
        <w:tc>
          <w:tcPr>
            <w:tcW w:w="160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9 816</w:t>
            </w:r>
          </w:p>
        </w:tc>
        <w:tc>
          <w:tcPr>
            <w:tcW w:w="160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9 202</w:t>
            </w:r>
          </w:p>
        </w:tc>
        <w:tc>
          <w:tcPr>
            <w:tcW w:w="160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(60 798)</w:t>
            </w:r>
          </w:p>
        </w:tc>
        <w:tc>
          <w:tcPr>
            <w:tcW w:w="160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(56 826)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b/>
                <w:bCs/>
                <w:color w:val="000000"/>
                <w:sz w:val="16"/>
                <w:lang w:eastAsia="en-AU"/>
              </w:rPr>
            </w:pPr>
            <w:r w:rsidRPr="00EC2897">
              <w:rPr>
                <w:rFonts w:eastAsiaTheme="minorEastAsia" w:cs="Calibri"/>
                <w:b/>
                <w:bCs/>
                <w:color w:val="000000"/>
                <w:sz w:val="16"/>
                <w:lang w:eastAsia="en-AU"/>
              </w:rPr>
              <w:t>1 579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1 121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(455)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(382)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17 039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7 936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(45)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(34)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55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(9 086)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(6 836)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1</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476</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454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b/>
                <w:bCs/>
                <w:color w:val="000000"/>
                <w:sz w:val="16"/>
                <w:lang w:eastAsia="en-AU"/>
              </w:rPr>
            </w:pPr>
            <w:r>
              <w:rPr>
                <w:rFonts w:eastAsiaTheme="minorEastAsia" w:cs="Calibri"/>
                <w:b/>
                <w:bCs/>
                <w:color w:val="000000"/>
                <w:sz w:val="16"/>
                <w:lang w:eastAsia="en-AU"/>
              </w:rPr>
              <w:t>(44)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(33)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56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(8 610)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(6 382)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(12 610)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(449)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152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189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(3)</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(27)</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20 616</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325</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(214)</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(179)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auto"/>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b/>
                <w:bCs/>
                <w:color w:val="000000"/>
                <w:sz w:val="16"/>
                <w:lang w:eastAsia="en-AU"/>
              </w:rPr>
            </w:pPr>
            <w:r>
              <w:rPr>
                <w:rFonts w:eastAsiaTheme="minorEastAsia" w:cs="Calibri"/>
                <w:b/>
                <w:bCs/>
                <w:color w:val="000000"/>
                <w:sz w:val="16"/>
                <w:lang w:eastAsia="en-AU"/>
              </w:rPr>
              <w:t>(3)</w:t>
            </w:r>
          </w:p>
        </w:tc>
        <w:tc>
          <w:tcPr>
            <w:tcW w:w="1604" w:type="dxa"/>
            <w:tcBorders>
              <w:top w:val="single" w:sz="6" w:space="0" w:color="auto"/>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(27)</w:t>
            </w:r>
          </w:p>
        </w:tc>
        <w:tc>
          <w:tcPr>
            <w:tcW w:w="1604" w:type="dxa"/>
            <w:tcBorders>
              <w:top w:val="single" w:sz="6" w:space="0" w:color="auto"/>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8 006</w:t>
            </w:r>
          </w:p>
        </w:tc>
        <w:tc>
          <w:tcPr>
            <w:tcW w:w="1604" w:type="dxa"/>
            <w:tcBorders>
              <w:top w:val="single" w:sz="6" w:space="0" w:color="auto"/>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(124)</w:t>
            </w:r>
          </w:p>
        </w:tc>
        <w:tc>
          <w:tcPr>
            <w:tcW w:w="1604" w:type="dxa"/>
            <w:tcBorders>
              <w:top w:val="single" w:sz="6" w:space="0" w:color="auto"/>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(62)</w:t>
            </w:r>
          </w:p>
        </w:tc>
        <w:tc>
          <w:tcPr>
            <w:tcW w:w="1604" w:type="dxa"/>
            <w:tcBorders>
              <w:top w:val="single" w:sz="6" w:space="0" w:color="auto"/>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11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b/>
                <w:bCs/>
                <w:color w:val="000000"/>
                <w:sz w:val="16"/>
                <w:lang w:eastAsia="en-AU"/>
              </w:rPr>
            </w:pPr>
            <w:r>
              <w:rPr>
                <w:rFonts w:eastAsiaTheme="minorEastAsia" w:cs="Calibri"/>
                <w:b/>
                <w:bCs/>
                <w:color w:val="000000"/>
                <w:sz w:val="16"/>
                <w:lang w:eastAsia="en-AU"/>
              </w:rPr>
              <w:t>(47)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(61)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8 062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(124)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(8 672)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(6 371)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sidRPr="00EC2897">
              <w:rPr>
                <w:rFonts w:eastAsiaTheme="minorEastAsia" w:cs="Calibri"/>
                <w:color w:val="000000"/>
                <w:sz w:val="16"/>
                <w:lang w:eastAsia="en-AU"/>
              </w:rPr>
              <w:t>11 187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11 203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(7 231)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(2 269)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6 643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11 625</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sidRPr="00EC2897">
              <w:rPr>
                <w:rFonts w:eastAsiaTheme="minorEastAsia" w:cs="Calibri"/>
                <w:color w:val="000000"/>
                <w:sz w:val="16"/>
                <w:lang w:eastAsia="en-AU"/>
              </w:rPr>
              <w:t>(10 264)</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(11 551)</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2 302</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807</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(11 569)</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(12 873)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922</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(348)</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(4 929)</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(1 460)</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(4 926)</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(1 248)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b/>
                <w:bCs/>
                <w:color w:val="000000"/>
                <w:sz w:val="16"/>
                <w:lang w:eastAsia="en-AU"/>
              </w:rPr>
            </w:pPr>
            <w:r>
              <w:rPr>
                <w:rFonts w:eastAsiaTheme="minorEastAsia" w:cs="Calibri"/>
                <w:b/>
                <w:bCs/>
                <w:color w:val="000000"/>
                <w:sz w:val="16"/>
                <w:lang w:eastAsia="en-AU"/>
              </w:rPr>
              <w:t>876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(409)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3 133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(1 585)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(13 597)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(7 619)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35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196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(19 435)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232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172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(28)</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(147)</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2 888</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28</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(122)</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(123)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(16 547)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110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65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(86)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(753)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(627)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421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39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sidRPr="00EC2897">
              <w:rPr>
                <w:rFonts w:eastAsiaTheme="minorEastAsia" w:cs="Calibri"/>
                <w:color w:val="000000"/>
                <w:sz w:val="16"/>
                <w:lang w:eastAsia="en-AU"/>
              </w:rPr>
              <w:t>(3 414)</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(160)</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5 866</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1 924</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(3 985)</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(498)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sidRPr="00EC2897">
              <w:rPr>
                <w:rFonts w:eastAsiaTheme="minorEastAsia" w:cs="Calibri"/>
                <w:color w:val="000000"/>
                <w:sz w:val="16"/>
                <w:lang w:eastAsia="en-AU"/>
              </w:rPr>
              <w:t>(3 349)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(246)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5 113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1 298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(3 563)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(459)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sidRPr="00EC2897">
              <w:rPr>
                <w:rFonts w:eastAsiaTheme="minorEastAsia" w:cs="Calibri"/>
                <w:color w:val="000000"/>
                <w:sz w:val="16"/>
                <w:lang w:eastAsia="en-AU"/>
              </w:rPr>
              <w:t>1 598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245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(1 599)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695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1 088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(889)</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(267)</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(3)</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272</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(1 492)</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(828)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709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(1 602)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244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(797)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259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(425)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(457)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(245)</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(550)</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9 290</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900</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c>
          <w:tcPr>
            <w:tcW w:w="1604" w:type="dxa"/>
            <w:tcBorders>
              <w:top w:val="nil"/>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(246)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(547)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8 865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443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b/>
                <w:bCs/>
                <w:color w:val="000000"/>
                <w:sz w:val="16"/>
                <w:lang w:eastAsia="en-AU"/>
              </w:rPr>
            </w:pPr>
            <w:r w:rsidRPr="00EC2897">
              <w:rPr>
                <w:rFonts w:eastAsiaTheme="minorEastAsia" w:cs="Calibri"/>
                <w:b/>
                <w:bCs/>
                <w:color w:val="000000"/>
                <w:sz w:val="16"/>
                <w:lang w:eastAsia="en-AU"/>
              </w:rPr>
              <w:t>(2 880)</w:t>
            </w:r>
          </w:p>
        </w:tc>
        <w:tc>
          <w:tcPr>
            <w:tcW w:w="160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(767)</w:t>
            </w:r>
          </w:p>
        </w:tc>
        <w:tc>
          <w:tcPr>
            <w:tcW w:w="160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(4 170)</w:t>
            </w:r>
          </w:p>
        </w:tc>
        <w:tc>
          <w:tcPr>
            <w:tcW w:w="160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1 987</w:t>
            </w:r>
          </w:p>
        </w:tc>
        <w:tc>
          <w:tcPr>
            <w:tcW w:w="160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(4 250)</w:t>
            </w:r>
          </w:p>
        </w:tc>
        <w:tc>
          <w:tcPr>
            <w:tcW w:w="1604"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(151)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b/>
                <w:bCs/>
                <w:color w:val="000000"/>
                <w:sz w:val="16"/>
                <w:lang w:eastAsia="en-AU"/>
              </w:rPr>
            </w:pPr>
            <w:r>
              <w:rPr>
                <w:rFonts w:eastAsiaTheme="minorEastAsia" w:cs="Calibri"/>
                <w:b/>
                <w:bCs/>
                <w:color w:val="000000"/>
                <w:sz w:val="16"/>
                <w:lang w:eastAsia="en-AU"/>
              </w:rPr>
              <w:t>(425)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(55)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(1 492)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20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(808)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Pr>
                <w:rFonts w:eastAsiaTheme="minorEastAsia" w:cs="Calibri"/>
                <w:b/>
                <w:bCs/>
                <w:color w:val="000000"/>
                <w:sz w:val="16"/>
                <w:lang w:eastAsia="en-AU"/>
              </w:rPr>
              <w:t>166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sidRPr="00EC2897">
              <w:rPr>
                <w:rFonts w:eastAsiaTheme="minorEastAsia" w:cs="Calibri"/>
                <w:color w:val="000000"/>
                <w:sz w:val="16"/>
                <w:lang w:eastAsia="en-AU"/>
              </w:rPr>
              <w:t>4 654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4 708</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(3 552)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(3 572)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6 676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6 510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b/>
                <w:bCs/>
                <w:color w:val="000000"/>
                <w:sz w:val="16"/>
                <w:lang w:eastAsia="en-AU"/>
              </w:rPr>
            </w:pPr>
            <w:r w:rsidRPr="00EC2897">
              <w:rPr>
                <w:rFonts w:eastAsiaTheme="minorEastAsia" w:cs="Calibri"/>
                <w:b/>
                <w:bCs/>
                <w:color w:val="000000"/>
                <w:sz w:val="16"/>
                <w:lang w:eastAsia="en-AU"/>
              </w:rPr>
              <w:t>4 229</w:t>
            </w:r>
          </w:p>
        </w:tc>
        <w:tc>
          <w:tcPr>
            <w:tcW w:w="1604"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4 654</w:t>
            </w:r>
          </w:p>
        </w:tc>
        <w:tc>
          <w:tcPr>
            <w:tcW w:w="1604"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(5 043)</w:t>
            </w:r>
          </w:p>
        </w:tc>
        <w:tc>
          <w:tcPr>
            <w:tcW w:w="1604"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(3 552)</w:t>
            </w:r>
          </w:p>
        </w:tc>
        <w:tc>
          <w:tcPr>
            <w:tcW w:w="1604"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5 868</w:t>
            </w:r>
          </w:p>
        </w:tc>
        <w:tc>
          <w:tcPr>
            <w:tcW w:w="1604"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6 676</w:t>
            </w:r>
          </w:p>
        </w:tc>
      </w:tr>
      <w:tr w:rsidR="00BB6F1F" w:rsidRPr="00EC2897"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i/>
                <w:iCs/>
                <w:color w:val="000000"/>
                <w:sz w:val="16"/>
                <w:lang w:eastAsia="en-AU"/>
              </w:rPr>
            </w:pPr>
            <w:r w:rsidRPr="00EC2897">
              <w:rPr>
                <w:rFonts w:eastAsiaTheme="minorEastAsia" w:cs="Calibri"/>
                <w:i/>
                <w:iCs/>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EC2897">
              <w:rPr>
                <w:rFonts w:eastAsiaTheme="minorEastAsia" w:cs="Calibri"/>
                <w:i/>
                <w:iCs/>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EC2897">
              <w:rPr>
                <w:rFonts w:eastAsiaTheme="minorEastAsia" w:cs="Calibri"/>
                <w:i/>
                <w:iCs/>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i/>
                <w:iCs/>
                <w:color w:val="000000"/>
                <w:sz w:val="16"/>
                <w:lang w:eastAsia="en-AU"/>
              </w:rPr>
            </w:pPr>
            <w:r w:rsidRPr="00EC2897">
              <w:rPr>
                <w:rFonts w:eastAsiaTheme="minorEastAsia" w:cs="Calibri"/>
                <w:i/>
                <w:iCs/>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EC2897">
              <w:rPr>
                <w:rFonts w:eastAsiaTheme="minorEastAsia" w:cs="Calibri"/>
                <w:i/>
                <w:iCs/>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lang w:eastAsia="en-AU"/>
              </w:rPr>
            </w:pPr>
            <w:r w:rsidRPr="00EC2897">
              <w:rPr>
                <w:rFonts w:eastAsiaTheme="minorEastAsia" w:cs="Calibri"/>
                <w:i/>
                <w:iCs/>
                <w:color w:val="000000"/>
                <w:sz w:val="16"/>
                <w:lang w:eastAsia="en-AU"/>
              </w:rPr>
              <w:t xml:space="preserve"> </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EC2897">
              <w:rPr>
                <w:rFonts w:eastAsiaTheme="minorEastAsia" w:cs="Calibri"/>
                <w:b/>
                <w:bCs/>
                <w:color w:val="000000"/>
                <w:sz w:val="16"/>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sidRPr="00EC2897">
              <w:rPr>
                <w:rFonts w:eastAsiaTheme="minorEastAsia" w:cs="Calibri"/>
                <w:color w:val="000000"/>
                <w:sz w:val="16"/>
                <w:lang w:eastAsia="en-AU"/>
              </w:rPr>
              <w:t>1 579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1 121</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(455)</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(382)</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17 039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7 936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(246)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(239)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369</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387</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jc w:val="right"/>
              <w:rPr>
                <w:rFonts w:eastAsiaTheme="minorEastAsia" w:cs="Calibri"/>
                <w:color w:val="000000"/>
                <w:sz w:val="16"/>
                <w:lang w:eastAsia="en-AU"/>
              </w:rPr>
            </w:pPr>
            <w:r>
              <w:rPr>
                <w:rFonts w:eastAsiaTheme="minorEastAsia" w:cs="Calibri"/>
                <w:color w:val="000000"/>
                <w:sz w:val="16"/>
                <w:lang w:eastAsia="en-AU"/>
              </w:rPr>
              <w:t>(44)</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(33)</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56</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Pr>
                <w:rFonts w:eastAsiaTheme="minorEastAsia" w:cs="Calibri"/>
                <w:color w:val="000000"/>
                <w:sz w:val="16"/>
                <w:lang w:eastAsia="en-AU"/>
              </w:rPr>
              <w:t>..</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(8 610)</w:t>
            </w:r>
          </w:p>
        </w:tc>
        <w:tc>
          <w:tcPr>
            <w:tcW w:w="1604" w:type="dxa"/>
            <w:tcBorders>
              <w:top w:val="nil"/>
              <w:left w:val="nil"/>
              <w:bottom w:val="nil"/>
              <w:right w:val="nil"/>
            </w:tcBorders>
          </w:tcPr>
          <w:p w:rsidR="00BB6F1F" w:rsidRPr="00EC2897" w:rsidRDefault="00BB6F1F" w:rsidP="00AC68FF">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lang w:eastAsia="en-AU"/>
              </w:rPr>
            </w:pPr>
            <w:r w:rsidRPr="00EC2897">
              <w:rPr>
                <w:rFonts w:eastAsiaTheme="minorEastAsia" w:cs="Calibri"/>
                <w:color w:val="000000"/>
                <w:sz w:val="16"/>
                <w:lang w:eastAsia="en-AU"/>
              </w:rPr>
              <w:t>(6 382)</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auto"/>
              <w:bottom w:val="single" w:sz="12" w:space="0" w:color="auto"/>
            </w:tcBorders>
          </w:tcPr>
          <w:p w:rsidR="00BB6F1F" w:rsidRPr="00EC2897" w:rsidRDefault="00BB6F1F" w:rsidP="00AC68FF">
            <w:pPr>
              <w:keepLines w:val="0"/>
              <w:autoSpaceDE w:val="0"/>
              <w:autoSpaceDN w:val="0"/>
              <w:adjustRightInd w:val="0"/>
              <w:spacing w:before="12" w:after="0"/>
              <w:jc w:val="right"/>
              <w:rPr>
                <w:rFonts w:eastAsiaTheme="minorEastAsia" w:cs="Calibri"/>
                <w:bCs/>
                <w:color w:val="000000"/>
                <w:sz w:val="16"/>
                <w:lang w:eastAsia="en-AU"/>
              </w:rPr>
            </w:pPr>
            <w:r w:rsidRPr="00EC2897">
              <w:rPr>
                <w:rFonts w:eastAsiaTheme="minorEastAsia" w:cs="Calibri"/>
                <w:bCs/>
                <w:color w:val="000000"/>
                <w:sz w:val="16"/>
                <w:lang w:eastAsia="en-AU"/>
              </w:rPr>
              <w:t>1 289</w:t>
            </w:r>
          </w:p>
        </w:tc>
        <w:tc>
          <w:tcPr>
            <w:tcW w:w="1604" w:type="dxa"/>
            <w:tcBorders>
              <w:top w:val="single" w:sz="6" w:space="0" w:color="auto"/>
              <w:bottom w:val="single" w:sz="12" w:space="0" w:color="auto"/>
            </w:tcBorders>
          </w:tcPr>
          <w:p w:rsidR="00BB6F1F" w:rsidRPr="00EC2897" w:rsidRDefault="00BB6F1F" w:rsidP="00AC68FF">
            <w:pPr>
              <w:keepLines w:val="0"/>
              <w:autoSpaceDE w:val="0"/>
              <w:autoSpaceDN w:val="0"/>
              <w:adjustRightInd w:val="0"/>
              <w:spacing w:before="12"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lang w:eastAsia="en-AU"/>
              </w:rPr>
            </w:pPr>
            <w:r>
              <w:rPr>
                <w:rFonts w:eastAsiaTheme="minorEastAsia" w:cs="Calibri"/>
                <w:bCs/>
                <w:color w:val="000000"/>
                <w:sz w:val="16"/>
                <w:lang w:eastAsia="en-AU"/>
              </w:rPr>
              <w:t>849</w:t>
            </w:r>
          </w:p>
        </w:tc>
        <w:tc>
          <w:tcPr>
            <w:tcW w:w="1604" w:type="dxa"/>
            <w:tcBorders>
              <w:top w:val="single" w:sz="6" w:space="0" w:color="auto"/>
              <w:bottom w:val="single" w:sz="12" w:space="0" w:color="auto"/>
            </w:tcBorders>
          </w:tcPr>
          <w:p w:rsidR="00BB6F1F" w:rsidRPr="00EC2897" w:rsidRDefault="00BB6F1F" w:rsidP="00AC68FF">
            <w:pPr>
              <w:keepLines w:val="0"/>
              <w:autoSpaceDE w:val="0"/>
              <w:autoSpaceDN w:val="0"/>
              <w:adjustRightInd w:val="0"/>
              <w:spacing w:before="12"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lang w:eastAsia="en-AU"/>
              </w:rPr>
            </w:pPr>
            <w:r>
              <w:rPr>
                <w:rFonts w:eastAsiaTheme="minorEastAsia" w:cs="Calibri"/>
                <w:bCs/>
                <w:color w:val="000000"/>
                <w:sz w:val="16"/>
                <w:lang w:eastAsia="en-AU"/>
              </w:rPr>
              <w:t>(29)</w:t>
            </w:r>
          </w:p>
        </w:tc>
        <w:tc>
          <w:tcPr>
            <w:tcW w:w="1604" w:type="dxa"/>
            <w:tcBorders>
              <w:top w:val="single" w:sz="6" w:space="0" w:color="auto"/>
              <w:bottom w:val="single" w:sz="12" w:space="0" w:color="auto"/>
            </w:tcBorders>
          </w:tcPr>
          <w:p w:rsidR="00BB6F1F" w:rsidRPr="00EC2897" w:rsidRDefault="00BB6F1F" w:rsidP="00AC68FF">
            <w:pPr>
              <w:keepLines w:val="0"/>
              <w:autoSpaceDE w:val="0"/>
              <w:autoSpaceDN w:val="0"/>
              <w:adjustRightInd w:val="0"/>
              <w:spacing w:before="12"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lang w:eastAsia="en-AU"/>
              </w:rPr>
            </w:pPr>
            <w:r>
              <w:rPr>
                <w:rFonts w:eastAsiaTheme="minorEastAsia" w:cs="Calibri"/>
                <w:bCs/>
                <w:color w:val="000000"/>
                <w:sz w:val="16"/>
                <w:lang w:eastAsia="en-AU"/>
              </w:rPr>
              <w:t>4</w:t>
            </w:r>
          </w:p>
        </w:tc>
        <w:tc>
          <w:tcPr>
            <w:tcW w:w="1604" w:type="dxa"/>
            <w:tcBorders>
              <w:top w:val="single" w:sz="6" w:space="0" w:color="auto"/>
              <w:bottom w:val="single" w:sz="12" w:space="0" w:color="auto"/>
            </w:tcBorders>
          </w:tcPr>
          <w:p w:rsidR="00BB6F1F" w:rsidRPr="00EC2897" w:rsidRDefault="00BB6F1F" w:rsidP="00AC68FF">
            <w:pPr>
              <w:keepLines w:val="0"/>
              <w:autoSpaceDE w:val="0"/>
              <w:autoSpaceDN w:val="0"/>
              <w:adjustRightInd w:val="0"/>
              <w:spacing w:before="12"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lang w:eastAsia="en-AU"/>
              </w:rPr>
            </w:pPr>
            <w:r w:rsidRPr="00EC2897">
              <w:rPr>
                <w:rFonts w:eastAsiaTheme="minorEastAsia" w:cs="Calibri"/>
                <w:bCs/>
                <w:color w:val="000000"/>
                <w:sz w:val="16"/>
                <w:lang w:eastAsia="en-AU"/>
              </w:rPr>
              <w:t>8 430</w:t>
            </w:r>
          </w:p>
        </w:tc>
        <w:tc>
          <w:tcPr>
            <w:tcW w:w="1604" w:type="dxa"/>
            <w:tcBorders>
              <w:top w:val="single" w:sz="6" w:space="0" w:color="auto"/>
              <w:bottom w:val="single" w:sz="12" w:space="0" w:color="auto"/>
            </w:tcBorders>
          </w:tcPr>
          <w:p w:rsidR="00BB6F1F" w:rsidRPr="00EC2897" w:rsidRDefault="00BB6F1F" w:rsidP="00AC68FF">
            <w:pPr>
              <w:keepLines w:val="0"/>
              <w:autoSpaceDE w:val="0"/>
              <w:autoSpaceDN w:val="0"/>
              <w:adjustRightInd w:val="0"/>
              <w:spacing w:before="12"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lang w:eastAsia="en-AU"/>
              </w:rPr>
            </w:pPr>
            <w:r w:rsidRPr="00EC2897">
              <w:rPr>
                <w:rFonts w:eastAsiaTheme="minorEastAsia" w:cs="Calibri"/>
                <w:bCs/>
                <w:color w:val="000000"/>
                <w:sz w:val="16"/>
                <w:lang w:eastAsia="en-AU"/>
              </w:rPr>
              <w:t>1 554</w:t>
            </w:r>
          </w:p>
        </w:tc>
      </w:tr>
    </w:tbl>
    <w:p w:rsidR="00BB6F1F" w:rsidRDefault="00BB6F1F" w:rsidP="00AC68FF">
      <w:pPr>
        <w:sectPr w:rsidR="00BB6F1F" w:rsidSect="00AC68FF">
          <w:headerReference w:type="default" r:id="rId137"/>
          <w:type w:val="continuous"/>
          <w:pgSz w:w="11907" w:h="16839" w:code="9"/>
          <w:pgMar w:top="1134" w:right="1134" w:bottom="1134" w:left="1134" w:header="624" w:footer="567" w:gutter="0"/>
          <w:cols w:sep="1" w:space="567"/>
          <w:docGrid w:linePitch="360"/>
        </w:sectPr>
      </w:pPr>
    </w:p>
    <w:p w:rsidR="00BB6F1F" w:rsidRPr="00EC2897" w:rsidRDefault="00BB6F1F" w:rsidP="00AC68FF">
      <w:pPr>
        <w:pStyle w:val="TableHeading"/>
        <w:spacing w:before="0"/>
        <w:rPr>
          <w:rStyle w:val="TableUnitsChar"/>
          <w:bCs/>
          <w:lang w:val="en-US"/>
        </w:rPr>
      </w:pPr>
      <w:r w:rsidRPr="00B20D51">
        <w:lastRenderedPageBreak/>
        <w:t xml:space="preserve">Disaggregated statement of changes in equity for the financial year ended 30 June </w:t>
      </w:r>
      <w:r w:rsidRPr="00B20D51">
        <w:tab/>
      </w:r>
      <w:r w:rsidRPr="00B20D51">
        <w:tab/>
      </w:r>
      <w:r w:rsidRPr="003D766C">
        <w:t>($ million)</w:t>
      </w: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4677"/>
        <w:gridCol w:w="1417"/>
        <w:gridCol w:w="1276"/>
        <w:gridCol w:w="1417"/>
        <w:gridCol w:w="1843"/>
        <w:gridCol w:w="1559"/>
        <w:gridCol w:w="1276"/>
        <w:gridCol w:w="1106"/>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iCs/>
                <w:color w:val="FFFFFF"/>
                <w:szCs w:val="21"/>
                <w:lang w:eastAsia="en-AU"/>
              </w:rPr>
            </w:pPr>
            <w:r w:rsidRPr="00EC2897">
              <w:rPr>
                <w:rFonts w:eastAsiaTheme="minorEastAsia" w:cs="Calibri"/>
                <w:iCs/>
                <w:color w:val="FFFFFF"/>
                <w:szCs w:val="21"/>
                <w:lang w:eastAsia="en-AU"/>
              </w:rPr>
              <w:t xml:space="preserve">2017 </w:t>
            </w:r>
          </w:p>
        </w:tc>
        <w:tc>
          <w:tcPr>
            <w:tcW w:w="1417"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EC2897">
              <w:rPr>
                <w:rFonts w:eastAsiaTheme="minorEastAsia" w:cs="Calibri"/>
                <w:iCs/>
                <w:color w:val="FFFFFF"/>
                <w:szCs w:val="21"/>
                <w:lang w:eastAsia="en-AU"/>
              </w:rPr>
              <w:t>Accumulated surplus/(deficit)</w:t>
            </w:r>
          </w:p>
        </w:tc>
        <w:tc>
          <w:tcPr>
            <w:tcW w:w="1276"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EC2897">
              <w:rPr>
                <w:rFonts w:eastAsiaTheme="minorEastAsia" w:cs="Calibri"/>
                <w:iCs/>
                <w:color w:val="FFFFFF"/>
                <w:szCs w:val="21"/>
                <w:lang w:eastAsia="en-AU"/>
              </w:rPr>
              <w:t xml:space="preserve">Contribution </w:t>
            </w:r>
            <w:r>
              <w:rPr>
                <w:rFonts w:eastAsiaTheme="minorEastAsia" w:cs="Calibri"/>
                <w:iCs/>
                <w:color w:val="FFFFFF"/>
                <w:szCs w:val="21"/>
                <w:lang w:eastAsia="en-AU"/>
              </w:rPr>
              <w:br/>
            </w:r>
            <w:r w:rsidRPr="00EC2897">
              <w:rPr>
                <w:rFonts w:eastAsiaTheme="minorEastAsia" w:cs="Calibri"/>
                <w:iCs/>
                <w:color w:val="FFFFFF"/>
                <w:szCs w:val="21"/>
                <w:lang w:eastAsia="en-AU"/>
              </w:rPr>
              <w:t>by owners</w:t>
            </w:r>
          </w:p>
        </w:tc>
        <w:tc>
          <w:tcPr>
            <w:tcW w:w="1417"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EC2897">
              <w:rPr>
                <w:rFonts w:eastAsiaTheme="minorEastAsia" w:cs="Calibri"/>
                <w:iCs/>
                <w:color w:val="FFFFFF"/>
                <w:szCs w:val="21"/>
                <w:lang w:eastAsia="en-AU"/>
              </w:rPr>
              <w:t>Non-controlling Interest</w:t>
            </w:r>
          </w:p>
        </w:tc>
        <w:tc>
          <w:tcPr>
            <w:tcW w:w="1843"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EC2897">
              <w:rPr>
                <w:rFonts w:eastAsiaTheme="minorEastAsia" w:cs="Calibri"/>
                <w:iCs/>
                <w:color w:val="FFFFFF"/>
                <w:szCs w:val="21"/>
                <w:lang w:eastAsia="en-AU"/>
              </w:rPr>
              <w:t>Non-financial assets revaluation surplus</w:t>
            </w:r>
          </w:p>
        </w:tc>
        <w:tc>
          <w:tcPr>
            <w:tcW w:w="1559"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EC2897">
              <w:rPr>
                <w:rFonts w:eastAsiaTheme="minorEastAsia" w:cs="Calibri"/>
                <w:iCs/>
                <w:color w:val="FFFFFF"/>
                <w:szCs w:val="21"/>
                <w:lang w:eastAsia="en-AU"/>
              </w:rPr>
              <w:t>Investment in other sector entities revaluation surplus</w:t>
            </w:r>
          </w:p>
        </w:tc>
        <w:tc>
          <w:tcPr>
            <w:tcW w:w="1276"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EC2897">
              <w:rPr>
                <w:rFonts w:eastAsiaTheme="minorEastAsia" w:cs="Calibri"/>
                <w:iCs/>
                <w:color w:val="FFFFFF"/>
                <w:szCs w:val="21"/>
                <w:lang w:eastAsia="en-AU"/>
              </w:rPr>
              <w:t xml:space="preserve">Other </w:t>
            </w:r>
            <w:r>
              <w:rPr>
                <w:rFonts w:eastAsiaTheme="minorEastAsia" w:cs="Calibri"/>
                <w:iCs/>
                <w:color w:val="FFFFFF"/>
                <w:szCs w:val="21"/>
                <w:lang w:eastAsia="en-AU"/>
              </w:rPr>
              <w:br/>
            </w:r>
            <w:r w:rsidRPr="00EC2897">
              <w:rPr>
                <w:rFonts w:eastAsiaTheme="minorEastAsia" w:cs="Calibri"/>
                <w:iCs/>
                <w:color w:val="FFFFFF"/>
                <w:szCs w:val="21"/>
                <w:lang w:eastAsia="en-AU"/>
              </w:rPr>
              <w:t>reserves</w:t>
            </w:r>
          </w:p>
        </w:tc>
        <w:tc>
          <w:tcPr>
            <w:tcW w:w="1106"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EC2897">
              <w:rPr>
                <w:rFonts w:eastAsiaTheme="minorEastAsia" w:cs="Calibri"/>
                <w:iCs/>
                <w:color w:val="FFFFFF"/>
                <w:szCs w:val="21"/>
                <w:lang w:eastAsia="en-AU"/>
              </w:rPr>
              <w:t>Total</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1"/>
                <w:lang w:eastAsia="en-AU"/>
              </w:rPr>
            </w:pPr>
            <w:r w:rsidRPr="00EC2897">
              <w:rPr>
                <w:rFonts w:eastAsiaTheme="minorEastAsia" w:cs="Calibri"/>
                <w:b/>
                <w:bCs/>
                <w:color w:val="000000"/>
                <w:szCs w:val="21"/>
                <w:lang w:eastAsia="en-AU"/>
              </w:rPr>
              <w:t>General government sector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 xml:space="preserve"> </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 xml:space="preserve"> </w:t>
            </w:r>
          </w:p>
        </w:tc>
        <w:tc>
          <w:tcPr>
            <w:tcW w:w="11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vertAlign w:val="superscript"/>
                <w:lang w:eastAsia="en-AU"/>
              </w:rPr>
            </w:pPr>
            <w:r w:rsidRPr="00EC2897">
              <w:rPr>
                <w:rFonts w:eastAsiaTheme="minorEastAsia" w:cs="Calibri"/>
                <w:color w:val="000000"/>
                <w:szCs w:val="21"/>
                <w:lang w:eastAsia="en-AU"/>
              </w:rPr>
              <w:t xml:space="preserve">Balance at 1 July 2016 </w:t>
            </w:r>
            <w:r w:rsidRPr="00EC2897">
              <w:rPr>
                <w:rFonts w:eastAsiaTheme="minorEastAsia" w:cs="Calibri"/>
                <w:color w:val="000000"/>
                <w:szCs w:val="21"/>
                <w:vertAlign w:val="superscript"/>
                <w:lang w:eastAsia="en-AU"/>
              </w:rPr>
              <w:t>(a)</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44 557</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50</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49 613</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57 027</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551</w:t>
            </w:r>
          </w:p>
        </w:tc>
        <w:tc>
          <w:tcPr>
            <w:tcW w:w="11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151 798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1"/>
                <w:lang w:eastAsia="en-AU"/>
              </w:rPr>
              <w:t xml:space="preserve">Net result for </w:t>
            </w:r>
            <w:r w:rsidRPr="00EC2897">
              <w:rPr>
                <w:rFonts w:eastAsiaTheme="minorEastAsia" w:cs="Calibri"/>
                <w:color w:val="000000"/>
                <w:szCs w:val="20"/>
                <w:lang w:eastAsia="en-AU"/>
              </w:rPr>
              <w:t>the year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2 559</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2 559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Other comprehensive income for the year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4 391</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6 090</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3 122</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117</w:t>
            </w:r>
          </w:p>
        </w:tc>
        <w:tc>
          <w:tcPr>
            <w:tcW w:w="11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13 720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4"/>
                <w:lang w:eastAsia="en-AU"/>
              </w:rPr>
            </w:pPr>
            <w:r w:rsidRPr="00EC2897">
              <w:rPr>
                <w:rFonts w:eastAsiaTheme="minorEastAsia" w:cs="Calibri"/>
                <w:color w:val="000000"/>
                <w:szCs w:val="21"/>
                <w:lang w:eastAsia="en-AU"/>
              </w:rPr>
              <w:t>Transfer to/(from) accumulated surplus</w:t>
            </w:r>
            <w:r w:rsidRPr="00EC2897">
              <w:rPr>
                <w:rFonts w:eastAsiaTheme="minorEastAsia" w:cs="Calibri"/>
                <w:color w:val="000000"/>
                <w:szCs w:val="14"/>
                <w:lang w:eastAsia="en-AU"/>
              </w:rPr>
              <w:t xml:space="preserve"> </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(43)</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43</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Transactions with owners in their capacity as owners</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(50)</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(50)</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Cs w:val="21"/>
                <w:lang w:eastAsia="en-AU"/>
              </w:rPr>
            </w:pPr>
            <w:r w:rsidRPr="00EC2897">
              <w:rPr>
                <w:rFonts w:eastAsiaTheme="minorEastAsia" w:cs="Calibri"/>
                <w:b/>
                <w:bCs/>
                <w:color w:val="000000"/>
                <w:szCs w:val="21"/>
                <w:lang w:eastAsia="en-AU"/>
              </w:rPr>
              <w:t>Total equity as at 30 June 2017</w:t>
            </w:r>
          </w:p>
        </w:tc>
        <w:tc>
          <w:tcPr>
            <w:tcW w:w="141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51 464</w:t>
            </w:r>
          </w:p>
        </w:tc>
        <w:tc>
          <w:tcPr>
            <w:tcW w:w="1276"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41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843"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55 745</w:t>
            </w:r>
          </w:p>
        </w:tc>
        <w:tc>
          <w:tcPr>
            <w:tcW w:w="1559"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60 149</w:t>
            </w:r>
          </w:p>
        </w:tc>
        <w:tc>
          <w:tcPr>
            <w:tcW w:w="1276"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669</w:t>
            </w:r>
          </w:p>
        </w:tc>
        <w:tc>
          <w:tcPr>
            <w:tcW w:w="1106"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168 027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lang w:eastAsia="en-AU"/>
              </w:rPr>
            </w:pPr>
            <w:r w:rsidRPr="00EC2897">
              <w:rPr>
                <w:rFonts w:eastAsiaTheme="minorEastAsia" w:cs="Calibri"/>
                <w:b/>
                <w:bCs/>
                <w:color w:val="000000"/>
                <w:lang w:eastAsia="en-AU"/>
              </w:rPr>
              <w:t>PNFC sector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 xml:space="preserve"> </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 xml:space="preserve"> </w:t>
            </w:r>
          </w:p>
        </w:tc>
        <w:tc>
          <w:tcPr>
            <w:tcW w:w="11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Balance at 1 July 2016</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4 397</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52 166</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35 219</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451</w:t>
            </w:r>
          </w:p>
        </w:tc>
        <w:tc>
          <w:tcPr>
            <w:tcW w:w="11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92 233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Net result for the year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(347)</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(347)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Other comprehensive income for the year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(24)</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2 669</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41</w:t>
            </w:r>
          </w:p>
        </w:tc>
        <w:tc>
          <w:tcPr>
            <w:tcW w:w="11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2 686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 xml:space="preserve">Transfer to/(from) accumulated surplus </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(156)</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8 059</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(7 903)</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Dividends paid</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(123)</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(123)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Transactions with owners in their capacity as owners</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(5 323)</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(5 323)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Cs w:val="21"/>
                <w:lang w:eastAsia="en-AU"/>
              </w:rPr>
            </w:pPr>
            <w:r w:rsidRPr="00EC2897">
              <w:rPr>
                <w:rFonts w:eastAsiaTheme="minorEastAsia" w:cs="Calibri"/>
                <w:b/>
                <w:bCs/>
                <w:color w:val="000000"/>
                <w:szCs w:val="21"/>
                <w:lang w:eastAsia="en-AU"/>
              </w:rPr>
              <w:t>Total equity as at 30 June 2017</w:t>
            </w:r>
          </w:p>
        </w:tc>
        <w:tc>
          <w:tcPr>
            <w:tcW w:w="141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3 747</w:t>
            </w:r>
          </w:p>
        </w:tc>
        <w:tc>
          <w:tcPr>
            <w:tcW w:w="1276"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54 902</w:t>
            </w:r>
          </w:p>
        </w:tc>
        <w:tc>
          <w:tcPr>
            <w:tcW w:w="141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843"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29 985</w:t>
            </w:r>
          </w:p>
        </w:tc>
        <w:tc>
          <w:tcPr>
            <w:tcW w:w="1559"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276"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492</w:t>
            </w:r>
          </w:p>
        </w:tc>
        <w:tc>
          <w:tcPr>
            <w:tcW w:w="1106"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89 126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lang w:eastAsia="en-AU"/>
              </w:rPr>
            </w:pPr>
            <w:r w:rsidRPr="00EC2897">
              <w:rPr>
                <w:rFonts w:eastAsiaTheme="minorEastAsia" w:cs="Calibri"/>
                <w:b/>
                <w:bCs/>
                <w:color w:val="000000"/>
                <w:lang w:eastAsia="en-AU"/>
              </w:rPr>
              <w:t>PFC sector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 xml:space="preserve"> </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 xml:space="preserve"> </w:t>
            </w:r>
          </w:p>
        </w:tc>
        <w:tc>
          <w:tcPr>
            <w:tcW w:w="11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Balance at 1 July 2016</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(3 849)</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29</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2</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40</w:t>
            </w:r>
          </w:p>
        </w:tc>
        <w:tc>
          <w:tcPr>
            <w:tcW w:w="11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(3 778)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Net result for the year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4 236</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4 236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Other comprehensive income for the year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3</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w:t>
            </w:r>
          </w:p>
        </w:tc>
        <w:tc>
          <w:tcPr>
            <w:tcW w:w="11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Dividends paid</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(246)</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(246)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Transactions with owners in their capacity as owners</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1"/>
                <w:lang w:eastAsia="en-AU"/>
              </w:rPr>
            </w:pPr>
            <w:r w:rsidRPr="00EC2897">
              <w:rPr>
                <w:rFonts w:eastAsiaTheme="minorEastAsia" w:cs="Calibri"/>
                <w:b/>
                <w:bCs/>
                <w:color w:val="000000"/>
                <w:szCs w:val="21"/>
                <w:lang w:eastAsia="en-AU"/>
              </w:rPr>
              <w:t>Total equity as at 30 June 2017</w:t>
            </w:r>
          </w:p>
        </w:tc>
        <w:tc>
          <w:tcPr>
            <w:tcW w:w="1417"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143</w:t>
            </w:r>
          </w:p>
        </w:tc>
        <w:tc>
          <w:tcPr>
            <w:tcW w:w="1276"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29</w:t>
            </w:r>
          </w:p>
        </w:tc>
        <w:tc>
          <w:tcPr>
            <w:tcW w:w="1417"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843"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2</w:t>
            </w:r>
          </w:p>
        </w:tc>
        <w:tc>
          <w:tcPr>
            <w:tcW w:w="1559"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276"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39</w:t>
            </w:r>
          </w:p>
        </w:tc>
        <w:tc>
          <w:tcPr>
            <w:tcW w:w="1106"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213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single" w:sz="12" w:space="0" w:color="000000"/>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Eliminations</w:t>
            </w:r>
          </w:p>
        </w:tc>
        <w:tc>
          <w:tcPr>
            <w:tcW w:w="1417" w:type="dxa"/>
            <w:tcBorders>
              <w:top w:val="single" w:sz="12"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19 783</w:t>
            </w:r>
          </w:p>
        </w:tc>
        <w:tc>
          <w:tcPr>
            <w:tcW w:w="1276" w:type="dxa"/>
            <w:tcBorders>
              <w:top w:val="single" w:sz="12"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(54 931)</w:t>
            </w:r>
          </w:p>
        </w:tc>
        <w:tc>
          <w:tcPr>
            <w:tcW w:w="1417" w:type="dxa"/>
            <w:tcBorders>
              <w:top w:val="single" w:sz="12"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single" w:sz="12"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10 164</w:t>
            </w:r>
          </w:p>
        </w:tc>
        <w:tc>
          <w:tcPr>
            <w:tcW w:w="1559" w:type="dxa"/>
            <w:tcBorders>
              <w:top w:val="single" w:sz="12"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(60 149)</w:t>
            </w:r>
          </w:p>
        </w:tc>
        <w:tc>
          <w:tcPr>
            <w:tcW w:w="1276" w:type="dxa"/>
            <w:tcBorders>
              <w:top w:val="single" w:sz="12"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single" w:sz="12"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(85 133)</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rPr>
                <w:rFonts w:eastAsiaTheme="minorEastAsia" w:cs="Calibri"/>
                <w:color w:val="000000"/>
                <w:lang w:eastAsia="en-AU"/>
              </w:rPr>
            </w:pPr>
            <w:r w:rsidRPr="00EC2897">
              <w:rPr>
                <w:rFonts w:eastAsiaTheme="minorEastAsia" w:cs="Calibri"/>
                <w:color w:val="000000"/>
                <w:lang w:eastAsia="en-AU"/>
              </w:rPr>
              <w:t>Total State of Victoria</w:t>
            </w:r>
          </w:p>
        </w:tc>
        <w:tc>
          <w:tcPr>
            <w:tcW w:w="1417"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75 137</w:t>
            </w:r>
          </w:p>
        </w:tc>
        <w:tc>
          <w:tcPr>
            <w:tcW w:w="1276"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w:t>
            </w:r>
          </w:p>
        </w:tc>
        <w:tc>
          <w:tcPr>
            <w:tcW w:w="1417"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w:t>
            </w:r>
          </w:p>
        </w:tc>
        <w:tc>
          <w:tcPr>
            <w:tcW w:w="1843"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95 897</w:t>
            </w:r>
          </w:p>
        </w:tc>
        <w:tc>
          <w:tcPr>
            <w:tcW w:w="1559"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w:t>
            </w:r>
          </w:p>
        </w:tc>
        <w:tc>
          <w:tcPr>
            <w:tcW w:w="1276"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1 199</w:t>
            </w:r>
          </w:p>
        </w:tc>
        <w:tc>
          <w:tcPr>
            <w:tcW w:w="1106"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172 234</w:t>
            </w:r>
          </w:p>
        </w:tc>
      </w:tr>
    </w:tbl>
    <w:p w:rsidR="00BB6F1F" w:rsidRDefault="00BB6F1F" w:rsidP="00AC68FF"/>
    <w:p w:rsidR="00BB6F1F" w:rsidRDefault="00BB6F1F" w:rsidP="00AC68FF">
      <w:r>
        <w:br w:type="page"/>
      </w:r>
    </w:p>
    <w:p w:rsidR="00BB6F1F" w:rsidRPr="00EC2897" w:rsidRDefault="00BB6F1F" w:rsidP="00AC68FF">
      <w:pPr>
        <w:pStyle w:val="TableHeading"/>
        <w:rPr>
          <w:rStyle w:val="TableUnitsChar"/>
          <w:bCs/>
          <w:lang w:val="en-US"/>
        </w:rPr>
      </w:pPr>
      <w:r w:rsidRPr="00B20D51">
        <w:lastRenderedPageBreak/>
        <w:t xml:space="preserve">Disaggregated statement of changes in equity for the financial year ended 30 June </w:t>
      </w:r>
      <w:r w:rsidRPr="00B20D51">
        <w:rPr>
          <w:i/>
        </w:rPr>
        <w:t>(continued)</w:t>
      </w:r>
      <w:r w:rsidRPr="00B20D51">
        <w:tab/>
      </w:r>
      <w:r w:rsidRPr="00B20D51">
        <w:tab/>
      </w:r>
      <w:r w:rsidRPr="003D766C">
        <w:t>($ million)</w:t>
      </w:r>
    </w:p>
    <w:tbl>
      <w:tblPr>
        <w:tblStyle w:val="DTFTable"/>
        <w:tblW w:w="14570" w:type="dxa"/>
        <w:tblInd w:w="45" w:type="dxa"/>
        <w:tblLayout w:type="fixed"/>
        <w:tblCellMar>
          <w:left w:w="45" w:type="dxa"/>
          <w:right w:w="45" w:type="dxa"/>
        </w:tblCellMar>
        <w:tblLook w:val="06E0" w:firstRow="1" w:lastRow="1" w:firstColumn="1" w:lastColumn="0" w:noHBand="1" w:noVBand="1"/>
      </w:tblPr>
      <w:tblGrid>
        <w:gridCol w:w="4677"/>
        <w:gridCol w:w="1417"/>
        <w:gridCol w:w="1276"/>
        <w:gridCol w:w="1417"/>
        <w:gridCol w:w="1843"/>
        <w:gridCol w:w="1559"/>
        <w:gridCol w:w="1247"/>
        <w:gridCol w:w="1134"/>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iCs/>
                <w:color w:val="FFFFFF"/>
                <w:szCs w:val="21"/>
                <w:lang w:eastAsia="en-AU"/>
              </w:rPr>
            </w:pPr>
            <w:r w:rsidRPr="00EC2897">
              <w:rPr>
                <w:rFonts w:eastAsiaTheme="minorEastAsia" w:cs="Calibri"/>
                <w:iCs/>
                <w:color w:val="FFFFFF"/>
                <w:szCs w:val="21"/>
                <w:lang w:eastAsia="en-AU"/>
              </w:rPr>
              <w:t xml:space="preserve">2016 </w:t>
            </w:r>
          </w:p>
        </w:tc>
        <w:tc>
          <w:tcPr>
            <w:tcW w:w="1417"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EC2897">
              <w:rPr>
                <w:rFonts w:eastAsiaTheme="minorEastAsia" w:cs="Calibri"/>
                <w:iCs/>
                <w:color w:val="FFFFFF"/>
                <w:szCs w:val="21"/>
                <w:lang w:eastAsia="en-AU"/>
              </w:rPr>
              <w:t>Accumulated surplus/(deficit)</w:t>
            </w:r>
          </w:p>
        </w:tc>
        <w:tc>
          <w:tcPr>
            <w:tcW w:w="1276"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EC2897">
              <w:rPr>
                <w:rFonts w:eastAsiaTheme="minorEastAsia" w:cs="Calibri"/>
                <w:iCs/>
                <w:color w:val="FFFFFF"/>
                <w:szCs w:val="21"/>
                <w:lang w:eastAsia="en-AU"/>
              </w:rPr>
              <w:t xml:space="preserve">Contribution </w:t>
            </w:r>
            <w:r>
              <w:rPr>
                <w:rFonts w:eastAsiaTheme="minorEastAsia" w:cs="Calibri"/>
                <w:iCs/>
                <w:color w:val="FFFFFF"/>
                <w:szCs w:val="21"/>
                <w:lang w:eastAsia="en-AU"/>
              </w:rPr>
              <w:br/>
            </w:r>
            <w:r w:rsidRPr="00EC2897">
              <w:rPr>
                <w:rFonts w:eastAsiaTheme="minorEastAsia" w:cs="Calibri"/>
                <w:iCs/>
                <w:color w:val="FFFFFF"/>
                <w:szCs w:val="21"/>
                <w:lang w:eastAsia="en-AU"/>
              </w:rPr>
              <w:t>by owners</w:t>
            </w:r>
          </w:p>
        </w:tc>
        <w:tc>
          <w:tcPr>
            <w:tcW w:w="1417"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EC2897">
              <w:rPr>
                <w:rFonts w:eastAsiaTheme="minorEastAsia" w:cs="Calibri"/>
                <w:iCs/>
                <w:color w:val="FFFFFF"/>
                <w:szCs w:val="21"/>
                <w:lang w:eastAsia="en-AU"/>
              </w:rPr>
              <w:t>Non-controlling Interest</w:t>
            </w:r>
          </w:p>
        </w:tc>
        <w:tc>
          <w:tcPr>
            <w:tcW w:w="1843"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EC2897">
              <w:rPr>
                <w:rFonts w:eastAsiaTheme="minorEastAsia" w:cs="Calibri"/>
                <w:iCs/>
                <w:color w:val="FFFFFF"/>
                <w:szCs w:val="21"/>
                <w:lang w:eastAsia="en-AU"/>
              </w:rPr>
              <w:t>Non-financial assets revaluation surplus</w:t>
            </w:r>
          </w:p>
        </w:tc>
        <w:tc>
          <w:tcPr>
            <w:tcW w:w="1559"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EC2897">
              <w:rPr>
                <w:rFonts w:eastAsiaTheme="minorEastAsia" w:cs="Calibri"/>
                <w:iCs/>
                <w:color w:val="FFFFFF"/>
                <w:szCs w:val="21"/>
                <w:lang w:eastAsia="en-AU"/>
              </w:rPr>
              <w:t>Investment in other sector entities revaluation surplus</w:t>
            </w:r>
          </w:p>
        </w:tc>
        <w:tc>
          <w:tcPr>
            <w:tcW w:w="1247"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EC2897">
              <w:rPr>
                <w:rFonts w:eastAsiaTheme="minorEastAsia" w:cs="Calibri"/>
                <w:iCs/>
                <w:color w:val="FFFFFF"/>
                <w:szCs w:val="21"/>
                <w:lang w:eastAsia="en-AU"/>
              </w:rPr>
              <w:t xml:space="preserve">Other </w:t>
            </w:r>
            <w:r>
              <w:rPr>
                <w:rFonts w:eastAsiaTheme="minorEastAsia" w:cs="Calibri"/>
                <w:iCs/>
                <w:color w:val="FFFFFF"/>
                <w:szCs w:val="21"/>
                <w:lang w:eastAsia="en-AU"/>
              </w:rPr>
              <w:br/>
            </w:r>
            <w:r w:rsidRPr="00EC2897">
              <w:rPr>
                <w:rFonts w:eastAsiaTheme="minorEastAsia" w:cs="Calibri"/>
                <w:iCs/>
                <w:color w:val="FFFFFF"/>
                <w:szCs w:val="21"/>
                <w:lang w:eastAsia="en-AU"/>
              </w:rPr>
              <w:t>reserves</w:t>
            </w:r>
          </w:p>
        </w:tc>
        <w:tc>
          <w:tcPr>
            <w:tcW w:w="1134"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EC2897">
              <w:rPr>
                <w:rFonts w:eastAsiaTheme="minorEastAsia" w:cs="Calibri"/>
                <w:iCs/>
                <w:color w:val="FFFFFF"/>
                <w:szCs w:val="21"/>
                <w:lang w:eastAsia="en-AU"/>
              </w:rPr>
              <w:t>Total</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1"/>
                <w:lang w:eastAsia="en-AU"/>
              </w:rPr>
            </w:pPr>
            <w:r w:rsidRPr="00EC2897">
              <w:rPr>
                <w:rFonts w:eastAsiaTheme="minorEastAsia" w:cs="Calibri"/>
                <w:b/>
                <w:bCs/>
                <w:color w:val="000000"/>
                <w:szCs w:val="21"/>
                <w:lang w:eastAsia="en-AU"/>
              </w:rPr>
              <w:t>General government sector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 xml:space="preserve"> </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24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vertAlign w:val="superscript"/>
                <w:lang w:eastAsia="en-AU"/>
              </w:rPr>
            </w:pPr>
            <w:r w:rsidRPr="00EC2897">
              <w:rPr>
                <w:rFonts w:eastAsiaTheme="minorEastAsia" w:cs="Calibri"/>
                <w:color w:val="000000"/>
                <w:szCs w:val="21"/>
                <w:lang w:eastAsia="en-AU"/>
              </w:rPr>
              <w:t xml:space="preserve">Balance at 1 July 2015 </w:t>
            </w:r>
            <w:r w:rsidRPr="00EC2897">
              <w:rPr>
                <w:rFonts w:eastAsiaTheme="minorEastAsia" w:cs="Calibri"/>
                <w:color w:val="000000"/>
                <w:szCs w:val="21"/>
                <w:vertAlign w:val="superscript"/>
                <w:lang w:eastAsia="en-AU"/>
              </w:rPr>
              <w:t>(a)</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45 867</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50</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43 355</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46 494</w:t>
            </w:r>
          </w:p>
        </w:tc>
        <w:tc>
          <w:tcPr>
            <w:tcW w:w="124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728</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136 494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1"/>
                <w:lang w:eastAsia="en-AU"/>
              </w:rPr>
              <w:t xml:space="preserve">Net result for </w:t>
            </w:r>
            <w:r w:rsidRPr="00EC2897">
              <w:rPr>
                <w:rFonts w:eastAsiaTheme="minorEastAsia" w:cs="Calibri"/>
                <w:color w:val="000000"/>
                <w:szCs w:val="20"/>
                <w:lang w:eastAsia="en-AU"/>
              </w:rPr>
              <w:t>the year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1 817</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1 817</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Other comprehensive income for the year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(3 106)</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6 236</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10 533</w:t>
            </w:r>
          </w:p>
        </w:tc>
        <w:tc>
          <w:tcPr>
            <w:tcW w:w="124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(177)</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13 486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14"/>
                <w:lang w:eastAsia="en-AU"/>
              </w:rPr>
            </w:pPr>
            <w:r w:rsidRPr="00EC2897">
              <w:rPr>
                <w:rFonts w:eastAsiaTheme="minorEastAsia" w:cs="Calibri"/>
                <w:color w:val="000000"/>
                <w:szCs w:val="21"/>
                <w:lang w:eastAsia="en-AU"/>
              </w:rPr>
              <w:t>Transfer to/(from) accumulated surplus</w:t>
            </w:r>
            <w:r w:rsidRPr="00EC2897">
              <w:rPr>
                <w:rFonts w:eastAsiaTheme="minorEastAsia" w:cs="Calibri"/>
                <w:color w:val="000000"/>
                <w:szCs w:val="14"/>
                <w:lang w:eastAsia="en-AU"/>
              </w:rPr>
              <w:t xml:space="preserve"> </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(22)</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22</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Cs w:val="21"/>
                <w:vertAlign w:val="superscript"/>
                <w:lang w:eastAsia="en-AU"/>
              </w:rPr>
            </w:pPr>
            <w:r w:rsidRPr="00EC2897">
              <w:rPr>
                <w:rFonts w:eastAsiaTheme="minorEastAsia" w:cs="Calibri"/>
                <w:b/>
                <w:bCs/>
                <w:color w:val="000000"/>
                <w:szCs w:val="21"/>
                <w:lang w:eastAsia="en-AU"/>
              </w:rPr>
              <w:t xml:space="preserve">Total equity as at 30 June 2016 </w:t>
            </w:r>
            <w:r w:rsidRPr="00EC2897">
              <w:rPr>
                <w:rFonts w:eastAsiaTheme="minorEastAsia" w:cs="Calibri"/>
                <w:b/>
                <w:bCs/>
                <w:color w:val="000000"/>
                <w:szCs w:val="21"/>
                <w:vertAlign w:val="superscript"/>
                <w:lang w:eastAsia="en-AU"/>
              </w:rPr>
              <w:t>(a)</w:t>
            </w:r>
          </w:p>
        </w:tc>
        <w:tc>
          <w:tcPr>
            <w:tcW w:w="141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44 557</w:t>
            </w:r>
          </w:p>
        </w:tc>
        <w:tc>
          <w:tcPr>
            <w:tcW w:w="1276"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41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50</w:t>
            </w:r>
          </w:p>
        </w:tc>
        <w:tc>
          <w:tcPr>
            <w:tcW w:w="1843"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49 613</w:t>
            </w:r>
          </w:p>
        </w:tc>
        <w:tc>
          <w:tcPr>
            <w:tcW w:w="1559"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57 027</w:t>
            </w:r>
          </w:p>
        </w:tc>
        <w:tc>
          <w:tcPr>
            <w:tcW w:w="124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551</w:t>
            </w:r>
          </w:p>
        </w:tc>
        <w:tc>
          <w:tcPr>
            <w:tcW w:w="113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151 798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lang w:eastAsia="en-AU"/>
              </w:rPr>
            </w:pPr>
            <w:r w:rsidRPr="00EC2897">
              <w:rPr>
                <w:rFonts w:eastAsiaTheme="minorEastAsia" w:cs="Calibri"/>
                <w:b/>
                <w:bCs/>
                <w:color w:val="000000"/>
                <w:lang w:eastAsia="en-AU"/>
              </w:rPr>
              <w:t>PNFC sector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 xml:space="preserve"> </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24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Balance at 1 July 2015</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4 511</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49 943</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24 161</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437</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79 052</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Net result for the year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314</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314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Other comprehensive income for the year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(280)</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11 057</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14</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10 791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 xml:space="preserve">Transfer to/(from) accumulated surplus </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Dividends paid</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(149)</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(149)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Transactions with owners in their capacity as owners</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2 224</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2 224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rPr>
                <w:rFonts w:eastAsiaTheme="minorEastAsia" w:cs="Calibri"/>
                <w:b/>
                <w:bCs/>
                <w:color w:val="000000"/>
                <w:szCs w:val="21"/>
                <w:lang w:eastAsia="en-AU"/>
              </w:rPr>
            </w:pPr>
            <w:r w:rsidRPr="00EC2897">
              <w:rPr>
                <w:rFonts w:eastAsiaTheme="minorEastAsia" w:cs="Calibri"/>
                <w:b/>
                <w:bCs/>
                <w:color w:val="000000"/>
                <w:szCs w:val="21"/>
                <w:lang w:eastAsia="en-AU"/>
              </w:rPr>
              <w:t>Total equity as at 30 June 2016</w:t>
            </w:r>
          </w:p>
        </w:tc>
        <w:tc>
          <w:tcPr>
            <w:tcW w:w="141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4 397</w:t>
            </w:r>
          </w:p>
        </w:tc>
        <w:tc>
          <w:tcPr>
            <w:tcW w:w="1276"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52 166</w:t>
            </w:r>
          </w:p>
        </w:tc>
        <w:tc>
          <w:tcPr>
            <w:tcW w:w="141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843"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35 219</w:t>
            </w:r>
          </w:p>
        </w:tc>
        <w:tc>
          <w:tcPr>
            <w:tcW w:w="1559"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247"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451</w:t>
            </w:r>
          </w:p>
        </w:tc>
        <w:tc>
          <w:tcPr>
            <w:tcW w:w="1134" w:type="dxa"/>
            <w:tcBorders>
              <w:top w:val="single" w:sz="6" w:space="0" w:color="000000"/>
              <w:left w:val="nil"/>
              <w:bottom w:val="single" w:sz="12" w:space="0" w:color="000000"/>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92 233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lang w:eastAsia="en-AU"/>
              </w:rPr>
            </w:pPr>
            <w:r w:rsidRPr="00EC2897">
              <w:rPr>
                <w:rFonts w:eastAsiaTheme="minorEastAsia" w:cs="Calibri"/>
                <w:b/>
                <w:bCs/>
                <w:color w:val="000000"/>
                <w:lang w:eastAsia="en-AU"/>
              </w:rPr>
              <w:t>PFC sector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 xml:space="preserve"> </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 xml:space="preserve"> </w:t>
            </w:r>
          </w:p>
        </w:tc>
        <w:tc>
          <w:tcPr>
            <w:tcW w:w="124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 xml:space="preserve"> </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 xml:space="preserve"> </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Balance at 1 July 2015</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(1 009)</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177</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2</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35</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(794)</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Net result for the year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(2 438)</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(2 438)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Other comprehensive income for the year</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5</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Transfer to/(from) accumulated surplus</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(159)</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EC2897">
              <w:rPr>
                <w:rFonts w:eastAsiaTheme="minorEastAsia" w:cs="Calibri"/>
                <w:color w:val="000000"/>
                <w:szCs w:val="21"/>
                <w:lang w:eastAsia="en-AU"/>
              </w:rPr>
              <w:t>159</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Dividends paid</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(239)</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(239)</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Transactions with owners in their capacity as owners</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(308)</w:t>
            </w:r>
          </w:p>
        </w:tc>
        <w:tc>
          <w:tcPr>
            <w:tcW w:w="141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34"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(308)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szCs w:val="21"/>
                <w:lang w:eastAsia="en-AU"/>
              </w:rPr>
            </w:pPr>
            <w:r w:rsidRPr="00EC2897">
              <w:rPr>
                <w:rFonts w:eastAsiaTheme="minorEastAsia" w:cs="Calibri"/>
                <w:b/>
                <w:bCs/>
                <w:color w:val="000000"/>
                <w:szCs w:val="21"/>
                <w:lang w:eastAsia="en-AU"/>
              </w:rPr>
              <w:t>Total equity as at 30 June 2016</w:t>
            </w:r>
          </w:p>
        </w:tc>
        <w:tc>
          <w:tcPr>
            <w:tcW w:w="1417"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(3 849)</w:t>
            </w:r>
          </w:p>
        </w:tc>
        <w:tc>
          <w:tcPr>
            <w:tcW w:w="1276"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29</w:t>
            </w:r>
          </w:p>
        </w:tc>
        <w:tc>
          <w:tcPr>
            <w:tcW w:w="1417"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843"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2</w:t>
            </w:r>
          </w:p>
        </w:tc>
        <w:tc>
          <w:tcPr>
            <w:tcW w:w="1559"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247"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EC2897">
              <w:rPr>
                <w:rFonts w:eastAsiaTheme="minorEastAsia" w:cs="Calibri"/>
                <w:b/>
                <w:bCs/>
                <w:color w:val="000000"/>
                <w:szCs w:val="21"/>
                <w:lang w:eastAsia="en-AU"/>
              </w:rPr>
              <w:t>40</w:t>
            </w:r>
          </w:p>
        </w:tc>
        <w:tc>
          <w:tcPr>
            <w:tcW w:w="1134" w:type="dxa"/>
            <w:tcBorders>
              <w:top w:val="single" w:sz="6"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(3 778)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4677" w:type="dxa"/>
            <w:tcBorders>
              <w:top w:val="single" w:sz="12" w:space="0" w:color="000000"/>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1"/>
                <w:lang w:eastAsia="en-AU"/>
              </w:rPr>
            </w:pPr>
            <w:r w:rsidRPr="00EC2897">
              <w:rPr>
                <w:rFonts w:eastAsiaTheme="minorEastAsia" w:cs="Calibri"/>
                <w:color w:val="000000"/>
                <w:szCs w:val="21"/>
                <w:lang w:eastAsia="en-AU"/>
              </w:rPr>
              <w:t>Eliminations</w:t>
            </w:r>
          </w:p>
        </w:tc>
        <w:tc>
          <w:tcPr>
            <w:tcW w:w="1417" w:type="dxa"/>
            <w:tcBorders>
              <w:top w:val="single" w:sz="12"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11 232</w:t>
            </w:r>
          </w:p>
        </w:tc>
        <w:tc>
          <w:tcPr>
            <w:tcW w:w="1276" w:type="dxa"/>
            <w:tcBorders>
              <w:top w:val="single" w:sz="12"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(52 195)</w:t>
            </w:r>
          </w:p>
        </w:tc>
        <w:tc>
          <w:tcPr>
            <w:tcW w:w="1417" w:type="dxa"/>
            <w:tcBorders>
              <w:top w:val="single" w:sz="12"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single" w:sz="12"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10 131</w:t>
            </w:r>
          </w:p>
        </w:tc>
        <w:tc>
          <w:tcPr>
            <w:tcW w:w="1559" w:type="dxa"/>
            <w:tcBorders>
              <w:top w:val="single" w:sz="12"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(57 027)</w:t>
            </w:r>
          </w:p>
        </w:tc>
        <w:tc>
          <w:tcPr>
            <w:tcW w:w="1247" w:type="dxa"/>
            <w:tcBorders>
              <w:top w:val="single" w:sz="12"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34" w:type="dxa"/>
            <w:tcBorders>
              <w:top w:val="single" w:sz="12" w:space="0" w:color="000000"/>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(87 858)</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Total State of Victoria </w:t>
            </w:r>
            <w:r w:rsidRPr="00EC2897">
              <w:rPr>
                <w:rFonts w:eastAsiaTheme="minorEastAsia" w:cs="Calibri"/>
                <w:color w:val="000000"/>
                <w:vertAlign w:val="superscript"/>
                <w:lang w:eastAsia="en-AU"/>
              </w:rPr>
              <w:t>(a)</w:t>
            </w:r>
          </w:p>
        </w:tc>
        <w:tc>
          <w:tcPr>
            <w:tcW w:w="1417"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56 337</w:t>
            </w:r>
          </w:p>
        </w:tc>
        <w:tc>
          <w:tcPr>
            <w:tcW w:w="1276"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w:t>
            </w:r>
          </w:p>
        </w:tc>
        <w:tc>
          <w:tcPr>
            <w:tcW w:w="1417"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sidRPr="00EC2897">
              <w:rPr>
                <w:rFonts w:eastAsiaTheme="minorEastAsia" w:cs="Calibri"/>
                <w:bCs/>
                <w:color w:val="000000"/>
                <w:szCs w:val="21"/>
                <w:lang w:eastAsia="en-AU"/>
              </w:rPr>
              <w:t>50</w:t>
            </w:r>
          </w:p>
        </w:tc>
        <w:tc>
          <w:tcPr>
            <w:tcW w:w="1843"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94 965</w:t>
            </w:r>
          </w:p>
        </w:tc>
        <w:tc>
          <w:tcPr>
            <w:tcW w:w="1559"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w:t>
            </w:r>
          </w:p>
        </w:tc>
        <w:tc>
          <w:tcPr>
            <w:tcW w:w="1247"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1 042</w:t>
            </w:r>
          </w:p>
        </w:tc>
        <w:tc>
          <w:tcPr>
            <w:tcW w:w="1134" w:type="dxa"/>
            <w:tcBorders>
              <w:top w:val="single" w:sz="6" w:space="0" w:color="000000"/>
              <w:bottom w:val="single" w:sz="12" w:space="0" w:color="000000"/>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152 395</w:t>
            </w:r>
          </w:p>
        </w:tc>
      </w:tr>
    </w:tbl>
    <w:p w:rsidR="00BB6F1F" w:rsidRDefault="00BB6F1F" w:rsidP="00AC68FF">
      <w:pPr>
        <w:pStyle w:val="Note"/>
      </w:pPr>
      <w:r>
        <w:t>Note:</w:t>
      </w:r>
    </w:p>
    <w:p w:rsidR="00BB6F1F" w:rsidRPr="00D42175" w:rsidRDefault="00BB6F1F" w:rsidP="00AC68FF">
      <w:pPr>
        <w:pStyle w:val="Note"/>
      </w:pPr>
      <w:r>
        <w:t>(a)</w:t>
      </w:r>
      <w:r>
        <w:tab/>
        <w:t xml:space="preserve">The 1 July 2015 and 30 June 2016 </w:t>
      </w:r>
      <w:r w:rsidRPr="00181405">
        <w:t xml:space="preserve">comparative figures have been restated to reflect an adjustment to the Department of Environment, Land, Water and Planning's intangible produced assets and </w:t>
      </w:r>
      <w:r>
        <w:t xml:space="preserve">opening </w:t>
      </w:r>
      <w:r w:rsidRPr="00181405">
        <w:t xml:space="preserve">accumulated </w:t>
      </w:r>
      <w:r>
        <w:t>surplus/(deficit)</w:t>
      </w:r>
      <w:r w:rsidRPr="00181405">
        <w:t xml:space="preserve"> balances due to the </w:t>
      </w:r>
      <w:r>
        <w:t xml:space="preserve">first-time </w:t>
      </w:r>
      <w:r w:rsidRPr="00181405">
        <w:t>recognition of Renewable Energy Certificates.  </w:t>
      </w:r>
    </w:p>
    <w:p w:rsidR="00BB6F1F" w:rsidRDefault="00BB6F1F" w:rsidP="00AC68FF">
      <w:pPr>
        <w:pStyle w:val="Note"/>
      </w:pPr>
    </w:p>
    <w:p w:rsidR="00BB6F1F" w:rsidRDefault="00BB6F1F" w:rsidP="00AC68FF"/>
    <w:p w:rsidR="00BB6F1F" w:rsidRDefault="00BB6F1F" w:rsidP="00AC68FF"/>
    <w:p w:rsidR="00BB6F1F" w:rsidRDefault="00BB6F1F" w:rsidP="00AC68FF">
      <w:pPr>
        <w:sectPr w:rsidR="00BB6F1F" w:rsidSect="00AC68FF">
          <w:headerReference w:type="even" r:id="rId138"/>
          <w:headerReference w:type="default" r:id="rId139"/>
          <w:footerReference w:type="even" r:id="rId140"/>
          <w:footerReference w:type="default" r:id="rId141"/>
          <w:pgSz w:w="16839" w:h="11907" w:orient="landscape" w:code="9"/>
          <w:pgMar w:top="1134" w:right="1134" w:bottom="1134" w:left="1134" w:header="624" w:footer="567" w:gutter="0"/>
          <w:cols w:sep="1" w:space="567"/>
          <w:docGrid w:linePitch="360"/>
        </w:sectPr>
      </w:pPr>
    </w:p>
    <w:p w:rsidR="00BB6F1F" w:rsidRPr="00195B47" w:rsidRDefault="00BB6F1F" w:rsidP="00BB6F1F">
      <w:pPr>
        <w:pStyle w:val="Heading2"/>
        <w:numPr>
          <w:ilvl w:val="1"/>
          <w:numId w:val="24"/>
        </w:numPr>
        <w:spacing w:before="0"/>
      </w:pPr>
      <w:bookmarkStart w:id="91" w:name="_Toc462418976"/>
      <w:bookmarkStart w:id="92" w:name="_Toc492984968"/>
      <w:r w:rsidRPr="00195B47">
        <w:lastRenderedPageBreak/>
        <w:t>Funds under management</w:t>
      </w:r>
      <w:bookmarkEnd w:id="91"/>
      <w:bookmarkEnd w:id="92"/>
    </w:p>
    <w:p w:rsidR="00BB6F1F" w:rsidRDefault="00BB6F1F" w:rsidP="00AC68FF">
      <w:r w:rsidRPr="008A734D">
        <w:t xml:space="preserve">The State has responsibility for transactions and balances relating to trust funds held on behalf of third parties external to the State. The funds </w:t>
      </w:r>
    </w:p>
    <w:p w:rsidR="00BB6F1F" w:rsidRDefault="00BB6F1F" w:rsidP="00CA53C0">
      <w:pPr>
        <w:spacing w:before="0"/>
      </w:pPr>
      <w:r>
        <w:br w:type="column"/>
      </w:r>
      <w:r w:rsidRPr="008A734D">
        <w:lastRenderedPageBreak/>
        <w:t>managed on behalf of third parties are not recognised in these financial statements as they are managed on a fiduciary and custodial basis, and therefore are not controlled by the State. Funds under management are reported in the table below.</w:t>
      </w:r>
    </w:p>
    <w:p w:rsidR="00BB6F1F" w:rsidRDefault="00BB6F1F" w:rsidP="00AC68FF">
      <w:pPr>
        <w:pStyle w:val="TableUnits"/>
        <w:rPr>
          <w:rStyle w:val="TableUnitsChar"/>
          <w:b/>
        </w:rPr>
      </w:pPr>
    </w:p>
    <w:p w:rsidR="00BB6F1F" w:rsidRPr="00F24195" w:rsidRDefault="00BB6F1F" w:rsidP="00AC68FF">
      <w:pPr>
        <w:sectPr w:rsidR="00BB6F1F" w:rsidRPr="00F24195" w:rsidSect="00AC68FF">
          <w:headerReference w:type="even" r:id="rId142"/>
          <w:headerReference w:type="default" r:id="rId143"/>
          <w:footerReference w:type="even" r:id="rId144"/>
          <w:footerReference w:type="default" r:id="rId145"/>
          <w:pgSz w:w="11907" w:h="16839" w:code="9"/>
          <w:pgMar w:top="1134" w:right="1134" w:bottom="1134" w:left="1134" w:header="624" w:footer="567" w:gutter="0"/>
          <w:cols w:num="2" w:space="567"/>
          <w:docGrid w:linePitch="360"/>
        </w:sectPr>
      </w:pPr>
    </w:p>
    <w:p w:rsidR="00BB6F1F" w:rsidRPr="00CA53C0" w:rsidRDefault="00BB6F1F" w:rsidP="00CA53C0">
      <w:pPr>
        <w:pStyle w:val="TableUnits"/>
        <w:rPr>
          <w:rStyle w:val="TableUnitsChar"/>
          <w:b/>
        </w:rPr>
      </w:pPr>
      <w:r w:rsidRPr="00CA53C0">
        <w:rPr>
          <w:rStyle w:val="TableUnitsChar"/>
          <w:b/>
        </w:rPr>
        <w:lastRenderedPageBreak/>
        <w:t>($ million)</w:t>
      </w:r>
      <w:bookmarkStart w:id="93" w:name="_Toc462418977"/>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15"/>
        <w:gridCol w:w="905"/>
        <w:gridCol w:w="906"/>
        <w:gridCol w:w="906"/>
        <w:gridCol w:w="905"/>
      </w:tblGrid>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45" w:type="dxa"/>
            <w:tcBorders>
              <w:top w:val="nil"/>
              <w:left w:val="nil"/>
              <w:bottom w:val="nil"/>
              <w:right w:val="nil"/>
            </w:tcBorders>
            <w:shd w:val="solid" w:color="000000" w:fill="auto"/>
          </w:tcPr>
          <w:p w:rsidR="00BB6F1F" w:rsidRPr="00EC2897" w:rsidRDefault="00BB6F1F" w:rsidP="00AC68FF">
            <w:pPr>
              <w:autoSpaceDE w:val="0"/>
              <w:autoSpaceDN w:val="0"/>
              <w:adjustRightInd w:val="0"/>
              <w:jc w:val="right"/>
              <w:rPr>
                <w:rFonts w:eastAsiaTheme="minorEastAsia" w:cs="Calibri"/>
                <w:iCs/>
                <w:color w:val="FFFFFF"/>
                <w:szCs w:val="20"/>
                <w:lang w:eastAsia="en-AU"/>
              </w:rPr>
            </w:pPr>
            <w:r w:rsidRPr="00EC2897">
              <w:rPr>
                <w:rFonts w:eastAsiaTheme="minorEastAsia" w:cs="Calibri"/>
                <w:iCs/>
                <w:color w:val="FFFFFF"/>
                <w:szCs w:val="20"/>
                <w:lang w:eastAsia="en-AU"/>
              </w:rPr>
              <w:t xml:space="preserve"> </w:t>
            </w:r>
          </w:p>
        </w:tc>
        <w:tc>
          <w:tcPr>
            <w:tcW w:w="1"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p w:rsidR="00BB6F1F" w:rsidRPr="00EC2897" w:rsidRDefault="00BB6F1F" w:rsidP="00BB6FF4">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State of Victoria</w:t>
            </w:r>
          </w:p>
        </w:tc>
        <w:tc>
          <w:tcPr>
            <w:tcW w:w="1" w:type="dxa"/>
            <w:gridSpan w:val="2"/>
            <w:tcBorders>
              <w:top w:val="nil"/>
              <w:left w:val="nil"/>
              <w:bottom w:val="nil"/>
              <w:right w:val="nil"/>
            </w:tcBorders>
            <w:shd w:val="solid" w:color="000000" w:fill="auto"/>
          </w:tcPr>
          <w:p w:rsidR="00BB6F1F" w:rsidRPr="00EC2897" w:rsidRDefault="00BB6F1F" w:rsidP="00BB6FF4">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 xml:space="preserve">General </w:t>
            </w:r>
            <w:r w:rsidR="00BB6FF4">
              <w:rPr>
                <w:rFonts w:eastAsiaTheme="minorEastAsia" w:cs="Calibri"/>
                <w:iCs/>
                <w:color w:val="FFFFFF"/>
                <w:szCs w:val="20"/>
                <w:lang w:eastAsia="en-AU"/>
              </w:rPr>
              <w:br/>
            </w:r>
            <w:r w:rsidRPr="00EC2897">
              <w:rPr>
                <w:rFonts w:eastAsiaTheme="minorEastAsia" w:cs="Calibri"/>
                <w:iCs/>
                <w:color w:val="FFFFFF"/>
                <w:szCs w:val="20"/>
                <w:lang w:eastAsia="en-AU"/>
              </w:rPr>
              <w:t>government sector</w:t>
            </w:r>
          </w:p>
        </w:tc>
      </w:tr>
      <w:tr w:rsidR="00BB6F1F" w:rsidRPr="00EC289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45"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right"/>
              <w:rPr>
                <w:rFonts w:eastAsiaTheme="minorEastAsia" w:cs="Calibri"/>
                <w:iCs/>
                <w:color w:val="FFFFFF"/>
                <w:szCs w:val="20"/>
                <w:lang w:eastAsia="en-AU"/>
              </w:rPr>
            </w:pPr>
            <w:r w:rsidRPr="00EC2897">
              <w:rPr>
                <w:rFonts w:eastAsiaTheme="minorEastAsia" w:cs="Calibri"/>
                <w:iCs/>
                <w:color w:val="FFFFFF"/>
                <w:szCs w:val="20"/>
                <w:lang w:eastAsia="en-AU"/>
              </w:rPr>
              <w:t xml:space="preserve"> </w:t>
            </w:r>
          </w:p>
        </w:tc>
        <w:tc>
          <w:tcPr>
            <w:tcW w:w="849"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85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c>
          <w:tcPr>
            <w:tcW w:w="85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849"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4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Investments, real estate, personal and other assets</w:t>
            </w:r>
          </w:p>
        </w:tc>
        <w:tc>
          <w:tcPr>
            <w:tcW w:w="84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3 272</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2 904</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84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4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Cash and investments in common and premium funds</w:t>
            </w:r>
          </w:p>
        </w:tc>
        <w:tc>
          <w:tcPr>
            <w:tcW w:w="84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1 068</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1 005</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6</w:t>
            </w:r>
          </w:p>
        </w:tc>
        <w:tc>
          <w:tcPr>
            <w:tcW w:w="84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4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Residential tenancies bond money</w:t>
            </w:r>
          </w:p>
        </w:tc>
        <w:tc>
          <w:tcPr>
            <w:tcW w:w="84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1 041</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951</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1 041</w:t>
            </w:r>
          </w:p>
        </w:tc>
        <w:tc>
          <w:tcPr>
            <w:tcW w:w="84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951</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4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 xml:space="preserve">Funds under management by the Senior Master of the Supreme Court </w:t>
            </w:r>
          </w:p>
        </w:tc>
        <w:tc>
          <w:tcPr>
            <w:tcW w:w="84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1 716</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1 618</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1 716</w:t>
            </w:r>
          </w:p>
        </w:tc>
        <w:tc>
          <w:tcPr>
            <w:tcW w:w="84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1 618</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45"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Funds under management by Legal Services Board</w:t>
            </w:r>
          </w:p>
        </w:tc>
        <w:tc>
          <w:tcPr>
            <w:tcW w:w="84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905</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813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905</w:t>
            </w:r>
          </w:p>
        </w:tc>
        <w:tc>
          <w:tcPr>
            <w:tcW w:w="84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813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4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Funds under management for the Victorian Bushfire Appeal Fund</w:t>
            </w:r>
          </w:p>
        </w:tc>
        <w:tc>
          <w:tcPr>
            <w:tcW w:w="84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3</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3</w:t>
            </w:r>
          </w:p>
        </w:tc>
        <w:tc>
          <w:tcPr>
            <w:tcW w:w="84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3</w:t>
            </w:r>
          </w:p>
        </w:tc>
      </w:tr>
      <w:tr w:rsidR="00BB6F1F" w:rsidRPr="00EC2897" w:rsidTr="00AC68FF">
        <w:tc>
          <w:tcPr>
            <w:cnfStyle w:val="001000000000" w:firstRow="0" w:lastRow="0" w:firstColumn="1" w:lastColumn="0" w:oddVBand="0" w:evenVBand="0" w:oddHBand="0" w:evenHBand="0" w:firstRowFirstColumn="0" w:firstRowLastColumn="0" w:lastRowFirstColumn="0" w:lastRowLastColumn="0"/>
            <w:tcW w:w="5645"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szCs w:val="20"/>
                <w:lang w:eastAsia="en-AU"/>
              </w:rPr>
            </w:pPr>
            <w:r w:rsidRPr="00EC2897">
              <w:rPr>
                <w:rFonts w:eastAsiaTheme="minorEastAsia" w:cs="Calibri"/>
                <w:color w:val="000000"/>
                <w:szCs w:val="20"/>
                <w:lang w:eastAsia="en-AU"/>
              </w:rPr>
              <w:t>Other funds held</w:t>
            </w:r>
          </w:p>
        </w:tc>
        <w:tc>
          <w:tcPr>
            <w:tcW w:w="84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35</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36</w:t>
            </w:r>
          </w:p>
        </w:tc>
        <w:tc>
          <w:tcPr>
            <w:tcW w:w="85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10</w:t>
            </w:r>
          </w:p>
        </w:tc>
        <w:tc>
          <w:tcPr>
            <w:tcW w:w="849"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 xml:space="preserve"> 11</w:t>
            </w:r>
          </w:p>
        </w:tc>
      </w:tr>
      <w:tr w:rsidR="00BB6F1F" w:rsidRPr="00EC2897"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5" w:type="dxa"/>
            <w:tcBorders>
              <w:top w:val="single" w:sz="6" w:space="0" w:color="auto"/>
              <w:bottom w:val="single" w:sz="12" w:space="0" w:color="auto"/>
            </w:tcBorders>
          </w:tcPr>
          <w:p w:rsidR="00BB6F1F" w:rsidRPr="00EC2897" w:rsidRDefault="00BB6F1F" w:rsidP="00AC68FF">
            <w:pPr>
              <w:keepLines w:val="0"/>
              <w:autoSpaceDE w:val="0"/>
              <w:autoSpaceDN w:val="0"/>
              <w:adjustRightInd w:val="0"/>
              <w:rPr>
                <w:rFonts w:eastAsiaTheme="minorEastAsia" w:cs="Calibri"/>
                <w:bCs/>
                <w:color w:val="000000"/>
                <w:szCs w:val="20"/>
                <w:lang w:eastAsia="en-AU"/>
              </w:rPr>
            </w:pPr>
            <w:r w:rsidRPr="00EC2897">
              <w:rPr>
                <w:rFonts w:eastAsiaTheme="minorEastAsia" w:cs="Calibri"/>
                <w:bCs/>
                <w:color w:val="000000"/>
                <w:szCs w:val="20"/>
                <w:lang w:eastAsia="en-AU"/>
              </w:rPr>
              <w:t>Total funds under management</w:t>
            </w:r>
          </w:p>
        </w:tc>
        <w:tc>
          <w:tcPr>
            <w:tcW w:w="849"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8 040</w:t>
            </w:r>
          </w:p>
        </w:tc>
        <w:tc>
          <w:tcPr>
            <w:tcW w:w="85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7 330</w:t>
            </w:r>
          </w:p>
        </w:tc>
        <w:tc>
          <w:tcPr>
            <w:tcW w:w="85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3 681</w:t>
            </w:r>
          </w:p>
        </w:tc>
        <w:tc>
          <w:tcPr>
            <w:tcW w:w="849"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EC2897">
              <w:rPr>
                <w:rFonts w:eastAsiaTheme="minorEastAsia" w:cs="Calibri"/>
                <w:bCs/>
                <w:color w:val="000000"/>
                <w:szCs w:val="20"/>
                <w:lang w:eastAsia="en-AU"/>
              </w:rPr>
              <w:t>3 395</w:t>
            </w:r>
          </w:p>
        </w:tc>
      </w:tr>
    </w:tbl>
    <w:p w:rsidR="00BB6F1F" w:rsidRDefault="00BB6F1F" w:rsidP="00AC68FF"/>
    <w:p w:rsidR="00BB6F1F" w:rsidRDefault="00BB6F1F" w:rsidP="00AC68FF">
      <w:pPr>
        <w:sectPr w:rsidR="00BB6F1F" w:rsidSect="00AC68FF">
          <w:type w:val="continuous"/>
          <w:pgSz w:w="11907" w:h="16839" w:code="9"/>
          <w:pgMar w:top="1134" w:right="1134" w:bottom="1134" w:left="1134" w:header="624" w:footer="567" w:gutter="0"/>
          <w:cols w:sep="1" w:space="567"/>
          <w:docGrid w:linePitch="360"/>
        </w:sectPr>
      </w:pPr>
    </w:p>
    <w:p w:rsidR="00BB6F1F" w:rsidRPr="00195B47" w:rsidRDefault="00BB6F1F" w:rsidP="00BB6F1F">
      <w:pPr>
        <w:pStyle w:val="Heading2"/>
        <w:numPr>
          <w:ilvl w:val="1"/>
          <w:numId w:val="24"/>
        </w:numPr>
      </w:pPr>
      <w:bookmarkStart w:id="94" w:name="_Toc492984969"/>
      <w:r w:rsidRPr="00195B47">
        <w:lastRenderedPageBreak/>
        <w:t>Other gains/(losses) from other economic flows</w:t>
      </w:r>
      <w:bookmarkEnd w:id="93"/>
      <w:bookmarkEnd w:id="94"/>
    </w:p>
    <w:p w:rsidR="00BB6F1F" w:rsidRDefault="00BB6F1F" w:rsidP="00AC68FF">
      <w:r w:rsidRPr="002A61DE">
        <w:t>Other economic flows are changes in the volume or value of an asset or liability that do not result from transactions.</w:t>
      </w:r>
    </w:p>
    <w:p w:rsidR="00BB6F1F" w:rsidRDefault="00BB6F1F" w:rsidP="00AC68FF">
      <w:pPr>
        <w:pStyle w:val="TableHeading"/>
        <w:sectPr w:rsidR="00BB6F1F" w:rsidSect="00AC68FF">
          <w:type w:val="continuous"/>
          <w:pgSz w:w="11907" w:h="16839" w:code="9"/>
          <w:pgMar w:top="1134" w:right="1134" w:bottom="1134" w:left="1134" w:header="624" w:footer="567" w:gutter="0"/>
          <w:cols w:num="2" w:space="709"/>
          <w:docGrid w:linePitch="360"/>
        </w:sectPr>
      </w:pPr>
    </w:p>
    <w:p w:rsidR="00BB6F1F" w:rsidRPr="00BC142D" w:rsidRDefault="00BB6F1F" w:rsidP="00AC68FF">
      <w:pPr>
        <w:pStyle w:val="TableHeading"/>
        <w:rPr>
          <w:rStyle w:val="TableUnitsChar"/>
          <w:bCs/>
          <w:lang w:val="en-US"/>
        </w:rPr>
      </w:pPr>
      <w:r w:rsidRPr="003F3CB9">
        <w:lastRenderedPageBreak/>
        <w:t>Total other gains/(losses) from other economic flows</w:t>
      </w:r>
      <w:r w:rsidRPr="003F3CB9">
        <w:tab/>
      </w:r>
      <w:r w:rsidRPr="00CA53C0">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BB6F1F" w:rsidRPr="00BC142D"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BC142D" w:rsidRDefault="00BB6F1F" w:rsidP="00AC68FF">
            <w:pPr>
              <w:autoSpaceDE w:val="0"/>
              <w:autoSpaceDN w:val="0"/>
              <w:adjustRightInd w:val="0"/>
              <w:rPr>
                <w:rFonts w:eastAsiaTheme="minorEastAsia" w:cs="Calibri"/>
                <w:iCs/>
                <w:color w:val="FFFFFF"/>
                <w:lang w:eastAsia="en-AU"/>
              </w:rPr>
            </w:pPr>
            <w:r w:rsidRPr="00BC142D">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rsidR="00BB6F1F" w:rsidRPr="00BC142D"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BC142D">
              <w:rPr>
                <w:rFonts w:eastAsiaTheme="minorEastAsia" w:cs="Calibri"/>
                <w:iCs/>
                <w:color w:val="FFFFFF"/>
                <w:szCs w:val="16"/>
                <w:lang w:eastAsia="en-AU"/>
              </w:rPr>
              <w:t>State of Victoria</w:t>
            </w:r>
          </w:p>
        </w:tc>
        <w:tc>
          <w:tcPr>
            <w:tcW w:w="1814" w:type="dxa"/>
            <w:gridSpan w:val="2"/>
            <w:tcBorders>
              <w:top w:val="nil"/>
              <w:left w:val="nil"/>
              <w:bottom w:val="nil"/>
              <w:right w:val="nil"/>
            </w:tcBorders>
            <w:shd w:val="solid" w:color="000000" w:fill="auto"/>
          </w:tcPr>
          <w:p w:rsidR="00BB6F1F" w:rsidRPr="00BC142D"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BC142D">
              <w:rPr>
                <w:rFonts w:eastAsiaTheme="minorEastAsia" w:cs="Calibri"/>
                <w:iCs/>
                <w:color w:val="FFFFFF"/>
                <w:szCs w:val="16"/>
                <w:lang w:eastAsia="en-AU"/>
              </w:rPr>
              <w:t xml:space="preserve">General </w:t>
            </w:r>
            <w:r>
              <w:rPr>
                <w:rFonts w:eastAsiaTheme="minorEastAsia" w:cs="Calibri"/>
                <w:iCs/>
                <w:color w:val="FFFFFF"/>
                <w:szCs w:val="16"/>
                <w:lang w:eastAsia="en-AU"/>
              </w:rPr>
              <w:br/>
            </w:r>
            <w:r w:rsidRPr="00BC142D">
              <w:rPr>
                <w:rFonts w:eastAsiaTheme="minorEastAsia" w:cs="Calibri"/>
                <w:iCs/>
                <w:color w:val="FFFFFF"/>
                <w:szCs w:val="16"/>
                <w:lang w:eastAsia="en-AU"/>
              </w:rPr>
              <w:t>government sector</w:t>
            </w:r>
          </w:p>
        </w:tc>
      </w:tr>
      <w:tr w:rsidR="00BB6F1F" w:rsidRPr="00BC142D"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rsidR="00BB6F1F" w:rsidRPr="00BC142D" w:rsidRDefault="00BB6F1F" w:rsidP="00AC68FF">
            <w:pPr>
              <w:keepLines w:val="0"/>
              <w:autoSpaceDE w:val="0"/>
              <w:autoSpaceDN w:val="0"/>
              <w:adjustRightInd w:val="0"/>
              <w:rPr>
                <w:rFonts w:eastAsiaTheme="minorEastAsia" w:cs="Calibri"/>
                <w:iCs/>
                <w:color w:val="FFFFFF"/>
                <w:lang w:eastAsia="en-AU"/>
              </w:rPr>
            </w:pPr>
            <w:r w:rsidRPr="00BC142D">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BC142D"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BC142D">
              <w:rPr>
                <w:rFonts w:eastAsiaTheme="minorEastAsia" w:cs="Calibri"/>
                <w:iCs/>
                <w:color w:val="FFFFFF"/>
                <w:szCs w:val="16"/>
                <w:lang w:eastAsia="en-AU"/>
              </w:rPr>
              <w:t>2017</w:t>
            </w:r>
          </w:p>
        </w:tc>
        <w:tc>
          <w:tcPr>
            <w:tcW w:w="907" w:type="dxa"/>
            <w:tcBorders>
              <w:top w:val="nil"/>
              <w:left w:val="nil"/>
              <w:bottom w:val="nil"/>
              <w:right w:val="nil"/>
            </w:tcBorders>
            <w:shd w:val="solid" w:color="000000" w:fill="auto"/>
          </w:tcPr>
          <w:p w:rsidR="00BB6F1F" w:rsidRPr="00BC142D"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BC142D">
              <w:rPr>
                <w:rFonts w:eastAsiaTheme="minorEastAsia" w:cs="Calibri"/>
                <w:iCs/>
                <w:color w:val="FFFFFF"/>
                <w:szCs w:val="16"/>
                <w:lang w:eastAsia="en-AU"/>
              </w:rPr>
              <w:t>2016</w:t>
            </w:r>
          </w:p>
        </w:tc>
        <w:tc>
          <w:tcPr>
            <w:tcW w:w="907" w:type="dxa"/>
            <w:tcBorders>
              <w:top w:val="nil"/>
              <w:left w:val="nil"/>
              <w:bottom w:val="nil"/>
              <w:right w:val="nil"/>
            </w:tcBorders>
            <w:shd w:val="solid" w:color="000000" w:fill="auto"/>
          </w:tcPr>
          <w:p w:rsidR="00BB6F1F" w:rsidRPr="00BC142D"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BC142D">
              <w:rPr>
                <w:rFonts w:eastAsiaTheme="minorEastAsia" w:cs="Calibri"/>
                <w:iCs/>
                <w:color w:val="FFFFFF"/>
                <w:szCs w:val="16"/>
                <w:lang w:eastAsia="en-AU"/>
              </w:rPr>
              <w:t>2017</w:t>
            </w:r>
          </w:p>
        </w:tc>
        <w:tc>
          <w:tcPr>
            <w:tcW w:w="907" w:type="dxa"/>
            <w:tcBorders>
              <w:top w:val="nil"/>
              <w:left w:val="nil"/>
              <w:bottom w:val="nil"/>
              <w:right w:val="nil"/>
            </w:tcBorders>
            <w:shd w:val="solid" w:color="000000" w:fill="auto"/>
          </w:tcPr>
          <w:p w:rsidR="00BB6F1F" w:rsidRPr="00BC142D"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BC142D">
              <w:rPr>
                <w:rFonts w:eastAsiaTheme="minorEastAsia" w:cs="Calibri"/>
                <w:iCs/>
                <w:color w:val="FFFFFF"/>
                <w:szCs w:val="16"/>
                <w:lang w:eastAsia="en-AU"/>
              </w:rPr>
              <w:t>2016</w:t>
            </w:r>
          </w:p>
        </w:tc>
      </w:tr>
      <w:tr w:rsidR="00BB6F1F" w:rsidRPr="00BC142D"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BC142D" w:rsidRDefault="00BB6F1F" w:rsidP="00AC68FF">
            <w:pPr>
              <w:keepLines w:val="0"/>
              <w:autoSpaceDE w:val="0"/>
              <w:autoSpaceDN w:val="0"/>
              <w:adjustRightInd w:val="0"/>
              <w:rPr>
                <w:rFonts w:eastAsiaTheme="minorEastAsia" w:cs="Calibri"/>
                <w:color w:val="000000"/>
                <w:szCs w:val="16"/>
                <w:lang w:eastAsia="en-AU"/>
              </w:rPr>
            </w:pPr>
            <w:r w:rsidRPr="00BC142D">
              <w:rPr>
                <w:rFonts w:eastAsiaTheme="minorEastAsia" w:cs="Calibri"/>
                <w:color w:val="000000"/>
                <w:szCs w:val="16"/>
                <w:lang w:eastAsia="en-AU"/>
              </w:rPr>
              <w:t>Net (increase)/decrease in provision for doubtful receivables</w:t>
            </w:r>
          </w:p>
        </w:tc>
        <w:tc>
          <w:tcPr>
            <w:tcW w:w="907" w:type="dxa"/>
            <w:tcBorders>
              <w:top w:val="nil"/>
              <w:left w:val="nil"/>
              <w:bottom w:val="nil"/>
              <w:right w:val="nil"/>
            </w:tcBorders>
          </w:tcPr>
          <w:p w:rsidR="00BB6F1F" w:rsidRPr="00BC142D"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(222)</w:t>
            </w:r>
          </w:p>
        </w:tc>
        <w:tc>
          <w:tcPr>
            <w:tcW w:w="907" w:type="dxa"/>
            <w:tcBorders>
              <w:top w:val="nil"/>
              <w:left w:val="nil"/>
              <w:bottom w:val="nil"/>
              <w:right w:val="nil"/>
            </w:tcBorders>
          </w:tcPr>
          <w:p w:rsidR="00BB6F1F" w:rsidRPr="00BC142D"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(226)</w:t>
            </w:r>
          </w:p>
        </w:tc>
        <w:tc>
          <w:tcPr>
            <w:tcW w:w="907" w:type="dxa"/>
            <w:tcBorders>
              <w:top w:val="nil"/>
              <w:left w:val="nil"/>
              <w:bottom w:val="nil"/>
              <w:right w:val="nil"/>
            </w:tcBorders>
          </w:tcPr>
          <w:p w:rsidR="00BB6F1F" w:rsidRPr="00BC142D"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(221)</w:t>
            </w:r>
          </w:p>
        </w:tc>
        <w:tc>
          <w:tcPr>
            <w:tcW w:w="907" w:type="dxa"/>
            <w:tcBorders>
              <w:top w:val="nil"/>
              <w:left w:val="nil"/>
              <w:bottom w:val="nil"/>
              <w:right w:val="nil"/>
            </w:tcBorders>
          </w:tcPr>
          <w:p w:rsidR="00BB6F1F" w:rsidRPr="00BC142D"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(224)</w:t>
            </w:r>
          </w:p>
        </w:tc>
      </w:tr>
      <w:tr w:rsidR="00BB6F1F" w:rsidRPr="00BC142D"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BC142D" w:rsidRDefault="00BB6F1F" w:rsidP="00AC68FF">
            <w:pPr>
              <w:keepLines w:val="0"/>
              <w:autoSpaceDE w:val="0"/>
              <w:autoSpaceDN w:val="0"/>
              <w:adjustRightInd w:val="0"/>
              <w:rPr>
                <w:rFonts w:eastAsiaTheme="minorEastAsia" w:cs="Calibri"/>
                <w:color w:val="000000"/>
                <w:szCs w:val="16"/>
                <w:lang w:eastAsia="en-AU"/>
              </w:rPr>
            </w:pPr>
            <w:r w:rsidRPr="00BC142D">
              <w:rPr>
                <w:rFonts w:eastAsiaTheme="minorEastAsia" w:cs="Calibri"/>
                <w:color w:val="000000"/>
                <w:szCs w:val="16"/>
                <w:lang w:eastAsia="en-AU"/>
              </w:rPr>
              <w:t>Amortisation of intangible non-produced assets</w:t>
            </w:r>
          </w:p>
        </w:tc>
        <w:tc>
          <w:tcPr>
            <w:tcW w:w="907" w:type="dxa"/>
            <w:tcBorders>
              <w:top w:val="nil"/>
              <w:left w:val="nil"/>
              <w:bottom w:val="nil"/>
              <w:right w:val="nil"/>
            </w:tcBorders>
          </w:tcPr>
          <w:p w:rsidR="00BB6F1F" w:rsidRPr="00BC142D"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(40)</w:t>
            </w:r>
          </w:p>
        </w:tc>
        <w:tc>
          <w:tcPr>
            <w:tcW w:w="907" w:type="dxa"/>
            <w:tcBorders>
              <w:top w:val="nil"/>
              <w:left w:val="nil"/>
              <w:bottom w:val="nil"/>
              <w:right w:val="nil"/>
            </w:tcBorders>
          </w:tcPr>
          <w:p w:rsidR="00BB6F1F" w:rsidRPr="00BC142D"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(37)</w:t>
            </w:r>
          </w:p>
        </w:tc>
        <w:tc>
          <w:tcPr>
            <w:tcW w:w="907" w:type="dxa"/>
            <w:tcBorders>
              <w:top w:val="nil"/>
              <w:left w:val="nil"/>
              <w:bottom w:val="nil"/>
              <w:right w:val="nil"/>
            </w:tcBorders>
          </w:tcPr>
          <w:p w:rsidR="00BB6F1F" w:rsidRPr="00BC142D"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w:t>
            </w:r>
          </w:p>
        </w:tc>
        <w:tc>
          <w:tcPr>
            <w:tcW w:w="907" w:type="dxa"/>
            <w:tcBorders>
              <w:top w:val="nil"/>
              <w:left w:val="nil"/>
              <w:bottom w:val="nil"/>
              <w:right w:val="nil"/>
            </w:tcBorders>
          </w:tcPr>
          <w:p w:rsidR="00BB6F1F" w:rsidRPr="00BC142D"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w:t>
            </w:r>
          </w:p>
        </w:tc>
      </w:tr>
      <w:tr w:rsidR="00BB6F1F" w:rsidRPr="00BC142D"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BC142D" w:rsidRDefault="00BB6F1F" w:rsidP="00AC68FF">
            <w:pPr>
              <w:keepLines w:val="0"/>
              <w:autoSpaceDE w:val="0"/>
              <w:autoSpaceDN w:val="0"/>
              <w:adjustRightInd w:val="0"/>
              <w:rPr>
                <w:rFonts w:eastAsiaTheme="minorEastAsia" w:cs="Calibri"/>
                <w:color w:val="000000"/>
                <w:szCs w:val="16"/>
                <w:lang w:eastAsia="en-AU"/>
              </w:rPr>
            </w:pPr>
            <w:r w:rsidRPr="00BC142D">
              <w:rPr>
                <w:rFonts w:eastAsiaTheme="minorEastAsia" w:cs="Calibri"/>
                <w:color w:val="000000"/>
                <w:szCs w:val="16"/>
                <w:lang w:eastAsia="en-AU"/>
              </w:rPr>
              <w:t>Net swap interest revenue/(expense)</w:t>
            </w:r>
          </w:p>
        </w:tc>
        <w:tc>
          <w:tcPr>
            <w:tcW w:w="907" w:type="dxa"/>
            <w:tcBorders>
              <w:top w:val="nil"/>
              <w:left w:val="nil"/>
              <w:bottom w:val="nil"/>
              <w:right w:val="nil"/>
            </w:tcBorders>
          </w:tcPr>
          <w:p w:rsidR="00BB6F1F" w:rsidRPr="00BC142D"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(10)</w:t>
            </w:r>
          </w:p>
        </w:tc>
        <w:tc>
          <w:tcPr>
            <w:tcW w:w="907" w:type="dxa"/>
            <w:tcBorders>
              <w:top w:val="nil"/>
              <w:left w:val="nil"/>
              <w:bottom w:val="nil"/>
              <w:right w:val="nil"/>
            </w:tcBorders>
          </w:tcPr>
          <w:p w:rsidR="00BB6F1F" w:rsidRPr="00BC142D"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(12)</w:t>
            </w:r>
          </w:p>
        </w:tc>
        <w:tc>
          <w:tcPr>
            <w:tcW w:w="907" w:type="dxa"/>
            <w:tcBorders>
              <w:top w:val="nil"/>
              <w:left w:val="nil"/>
              <w:bottom w:val="nil"/>
              <w:right w:val="nil"/>
            </w:tcBorders>
          </w:tcPr>
          <w:p w:rsidR="00BB6F1F" w:rsidRPr="00BC142D"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BC142D">
              <w:rPr>
                <w:rFonts w:eastAsiaTheme="minorEastAsia" w:cs="Calibri"/>
                <w:color w:val="000000"/>
                <w:szCs w:val="16"/>
                <w:lang w:eastAsia="en-AU"/>
              </w:rPr>
              <w:t>..</w:t>
            </w:r>
          </w:p>
        </w:tc>
        <w:tc>
          <w:tcPr>
            <w:tcW w:w="907" w:type="dxa"/>
            <w:tcBorders>
              <w:top w:val="nil"/>
              <w:left w:val="nil"/>
              <w:bottom w:val="nil"/>
              <w:right w:val="nil"/>
            </w:tcBorders>
          </w:tcPr>
          <w:p w:rsidR="00BB6F1F" w:rsidRPr="00BC142D"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BC142D">
              <w:rPr>
                <w:rFonts w:eastAsiaTheme="minorEastAsia" w:cs="Calibri"/>
                <w:color w:val="000000"/>
                <w:szCs w:val="16"/>
                <w:lang w:eastAsia="en-AU"/>
              </w:rPr>
              <w:t>..</w:t>
            </w:r>
          </w:p>
        </w:tc>
      </w:tr>
      <w:tr w:rsidR="00BB6F1F" w:rsidRPr="00BC142D"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BC142D" w:rsidRDefault="00BB6F1F" w:rsidP="00AC68FF">
            <w:pPr>
              <w:keepLines w:val="0"/>
              <w:autoSpaceDE w:val="0"/>
              <w:autoSpaceDN w:val="0"/>
              <w:adjustRightInd w:val="0"/>
              <w:rPr>
                <w:rFonts w:eastAsiaTheme="minorEastAsia" w:cs="Calibri"/>
                <w:color w:val="000000"/>
                <w:szCs w:val="16"/>
                <w:lang w:eastAsia="en-AU"/>
              </w:rPr>
            </w:pPr>
            <w:r w:rsidRPr="00BC142D">
              <w:rPr>
                <w:rFonts w:eastAsiaTheme="minorEastAsia" w:cs="Calibri"/>
                <w:color w:val="000000"/>
                <w:szCs w:val="16"/>
                <w:lang w:eastAsia="en-AU"/>
              </w:rPr>
              <w:t>Bad debts written off</w:t>
            </w:r>
          </w:p>
        </w:tc>
        <w:tc>
          <w:tcPr>
            <w:tcW w:w="907" w:type="dxa"/>
            <w:tcBorders>
              <w:top w:val="nil"/>
              <w:left w:val="nil"/>
              <w:bottom w:val="nil"/>
              <w:right w:val="nil"/>
            </w:tcBorders>
          </w:tcPr>
          <w:p w:rsidR="00BB6F1F" w:rsidRPr="00BC142D"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(261)</w:t>
            </w:r>
          </w:p>
        </w:tc>
        <w:tc>
          <w:tcPr>
            <w:tcW w:w="907" w:type="dxa"/>
            <w:tcBorders>
              <w:top w:val="nil"/>
              <w:left w:val="nil"/>
              <w:bottom w:val="nil"/>
              <w:right w:val="nil"/>
            </w:tcBorders>
          </w:tcPr>
          <w:p w:rsidR="00BB6F1F" w:rsidRPr="00BC142D"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(204)</w:t>
            </w:r>
          </w:p>
        </w:tc>
        <w:tc>
          <w:tcPr>
            <w:tcW w:w="907" w:type="dxa"/>
            <w:tcBorders>
              <w:top w:val="nil"/>
              <w:left w:val="nil"/>
              <w:bottom w:val="nil"/>
              <w:right w:val="nil"/>
            </w:tcBorders>
          </w:tcPr>
          <w:p w:rsidR="00BB6F1F" w:rsidRPr="00BC142D"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(244)</w:t>
            </w:r>
          </w:p>
        </w:tc>
        <w:tc>
          <w:tcPr>
            <w:tcW w:w="907" w:type="dxa"/>
            <w:tcBorders>
              <w:top w:val="nil"/>
              <w:left w:val="nil"/>
              <w:bottom w:val="nil"/>
              <w:right w:val="nil"/>
            </w:tcBorders>
          </w:tcPr>
          <w:p w:rsidR="00BB6F1F" w:rsidRPr="00BC142D"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(188)</w:t>
            </w:r>
          </w:p>
        </w:tc>
      </w:tr>
      <w:tr w:rsidR="00BB6F1F" w:rsidRPr="00BC142D" w:rsidTr="00AC68FF">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rsidR="00BB6F1F" w:rsidRPr="00BC142D" w:rsidRDefault="00BB6F1F" w:rsidP="00AC68FF">
            <w:pPr>
              <w:keepLines w:val="0"/>
              <w:autoSpaceDE w:val="0"/>
              <w:autoSpaceDN w:val="0"/>
              <w:adjustRightInd w:val="0"/>
              <w:rPr>
                <w:rFonts w:eastAsiaTheme="minorEastAsia" w:cs="Calibri"/>
                <w:color w:val="000000"/>
                <w:szCs w:val="16"/>
                <w:lang w:eastAsia="en-AU"/>
              </w:rPr>
            </w:pPr>
            <w:r w:rsidRPr="00BC142D">
              <w:rPr>
                <w:rFonts w:eastAsiaTheme="minorEastAsia" w:cs="Calibri"/>
                <w:color w:val="000000"/>
                <w:szCs w:val="16"/>
                <w:lang w:eastAsia="en-AU"/>
              </w:rPr>
              <w:t>Other gains/(losses)</w:t>
            </w:r>
          </w:p>
        </w:tc>
        <w:tc>
          <w:tcPr>
            <w:tcW w:w="907" w:type="dxa"/>
            <w:tcBorders>
              <w:top w:val="nil"/>
              <w:left w:val="nil"/>
              <w:bottom w:val="nil"/>
              <w:right w:val="nil"/>
            </w:tcBorders>
          </w:tcPr>
          <w:p w:rsidR="00BB6F1F" w:rsidRPr="00BC142D"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BC142D">
              <w:rPr>
                <w:rFonts w:eastAsiaTheme="minorEastAsia" w:cs="Calibri"/>
                <w:color w:val="000000"/>
                <w:szCs w:val="16"/>
                <w:lang w:eastAsia="en-AU"/>
              </w:rPr>
              <w:t>2 137</w:t>
            </w:r>
          </w:p>
        </w:tc>
        <w:tc>
          <w:tcPr>
            <w:tcW w:w="907" w:type="dxa"/>
            <w:tcBorders>
              <w:top w:val="nil"/>
              <w:left w:val="nil"/>
              <w:bottom w:val="nil"/>
              <w:right w:val="nil"/>
            </w:tcBorders>
          </w:tcPr>
          <w:p w:rsidR="00BB6F1F" w:rsidRPr="00BC142D"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(1 116)</w:t>
            </w:r>
          </w:p>
        </w:tc>
        <w:tc>
          <w:tcPr>
            <w:tcW w:w="907" w:type="dxa"/>
            <w:tcBorders>
              <w:top w:val="nil"/>
              <w:left w:val="nil"/>
              <w:bottom w:val="nil"/>
              <w:right w:val="nil"/>
            </w:tcBorders>
          </w:tcPr>
          <w:p w:rsidR="00BB6F1F" w:rsidRPr="00BC142D"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246</w:t>
            </w:r>
          </w:p>
        </w:tc>
        <w:tc>
          <w:tcPr>
            <w:tcW w:w="907" w:type="dxa"/>
            <w:tcBorders>
              <w:top w:val="nil"/>
              <w:left w:val="nil"/>
              <w:bottom w:val="nil"/>
              <w:right w:val="nil"/>
            </w:tcBorders>
          </w:tcPr>
          <w:p w:rsidR="00BB6F1F" w:rsidRPr="00BC142D"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(273)</w:t>
            </w:r>
          </w:p>
        </w:tc>
      </w:tr>
      <w:tr w:rsidR="00BB6F1F" w:rsidRPr="00BC142D"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rsidR="00BB6F1F" w:rsidRPr="00BC142D" w:rsidRDefault="00BB6F1F" w:rsidP="00AC68FF">
            <w:pPr>
              <w:keepLines w:val="0"/>
              <w:autoSpaceDE w:val="0"/>
              <w:autoSpaceDN w:val="0"/>
              <w:adjustRightInd w:val="0"/>
              <w:rPr>
                <w:rFonts w:eastAsiaTheme="minorEastAsia" w:cs="Calibri"/>
                <w:bCs/>
                <w:color w:val="000000"/>
                <w:szCs w:val="16"/>
                <w:lang w:eastAsia="en-AU"/>
              </w:rPr>
            </w:pPr>
            <w:r w:rsidRPr="00BC142D">
              <w:rPr>
                <w:rFonts w:eastAsiaTheme="minorEastAsia" w:cs="Calibri"/>
                <w:bCs/>
                <w:color w:val="000000"/>
                <w:szCs w:val="16"/>
                <w:lang w:eastAsia="en-AU"/>
              </w:rPr>
              <w:t>Total other gains/(losses) from other economic flows</w:t>
            </w:r>
          </w:p>
        </w:tc>
        <w:tc>
          <w:tcPr>
            <w:tcW w:w="907" w:type="dxa"/>
            <w:tcBorders>
              <w:top w:val="single" w:sz="6" w:space="0" w:color="000000"/>
              <w:bottom w:val="single" w:sz="12" w:space="0" w:color="000000"/>
            </w:tcBorders>
          </w:tcPr>
          <w:p w:rsidR="00BB6F1F" w:rsidRPr="00BC142D"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BC142D">
              <w:rPr>
                <w:rFonts w:eastAsiaTheme="minorEastAsia" w:cs="Calibri"/>
                <w:bCs/>
                <w:color w:val="000000"/>
                <w:szCs w:val="16"/>
                <w:lang w:eastAsia="en-AU"/>
              </w:rPr>
              <w:t>1 605</w:t>
            </w:r>
          </w:p>
        </w:tc>
        <w:tc>
          <w:tcPr>
            <w:tcW w:w="907" w:type="dxa"/>
            <w:tcBorders>
              <w:top w:val="single" w:sz="6" w:space="0" w:color="000000"/>
              <w:bottom w:val="single" w:sz="12" w:space="0" w:color="000000"/>
            </w:tcBorders>
          </w:tcPr>
          <w:p w:rsidR="00BB6F1F" w:rsidRPr="00BC142D"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(1 596)</w:t>
            </w:r>
          </w:p>
        </w:tc>
        <w:tc>
          <w:tcPr>
            <w:tcW w:w="907" w:type="dxa"/>
            <w:tcBorders>
              <w:top w:val="single" w:sz="6" w:space="0" w:color="000000"/>
              <w:bottom w:val="single" w:sz="12" w:space="0" w:color="000000"/>
            </w:tcBorders>
          </w:tcPr>
          <w:p w:rsidR="00BB6F1F" w:rsidRPr="00BC142D"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(226)</w:t>
            </w:r>
          </w:p>
        </w:tc>
        <w:tc>
          <w:tcPr>
            <w:tcW w:w="907" w:type="dxa"/>
            <w:tcBorders>
              <w:top w:val="single" w:sz="6" w:space="0" w:color="000000"/>
              <w:bottom w:val="single" w:sz="12" w:space="0" w:color="000000"/>
            </w:tcBorders>
          </w:tcPr>
          <w:p w:rsidR="00BB6F1F" w:rsidRPr="00BC142D"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(688)</w:t>
            </w:r>
          </w:p>
        </w:tc>
      </w:tr>
    </w:tbl>
    <w:p w:rsidR="00BB6F1F" w:rsidRPr="00E4297F" w:rsidRDefault="00BB6F1F" w:rsidP="00AC68FF"/>
    <w:p w:rsidR="00BB6F1F" w:rsidRDefault="00BB6F1F" w:rsidP="00BB6F1F">
      <w:pPr>
        <w:pStyle w:val="Heading2"/>
        <w:numPr>
          <w:ilvl w:val="1"/>
          <w:numId w:val="24"/>
        </w:numPr>
        <w:sectPr w:rsidR="00BB6F1F" w:rsidSect="00AC68FF">
          <w:type w:val="continuous"/>
          <w:pgSz w:w="11907" w:h="16839" w:code="9"/>
          <w:pgMar w:top="1134" w:right="1134" w:bottom="1134" w:left="1134" w:header="624" w:footer="567" w:gutter="0"/>
          <w:cols w:sep="1" w:space="567"/>
          <w:docGrid w:linePitch="360"/>
        </w:sectPr>
      </w:pPr>
      <w:bookmarkStart w:id="95" w:name="_Toc462418978"/>
    </w:p>
    <w:p w:rsidR="00BB6F1F" w:rsidRPr="00195B47" w:rsidRDefault="00BB6F1F" w:rsidP="00BB6F1F">
      <w:pPr>
        <w:pStyle w:val="Heading2"/>
        <w:numPr>
          <w:ilvl w:val="1"/>
          <w:numId w:val="24"/>
        </w:numPr>
      </w:pPr>
      <w:bookmarkStart w:id="96" w:name="_Toc492984970"/>
      <w:r w:rsidRPr="00195B47">
        <w:lastRenderedPageBreak/>
        <w:t>Reconciliation between Go</w:t>
      </w:r>
      <w:r>
        <w:t>vernment Finance Statistics</w:t>
      </w:r>
      <w:r w:rsidRPr="00195B47">
        <w:t xml:space="preserve"> and Australian Accounting Standards</w:t>
      </w:r>
      <w:bookmarkEnd w:id="95"/>
      <w:bookmarkEnd w:id="96"/>
    </w:p>
    <w:p w:rsidR="00BB6F1F" w:rsidRDefault="00BB6F1F" w:rsidP="00AC68FF">
      <w:r>
        <w:t xml:space="preserve">This note identifies and reconciles </w:t>
      </w:r>
      <w:proofErr w:type="spellStart"/>
      <w:r>
        <w:t>unconverged</w:t>
      </w:r>
      <w:proofErr w:type="spellEnd"/>
      <w:r>
        <w:t xml:space="preserve"> differences between the Australian Accounting Standards reporting (upon which this report is based) and the </w:t>
      </w:r>
      <w:r w:rsidRPr="00604DD5">
        <w:t xml:space="preserve">Government Finance Statistics </w:t>
      </w:r>
      <w:r>
        <w:t xml:space="preserve">(GFS) reporting. All GFS balances are calculated in accordance with the Australian Bureau of Statistics GFS manual </w:t>
      </w:r>
      <w:r w:rsidRPr="00EE02A8">
        <w:rPr>
          <w:i/>
        </w:rPr>
        <w:t>Australian System of Government Finance Statistics: Concepts, Sources and Methods 2005</w:t>
      </w:r>
      <w:r>
        <w:t>.</w:t>
      </w:r>
    </w:p>
    <w:p w:rsidR="00BB6F1F" w:rsidRDefault="00BB6F1F" w:rsidP="00AC68FF">
      <w:pPr>
        <w:spacing w:before="240"/>
      </w:pPr>
      <w:r>
        <w:lastRenderedPageBreak/>
        <w:t>GFS information enable policymakers and analysts to study developments in the financial operations, financial position and liquidity situation of the Government based on consistent economic reporting rules and definitions.</w:t>
      </w:r>
    </w:p>
    <w:p w:rsidR="00BB6F1F" w:rsidRDefault="00BB6F1F" w:rsidP="00AC68FF">
      <w:pPr>
        <w:spacing w:before="180"/>
        <w:sectPr w:rsidR="00BB6F1F" w:rsidSect="00AC68FF">
          <w:type w:val="continuous"/>
          <w:pgSz w:w="11907" w:h="16839" w:code="9"/>
          <w:pgMar w:top="1134" w:right="1134" w:bottom="1134" w:left="1134" w:header="624" w:footer="567" w:gutter="0"/>
          <w:cols w:num="2" w:space="709"/>
          <w:docGrid w:linePitch="360"/>
        </w:sectPr>
      </w:pPr>
    </w:p>
    <w:p w:rsidR="00BB6F1F" w:rsidRPr="0003431C" w:rsidRDefault="00BB6F1F" w:rsidP="00CA53C0">
      <w:pPr>
        <w:pStyle w:val="Heading3"/>
        <w:numPr>
          <w:ilvl w:val="2"/>
          <w:numId w:val="24"/>
        </w:numPr>
        <w:tabs>
          <w:tab w:val="right" w:pos="14572"/>
        </w:tabs>
        <w:spacing w:before="0" w:after="0"/>
        <w:ind w:left="851"/>
        <w:rPr>
          <w:lang w:val="en-US"/>
        </w:rPr>
      </w:pPr>
      <w:r w:rsidRPr="003F3CB9">
        <w:lastRenderedPageBreak/>
        <w:t xml:space="preserve">Reconciliation to GFS net operating balance </w:t>
      </w:r>
      <w:r w:rsidRPr="00E1683F">
        <w:rPr>
          <w:vertAlign w:val="superscript"/>
        </w:rPr>
        <w:t>(a)</w:t>
      </w:r>
    </w:p>
    <w:p w:rsidR="00BB6F1F" w:rsidRPr="00EC2897" w:rsidRDefault="00BB6F1F" w:rsidP="0003431C">
      <w:pPr>
        <w:pStyle w:val="TableUnits"/>
        <w:rPr>
          <w:lang w:val="en-US"/>
        </w:rPr>
      </w:pPr>
      <w:r w:rsidRPr="0032440A">
        <w:t>($ million)</w:t>
      </w: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3969"/>
        <w:gridCol w:w="1060"/>
        <w:gridCol w:w="1060"/>
        <w:gridCol w:w="1060"/>
        <w:gridCol w:w="1060"/>
        <w:gridCol w:w="1061"/>
        <w:gridCol w:w="1060"/>
        <w:gridCol w:w="1060"/>
        <w:gridCol w:w="1060"/>
        <w:gridCol w:w="1060"/>
        <w:gridCol w:w="1061"/>
      </w:tblGrid>
      <w:tr w:rsidR="00BB6F1F" w:rsidRPr="00EC2897" w:rsidTr="00BB6F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b/>
                <w:bCs/>
                <w:color w:val="FFFFFF"/>
                <w:szCs w:val="20"/>
                <w:lang w:eastAsia="en-AU"/>
              </w:rPr>
            </w:pPr>
            <w:r w:rsidRPr="00EC2897">
              <w:rPr>
                <w:rFonts w:eastAsiaTheme="minorEastAsia" w:cs="Calibri"/>
                <w:b/>
                <w:bCs/>
                <w:color w:val="FFFFFF"/>
                <w:szCs w:val="20"/>
                <w:lang w:eastAsia="en-AU"/>
              </w:rPr>
              <w:t xml:space="preserve"> </w:t>
            </w:r>
          </w:p>
        </w:tc>
        <w:tc>
          <w:tcPr>
            <w:tcW w:w="2120" w:type="dxa"/>
            <w:gridSpan w:val="2"/>
            <w:tcBorders>
              <w:top w:val="nil"/>
              <w:left w:val="nil"/>
              <w:bottom w:val="nil"/>
              <w:right w:val="nil"/>
            </w:tcBorders>
            <w:shd w:val="solid" w:color="000000" w:fill="auto"/>
          </w:tcPr>
          <w:p w:rsidR="00BB6F1F" w:rsidRPr="00EC2897" w:rsidRDefault="00BB6F1F" w:rsidP="00BB6FF4">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 xml:space="preserve">General </w:t>
            </w:r>
            <w:r w:rsidR="00BB6FF4">
              <w:rPr>
                <w:rFonts w:eastAsiaTheme="minorEastAsia" w:cs="Calibri"/>
                <w:iCs/>
                <w:color w:val="FFFFFF"/>
                <w:szCs w:val="20"/>
                <w:lang w:eastAsia="en-AU"/>
              </w:rPr>
              <w:br/>
            </w:r>
            <w:r w:rsidRPr="00EC2897">
              <w:rPr>
                <w:rFonts w:eastAsiaTheme="minorEastAsia" w:cs="Calibri"/>
                <w:iCs/>
                <w:color w:val="FFFFFF"/>
                <w:szCs w:val="20"/>
                <w:lang w:eastAsia="en-AU"/>
              </w:rPr>
              <w:t>government sector</w:t>
            </w:r>
          </w:p>
        </w:tc>
        <w:tc>
          <w:tcPr>
            <w:tcW w:w="2120"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Public non-financial corporations</w:t>
            </w:r>
          </w:p>
        </w:tc>
        <w:tc>
          <w:tcPr>
            <w:tcW w:w="2121" w:type="dxa"/>
            <w:gridSpan w:val="2"/>
            <w:tcBorders>
              <w:top w:val="nil"/>
              <w:left w:val="nil"/>
              <w:bottom w:val="nil"/>
              <w:right w:val="nil"/>
            </w:tcBorders>
            <w:shd w:val="solid" w:color="000000" w:fill="auto"/>
          </w:tcPr>
          <w:p w:rsidR="00BB6F1F" w:rsidRPr="00EC2897" w:rsidRDefault="00BB6F1F" w:rsidP="00BB6FF4">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 xml:space="preserve">Public </w:t>
            </w:r>
            <w:r w:rsidR="00BB6FF4">
              <w:rPr>
                <w:rFonts w:eastAsiaTheme="minorEastAsia" w:cs="Calibri"/>
                <w:iCs/>
                <w:color w:val="FFFFFF"/>
                <w:szCs w:val="20"/>
                <w:lang w:eastAsia="en-AU"/>
              </w:rPr>
              <w:br/>
            </w:r>
            <w:r w:rsidRPr="00EC2897">
              <w:rPr>
                <w:rFonts w:eastAsiaTheme="minorEastAsia" w:cs="Calibri"/>
                <w:iCs/>
                <w:color w:val="FFFFFF"/>
                <w:szCs w:val="20"/>
                <w:lang w:eastAsia="en-AU"/>
              </w:rPr>
              <w:t>financial corporations</w:t>
            </w:r>
          </w:p>
        </w:tc>
        <w:tc>
          <w:tcPr>
            <w:tcW w:w="2120"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Eliminations</w:t>
            </w:r>
          </w:p>
        </w:tc>
        <w:tc>
          <w:tcPr>
            <w:tcW w:w="2121"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State of Victoria</w:t>
            </w:r>
          </w:p>
        </w:tc>
      </w:tr>
      <w:tr w:rsidR="00BB6F1F" w:rsidRPr="00EC2897" w:rsidTr="00BB6F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rPr>
                <w:rFonts w:eastAsiaTheme="minorEastAsia" w:cs="Calibri"/>
                <w:color w:val="FFFFFF"/>
                <w:szCs w:val="20"/>
                <w:lang w:eastAsia="en-AU"/>
              </w:rPr>
            </w:pPr>
            <w:r w:rsidRPr="00EC2897">
              <w:rPr>
                <w:rFonts w:eastAsiaTheme="minorEastAsia" w:cs="Calibri"/>
                <w:color w:val="FFFFFF"/>
                <w:szCs w:val="20"/>
                <w:lang w:eastAsia="en-AU"/>
              </w:rPr>
              <w:t xml:space="preserve"> </w:t>
            </w:r>
          </w:p>
        </w:tc>
        <w:tc>
          <w:tcPr>
            <w:tcW w:w="106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c>
          <w:tcPr>
            <w:tcW w:w="106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c>
          <w:tcPr>
            <w:tcW w:w="1061"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c>
          <w:tcPr>
            <w:tcW w:w="106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c>
          <w:tcPr>
            <w:tcW w:w="106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1"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r>
      <w:tr w:rsidR="00BB6F1F" w:rsidRPr="00EC2897" w:rsidTr="00BB6FF4">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lang w:eastAsia="en-AU"/>
              </w:rPr>
            </w:pPr>
            <w:r w:rsidRPr="00EC2897">
              <w:rPr>
                <w:rFonts w:eastAsiaTheme="minorEastAsia" w:cs="Calibri"/>
                <w:b/>
                <w:bCs/>
                <w:color w:val="000000"/>
                <w:lang w:eastAsia="en-AU"/>
              </w:rPr>
              <w:t>Net result from transactions – net operating balance</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2 709</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2 664</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(436)</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154</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(1 980)</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(797)</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461</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(376)</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754</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1 645</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i/>
                <w:iCs/>
                <w:color w:val="000000"/>
                <w:lang w:eastAsia="en-AU"/>
              </w:rPr>
            </w:pPr>
            <w:r w:rsidRPr="00EC2897">
              <w:rPr>
                <w:rFonts w:eastAsiaTheme="minorEastAsia" w:cs="Calibri"/>
                <w:i/>
                <w:iCs/>
                <w:color w:val="000000"/>
                <w:lang w:eastAsia="en-AU"/>
              </w:rPr>
              <w:t>Convergence differences:</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PNFC/PFC dividends </w:t>
            </w:r>
            <w:r w:rsidRPr="00EC2897">
              <w:rPr>
                <w:rFonts w:eastAsiaTheme="minorEastAsia" w:cs="Calibri"/>
                <w:color w:val="000000"/>
                <w:vertAlign w:val="superscript"/>
                <w:lang w:eastAsia="en-AU"/>
              </w:rPr>
              <w:t>(b)</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(123)</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(149)</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(246)</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(239)</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369</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387</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Port Licence Fee treatment </w:t>
            </w:r>
            <w:r w:rsidRPr="00EC2897">
              <w:rPr>
                <w:rFonts w:eastAsiaTheme="minorEastAsia" w:cs="Calibri"/>
                <w:color w:val="000000"/>
                <w:vertAlign w:val="superscript"/>
                <w:lang w:eastAsia="en-AU"/>
              </w:rPr>
              <w:t>(c)</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(783)</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(783)</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Port of Melbourne lease transaction </w:t>
            </w:r>
            <w:r w:rsidRPr="00EC2897">
              <w:rPr>
                <w:rFonts w:eastAsiaTheme="minorEastAsia" w:cs="Calibri"/>
                <w:color w:val="000000"/>
                <w:vertAlign w:val="superscript"/>
                <w:lang w:eastAsia="en-AU"/>
              </w:rPr>
              <w:t>(d)</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(105)</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(90)</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left w:val="nil"/>
              <w:bottom w:val="single" w:sz="12" w:space="0" w:color="auto"/>
              <w:right w:val="nil"/>
            </w:tcBorders>
            <w:shd w:val="solid" w:color="FFFFFF" w:fill="auto"/>
          </w:tcPr>
          <w:p w:rsidR="00BB6F1F" w:rsidRPr="00EC2897" w:rsidRDefault="00BB6F1F" w:rsidP="00AC68FF">
            <w:pPr>
              <w:keepLines w:val="0"/>
              <w:autoSpaceDE w:val="0"/>
              <w:autoSpaceDN w:val="0"/>
              <w:adjustRightInd w:val="0"/>
              <w:rPr>
                <w:rFonts w:eastAsiaTheme="minorEastAsia" w:cs="Calibri"/>
                <w:i/>
                <w:iCs/>
                <w:color w:val="000000"/>
                <w:lang w:eastAsia="en-AU"/>
              </w:rPr>
            </w:pPr>
            <w:r w:rsidRPr="00EC2897">
              <w:rPr>
                <w:rFonts w:eastAsiaTheme="minorEastAsia" w:cs="Calibri"/>
                <w:i/>
                <w:iCs/>
                <w:color w:val="000000"/>
                <w:lang w:eastAsia="en-AU"/>
              </w:rPr>
              <w:t>Total convergence difference:</w:t>
            </w:r>
          </w:p>
        </w:tc>
        <w:tc>
          <w:tcPr>
            <w:tcW w:w="1060"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(769)</w:t>
            </w:r>
          </w:p>
        </w:tc>
        <w:tc>
          <w:tcPr>
            <w:tcW w:w="1060"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w:t>
            </w:r>
          </w:p>
        </w:tc>
        <w:tc>
          <w:tcPr>
            <w:tcW w:w="1060"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(228)</w:t>
            </w:r>
          </w:p>
        </w:tc>
        <w:tc>
          <w:tcPr>
            <w:tcW w:w="1060"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(149)</w:t>
            </w:r>
          </w:p>
        </w:tc>
        <w:tc>
          <w:tcPr>
            <w:tcW w:w="1061"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(246)</w:t>
            </w:r>
          </w:p>
        </w:tc>
        <w:tc>
          <w:tcPr>
            <w:tcW w:w="1060"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(239)</w:t>
            </w:r>
          </w:p>
        </w:tc>
        <w:tc>
          <w:tcPr>
            <w:tcW w:w="1060"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370</w:t>
            </w:r>
          </w:p>
        </w:tc>
        <w:tc>
          <w:tcPr>
            <w:tcW w:w="1060"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387</w:t>
            </w:r>
          </w:p>
        </w:tc>
        <w:tc>
          <w:tcPr>
            <w:tcW w:w="1060"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(873)</w:t>
            </w:r>
          </w:p>
        </w:tc>
        <w:tc>
          <w:tcPr>
            <w:tcW w:w="1061"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w:t>
            </w:r>
          </w:p>
        </w:tc>
      </w:tr>
      <w:tr w:rsidR="00BB6F1F" w:rsidRPr="00EC2897" w:rsidTr="00CA53C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12" w:space="0" w:color="auto"/>
            </w:tcBorders>
            <w:shd w:val="solid" w:color="FFFFFF" w:fill="auto"/>
          </w:tcPr>
          <w:p w:rsidR="00BB6F1F" w:rsidRPr="00EC2897" w:rsidRDefault="00BB6F1F" w:rsidP="00AC68FF">
            <w:pPr>
              <w:keepLines w:val="0"/>
              <w:autoSpaceDE w:val="0"/>
              <w:autoSpaceDN w:val="0"/>
              <w:adjustRightInd w:val="0"/>
              <w:rPr>
                <w:rFonts w:eastAsiaTheme="minorEastAsia" w:cs="Calibri"/>
                <w:bCs/>
                <w:color w:val="000000"/>
                <w:lang w:eastAsia="en-AU"/>
              </w:rPr>
            </w:pPr>
            <w:r w:rsidRPr="00EC2897">
              <w:rPr>
                <w:rFonts w:eastAsiaTheme="minorEastAsia" w:cs="Calibri"/>
                <w:bCs/>
                <w:color w:val="000000"/>
                <w:lang w:eastAsia="en-AU"/>
              </w:rPr>
              <w:t>GFS net operating balance</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1 940</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2 664</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(664)</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6</w:t>
            </w:r>
          </w:p>
        </w:tc>
        <w:tc>
          <w:tcPr>
            <w:tcW w:w="1061"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(2 226)</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(1 035)</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831</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11</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(119)</w:t>
            </w:r>
          </w:p>
        </w:tc>
        <w:tc>
          <w:tcPr>
            <w:tcW w:w="1061"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1 645</w:t>
            </w:r>
          </w:p>
        </w:tc>
      </w:tr>
    </w:tbl>
    <w:p w:rsidR="00BB6F1F" w:rsidRDefault="00BB6F1F" w:rsidP="00AC68FF">
      <w:pPr>
        <w:pStyle w:val="Note"/>
      </w:pPr>
      <w:r>
        <w:t>Notes:</w:t>
      </w:r>
    </w:p>
    <w:p w:rsidR="00BB6F1F" w:rsidRDefault="00BB6F1F" w:rsidP="00AC68FF">
      <w:pPr>
        <w:pStyle w:val="Note"/>
      </w:pPr>
      <w:r>
        <w:t>(a)</w:t>
      </w:r>
      <w:r>
        <w:tab/>
        <w:t>Determined in accordance with the ABS GFS Manual.</w:t>
      </w:r>
    </w:p>
    <w:p w:rsidR="00BB6F1F" w:rsidRDefault="00BB6F1F" w:rsidP="00AC68FF">
      <w:pPr>
        <w:pStyle w:val="Note"/>
      </w:pPr>
      <w:r>
        <w:t>(b)</w:t>
      </w:r>
      <w:r>
        <w:tab/>
        <w:t>The convergence difference arises between GFS recognised dividends paid/payable as an expense from transactions on the operating statement whereas, under accounting standards, dividends are classified as after-profit distributions to owners.</w:t>
      </w:r>
    </w:p>
    <w:p w:rsidR="00BB6F1F" w:rsidRDefault="00BB6F1F" w:rsidP="00AC68FF">
      <w:pPr>
        <w:pStyle w:val="Note"/>
      </w:pPr>
      <w:r>
        <w:t>(c)</w:t>
      </w:r>
      <w:r>
        <w:tab/>
        <w:t>The convergence difference arises because the GFS recognises the 15-year prepaid Port Licence Fee from the medium-term lease over the operations of the Port of Melbourne as revenue over the 15-year period.</w:t>
      </w:r>
    </w:p>
    <w:p w:rsidR="00BB6F1F" w:rsidRDefault="00BB6F1F" w:rsidP="00AC68FF">
      <w:pPr>
        <w:pStyle w:val="Note"/>
      </w:pPr>
      <w:r>
        <w:t>(d)</w:t>
      </w:r>
      <w:r>
        <w:tab/>
        <w:t>The convergence difference for the Port of Melbourne lease transaction arises because GFS recognises the transaction as a sale of equity from the general government sector, whereas under Australian Accounting Standards the Port of Melbourne lease transaction has been treated as an operating lease with the leased assets remaining within the public non-financial corporations sector.</w:t>
      </w:r>
    </w:p>
    <w:p w:rsidR="00CA53C0" w:rsidRDefault="00CA53C0" w:rsidP="00CA53C0"/>
    <w:p w:rsidR="00BB6F1F" w:rsidRPr="0003431C" w:rsidRDefault="00BB6F1F" w:rsidP="00CA53C0">
      <w:pPr>
        <w:pStyle w:val="Heading3"/>
        <w:numPr>
          <w:ilvl w:val="2"/>
          <w:numId w:val="24"/>
        </w:numPr>
        <w:tabs>
          <w:tab w:val="right" w:pos="14572"/>
        </w:tabs>
        <w:spacing w:after="0"/>
        <w:ind w:left="851"/>
        <w:rPr>
          <w:lang w:val="en-US"/>
        </w:rPr>
      </w:pPr>
      <w:r w:rsidRPr="003F3CB9">
        <w:t xml:space="preserve">Reconciliation to GFS net lending/(borrowing) </w:t>
      </w:r>
      <w:r w:rsidRPr="00E1683F">
        <w:rPr>
          <w:vertAlign w:val="superscript"/>
        </w:rPr>
        <w:t>(a)</w:t>
      </w:r>
    </w:p>
    <w:p w:rsidR="00BB6F1F" w:rsidRPr="00EC2897" w:rsidRDefault="00BB6F1F" w:rsidP="0003431C">
      <w:pPr>
        <w:pStyle w:val="TableUnits"/>
        <w:rPr>
          <w:lang w:val="en-US"/>
        </w:rPr>
      </w:pPr>
      <w:r w:rsidRPr="0032440A">
        <w:t>($ million)</w:t>
      </w: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3969"/>
        <w:gridCol w:w="1060"/>
        <w:gridCol w:w="1060"/>
        <w:gridCol w:w="1060"/>
        <w:gridCol w:w="1060"/>
        <w:gridCol w:w="1061"/>
        <w:gridCol w:w="1060"/>
        <w:gridCol w:w="1060"/>
        <w:gridCol w:w="1060"/>
        <w:gridCol w:w="1060"/>
        <w:gridCol w:w="1061"/>
      </w:tblGrid>
      <w:tr w:rsidR="00BB6F1F" w:rsidRPr="00EC2897" w:rsidTr="00BB6F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b/>
                <w:bCs/>
                <w:color w:val="FFFFFF"/>
                <w:lang w:eastAsia="en-AU"/>
              </w:rPr>
            </w:pPr>
            <w:r w:rsidRPr="00EC2897">
              <w:rPr>
                <w:rFonts w:eastAsiaTheme="minorEastAsia" w:cs="Calibri"/>
                <w:b/>
                <w:bCs/>
                <w:color w:val="FFFFFF"/>
                <w:lang w:eastAsia="en-AU"/>
              </w:rPr>
              <w:t xml:space="preserve"> </w:t>
            </w:r>
          </w:p>
        </w:tc>
        <w:tc>
          <w:tcPr>
            <w:tcW w:w="2120" w:type="dxa"/>
            <w:gridSpan w:val="2"/>
            <w:tcBorders>
              <w:top w:val="nil"/>
              <w:left w:val="nil"/>
              <w:bottom w:val="nil"/>
              <w:right w:val="nil"/>
            </w:tcBorders>
            <w:shd w:val="solid" w:color="000000" w:fill="auto"/>
          </w:tcPr>
          <w:p w:rsidR="00BB6F1F" w:rsidRPr="00EC2897" w:rsidRDefault="00BB6F1F" w:rsidP="00BB6FF4">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EC2897">
              <w:rPr>
                <w:rFonts w:eastAsiaTheme="minorEastAsia" w:cs="Calibri"/>
                <w:iCs/>
                <w:color w:val="FFFFFF"/>
                <w:lang w:eastAsia="en-AU"/>
              </w:rPr>
              <w:t xml:space="preserve">General </w:t>
            </w:r>
            <w:r w:rsidR="00BB6FF4">
              <w:rPr>
                <w:rFonts w:eastAsiaTheme="minorEastAsia" w:cs="Calibri"/>
                <w:iCs/>
                <w:color w:val="FFFFFF"/>
                <w:lang w:eastAsia="en-AU"/>
              </w:rPr>
              <w:br/>
            </w:r>
            <w:r w:rsidRPr="00EC2897">
              <w:rPr>
                <w:rFonts w:eastAsiaTheme="minorEastAsia" w:cs="Calibri"/>
                <w:iCs/>
                <w:color w:val="FFFFFF"/>
                <w:lang w:eastAsia="en-AU"/>
              </w:rPr>
              <w:t>government sector</w:t>
            </w:r>
          </w:p>
        </w:tc>
        <w:tc>
          <w:tcPr>
            <w:tcW w:w="2120"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EC2897">
              <w:rPr>
                <w:rFonts w:eastAsiaTheme="minorEastAsia" w:cs="Calibri"/>
                <w:iCs/>
                <w:color w:val="FFFFFF"/>
                <w:lang w:eastAsia="en-AU"/>
              </w:rPr>
              <w:t>Public non-financial corporations</w:t>
            </w:r>
          </w:p>
        </w:tc>
        <w:tc>
          <w:tcPr>
            <w:tcW w:w="2121" w:type="dxa"/>
            <w:gridSpan w:val="2"/>
            <w:tcBorders>
              <w:top w:val="nil"/>
              <w:left w:val="nil"/>
              <w:bottom w:val="nil"/>
              <w:right w:val="nil"/>
            </w:tcBorders>
            <w:shd w:val="solid" w:color="000000" w:fill="auto"/>
          </w:tcPr>
          <w:p w:rsidR="00BB6F1F" w:rsidRPr="00EC2897" w:rsidRDefault="00BB6F1F" w:rsidP="00BB6FF4">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EC2897">
              <w:rPr>
                <w:rFonts w:eastAsiaTheme="minorEastAsia" w:cs="Calibri"/>
                <w:iCs/>
                <w:color w:val="FFFFFF"/>
                <w:lang w:eastAsia="en-AU"/>
              </w:rPr>
              <w:t xml:space="preserve">Public </w:t>
            </w:r>
            <w:r w:rsidR="00BB6FF4">
              <w:rPr>
                <w:rFonts w:eastAsiaTheme="minorEastAsia" w:cs="Calibri"/>
                <w:iCs/>
                <w:color w:val="FFFFFF"/>
                <w:lang w:eastAsia="en-AU"/>
              </w:rPr>
              <w:br/>
            </w:r>
            <w:r w:rsidRPr="00EC2897">
              <w:rPr>
                <w:rFonts w:eastAsiaTheme="minorEastAsia" w:cs="Calibri"/>
                <w:iCs/>
                <w:color w:val="FFFFFF"/>
                <w:lang w:eastAsia="en-AU"/>
              </w:rPr>
              <w:t>financial corporations</w:t>
            </w:r>
          </w:p>
        </w:tc>
        <w:tc>
          <w:tcPr>
            <w:tcW w:w="2120"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EC2897">
              <w:rPr>
                <w:rFonts w:eastAsiaTheme="minorEastAsia" w:cs="Calibri"/>
                <w:iCs/>
                <w:color w:val="FFFFFF"/>
                <w:lang w:eastAsia="en-AU"/>
              </w:rPr>
              <w:t>Eliminations</w:t>
            </w:r>
          </w:p>
        </w:tc>
        <w:tc>
          <w:tcPr>
            <w:tcW w:w="2121" w:type="dxa"/>
            <w:gridSpan w:val="2"/>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EC2897">
              <w:rPr>
                <w:rFonts w:eastAsiaTheme="minorEastAsia" w:cs="Calibri"/>
                <w:iCs/>
                <w:color w:val="FFFFFF"/>
                <w:lang w:eastAsia="en-AU"/>
              </w:rPr>
              <w:t>State of Victoria</w:t>
            </w:r>
          </w:p>
        </w:tc>
      </w:tr>
      <w:tr w:rsidR="00BB6F1F" w:rsidRPr="00EC2897" w:rsidTr="00BB6F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rPr>
                <w:rFonts w:eastAsiaTheme="minorEastAsia" w:cs="Calibri"/>
                <w:color w:val="FFFFFF"/>
                <w:lang w:eastAsia="en-AU"/>
              </w:rPr>
            </w:pPr>
            <w:r w:rsidRPr="00EC2897">
              <w:rPr>
                <w:rFonts w:eastAsiaTheme="minorEastAsia" w:cs="Calibri"/>
                <w:color w:val="FFFFFF"/>
                <w:lang w:eastAsia="en-AU"/>
              </w:rPr>
              <w:t xml:space="preserve"> </w:t>
            </w:r>
          </w:p>
        </w:tc>
        <w:tc>
          <w:tcPr>
            <w:tcW w:w="106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c>
          <w:tcPr>
            <w:tcW w:w="106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c>
          <w:tcPr>
            <w:tcW w:w="1061"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c>
          <w:tcPr>
            <w:tcW w:w="106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c>
          <w:tcPr>
            <w:tcW w:w="1060"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1" w:type="dxa"/>
            <w:tcBorders>
              <w:top w:val="nil"/>
              <w:left w:val="nil"/>
              <w:bottom w:val="nil"/>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r>
      <w:tr w:rsidR="00BB6F1F" w:rsidRPr="00EC2897" w:rsidTr="00BB6FF4">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b/>
                <w:bCs/>
                <w:color w:val="000000"/>
                <w:lang w:eastAsia="en-AU"/>
              </w:rPr>
            </w:pPr>
            <w:r w:rsidRPr="00EC2897">
              <w:rPr>
                <w:rFonts w:eastAsiaTheme="minorEastAsia" w:cs="Calibri"/>
                <w:b/>
                <w:bCs/>
                <w:color w:val="000000"/>
                <w:lang w:eastAsia="en-AU"/>
              </w:rPr>
              <w:t>Net lending/(borrowing)</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1 055</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1 876</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(2 974)</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(1 984)</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(1 979)</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(783)</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462</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(377)</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(3 436)</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(1 267)</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i/>
                <w:iCs/>
                <w:color w:val="000000"/>
                <w:lang w:eastAsia="en-AU"/>
              </w:rPr>
            </w:pPr>
            <w:r w:rsidRPr="00EC2897">
              <w:rPr>
                <w:rFonts w:eastAsiaTheme="minorEastAsia" w:cs="Calibri"/>
                <w:i/>
                <w:iCs/>
                <w:color w:val="000000"/>
                <w:lang w:eastAsia="en-AU"/>
              </w:rPr>
              <w:t xml:space="preserve">Convergence differences: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PNFC/PFC dividends </w:t>
            </w:r>
            <w:r w:rsidRPr="00EC2897">
              <w:rPr>
                <w:rFonts w:eastAsiaTheme="minorEastAsia" w:cs="Calibri"/>
                <w:color w:val="000000"/>
                <w:vertAlign w:val="superscript"/>
                <w:lang w:eastAsia="en-AU"/>
              </w:rPr>
              <w:t>(b)</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(123)</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(149)</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(246)</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(239)</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369</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387</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Port Licence Fee treatment </w:t>
            </w:r>
            <w:r w:rsidRPr="00EC2897">
              <w:rPr>
                <w:rFonts w:eastAsiaTheme="minorEastAsia" w:cs="Calibri"/>
                <w:color w:val="000000"/>
                <w:vertAlign w:val="superscript"/>
                <w:lang w:eastAsia="en-AU"/>
              </w:rPr>
              <w:t>(c)</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(783)</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(783)</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Port of Melbourne lease transaction </w:t>
            </w:r>
            <w:r w:rsidRPr="00EC2897">
              <w:rPr>
                <w:rFonts w:eastAsiaTheme="minorEastAsia" w:cs="Calibri"/>
                <w:color w:val="000000"/>
                <w:vertAlign w:val="superscript"/>
                <w:lang w:eastAsia="en-AU"/>
              </w:rPr>
              <w:t>(d)</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(105)</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(90)</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EC2897">
              <w:rPr>
                <w:rFonts w:eastAsiaTheme="minorEastAsia" w:cs="Calibri"/>
                <w:color w:val="000000"/>
                <w:szCs w:val="2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left w:val="nil"/>
              <w:bottom w:val="single" w:sz="12" w:space="0" w:color="auto"/>
              <w:right w:val="nil"/>
            </w:tcBorders>
            <w:shd w:val="solid" w:color="FFFFFF" w:fill="auto"/>
          </w:tcPr>
          <w:p w:rsidR="00BB6F1F" w:rsidRPr="00EC2897" w:rsidRDefault="00BB6F1F" w:rsidP="00AC68FF">
            <w:pPr>
              <w:keepLines w:val="0"/>
              <w:autoSpaceDE w:val="0"/>
              <w:autoSpaceDN w:val="0"/>
              <w:adjustRightInd w:val="0"/>
              <w:rPr>
                <w:rFonts w:eastAsiaTheme="minorEastAsia" w:cs="Calibri"/>
                <w:i/>
                <w:iCs/>
                <w:color w:val="000000"/>
                <w:lang w:eastAsia="en-AU"/>
              </w:rPr>
            </w:pPr>
            <w:r w:rsidRPr="00EC2897">
              <w:rPr>
                <w:rFonts w:eastAsiaTheme="minorEastAsia" w:cs="Calibri"/>
                <w:i/>
                <w:iCs/>
                <w:color w:val="000000"/>
                <w:lang w:eastAsia="en-AU"/>
              </w:rPr>
              <w:t>Total convergence difference:</w:t>
            </w:r>
          </w:p>
        </w:tc>
        <w:tc>
          <w:tcPr>
            <w:tcW w:w="1060"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(769)</w:t>
            </w:r>
          </w:p>
        </w:tc>
        <w:tc>
          <w:tcPr>
            <w:tcW w:w="1060"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w:t>
            </w:r>
          </w:p>
        </w:tc>
        <w:tc>
          <w:tcPr>
            <w:tcW w:w="1060"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(228)</w:t>
            </w:r>
          </w:p>
        </w:tc>
        <w:tc>
          <w:tcPr>
            <w:tcW w:w="1060"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(149)</w:t>
            </w:r>
          </w:p>
        </w:tc>
        <w:tc>
          <w:tcPr>
            <w:tcW w:w="1061"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(246)</w:t>
            </w:r>
          </w:p>
        </w:tc>
        <w:tc>
          <w:tcPr>
            <w:tcW w:w="1060"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(239)</w:t>
            </w:r>
          </w:p>
        </w:tc>
        <w:tc>
          <w:tcPr>
            <w:tcW w:w="1060"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370</w:t>
            </w:r>
          </w:p>
        </w:tc>
        <w:tc>
          <w:tcPr>
            <w:tcW w:w="1060"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387</w:t>
            </w:r>
          </w:p>
        </w:tc>
        <w:tc>
          <w:tcPr>
            <w:tcW w:w="1060"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(873)</w:t>
            </w:r>
          </w:p>
        </w:tc>
        <w:tc>
          <w:tcPr>
            <w:tcW w:w="1061" w:type="dxa"/>
            <w:tcBorders>
              <w:top w:val="single" w:sz="6" w:space="0" w:color="auto"/>
              <w:left w:val="nil"/>
              <w:bottom w:val="single" w:sz="12"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w:t>
            </w:r>
          </w:p>
        </w:tc>
      </w:tr>
      <w:tr w:rsidR="00BB6F1F" w:rsidRPr="00EC2897" w:rsidTr="00CA53C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12" w:space="0" w:color="auto"/>
            </w:tcBorders>
            <w:shd w:val="solid" w:color="FFFFFF" w:fill="auto"/>
          </w:tcPr>
          <w:p w:rsidR="00BB6F1F" w:rsidRPr="00EC2897" w:rsidRDefault="00BB6F1F" w:rsidP="00AC68FF">
            <w:pPr>
              <w:keepLines w:val="0"/>
              <w:autoSpaceDE w:val="0"/>
              <w:autoSpaceDN w:val="0"/>
              <w:adjustRightInd w:val="0"/>
              <w:rPr>
                <w:rFonts w:eastAsiaTheme="minorEastAsia" w:cs="Calibri"/>
                <w:bCs/>
                <w:color w:val="000000"/>
                <w:lang w:eastAsia="en-AU"/>
              </w:rPr>
            </w:pPr>
            <w:r w:rsidRPr="00EC2897">
              <w:rPr>
                <w:rFonts w:eastAsiaTheme="minorEastAsia" w:cs="Calibri"/>
                <w:bCs/>
                <w:color w:val="000000"/>
                <w:lang w:eastAsia="en-AU"/>
              </w:rPr>
              <w:t>GFS net lending/(borrowing)</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286</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1 876</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(3 202)</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(2 132)</w:t>
            </w:r>
          </w:p>
        </w:tc>
        <w:tc>
          <w:tcPr>
            <w:tcW w:w="1061"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(2 226)</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(1 021)</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832</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10</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(4 309)</w:t>
            </w:r>
          </w:p>
        </w:tc>
        <w:tc>
          <w:tcPr>
            <w:tcW w:w="1061"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(1 267)</w:t>
            </w:r>
          </w:p>
        </w:tc>
      </w:tr>
    </w:tbl>
    <w:p w:rsidR="00BB6F1F" w:rsidRDefault="00BB6F1F" w:rsidP="00AC68FF">
      <w:pPr>
        <w:pStyle w:val="Note"/>
      </w:pPr>
      <w:r>
        <w:t>Notes:</w:t>
      </w:r>
    </w:p>
    <w:p w:rsidR="00BB6F1F" w:rsidRDefault="00BB6F1F" w:rsidP="00AC68FF">
      <w:pPr>
        <w:pStyle w:val="Note"/>
      </w:pPr>
      <w:r>
        <w:t>(a)</w:t>
      </w:r>
      <w:r>
        <w:tab/>
        <w:t>Determined in accordance with the ABS GFS Manual.</w:t>
      </w:r>
    </w:p>
    <w:p w:rsidR="00BB6F1F" w:rsidRDefault="00BB6F1F" w:rsidP="00AC68FF">
      <w:pPr>
        <w:pStyle w:val="Note"/>
      </w:pPr>
      <w:r>
        <w:t>(b)</w:t>
      </w:r>
      <w:r>
        <w:tab/>
        <w:t>The convergence difference arises between GFS recognised dividends paid/payable as an expense from transactions on the operating statement whereas, under accounting standards, dividends are classified as after-profit distributions to owners.</w:t>
      </w:r>
    </w:p>
    <w:p w:rsidR="00BB6F1F" w:rsidRDefault="00BB6F1F" w:rsidP="00AC68FF">
      <w:pPr>
        <w:pStyle w:val="Note"/>
      </w:pPr>
      <w:r>
        <w:t>(c)</w:t>
      </w:r>
      <w:r>
        <w:tab/>
        <w:t>The convergence difference arises because the GFS recognises the 15-year prepaid Port Licence Fee from the medium-term lease over the operations of the Port of Melbourne as revenue over the 15-year period.</w:t>
      </w:r>
    </w:p>
    <w:p w:rsidR="00BB6F1F" w:rsidRDefault="00BB6F1F" w:rsidP="0003431C">
      <w:pPr>
        <w:pStyle w:val="Note"/>
      </w:pPr>
      <w:r>
        <w:t>(d)</w:t>
      </w:r>
      <w:r>
        <w:tab/>
        <w:t>The convergence difference for the Port of Melbourne lease transaction arises because GFS recognises the transaction as a sale of equity from the general government sector, whereas under Australian Accounting Standards the Port of Melbourne lease transaction has been treated as an operating lease with the leased assets remaining within the public non-financial corporations sector.</w:t>
      </w:r>
    </w:p>
    <w:p w:rsidR="00CA53C0" w:rsidRDefault="00CA53C0" w:rsidP="00CA53C0"/>
    <w:p w:rsidR="00BB6F1F" w:rsidRPr="0003431C" w:rsidRDefault="00BB6F1F" w:rsidP="00CA53C0">
      <w:pPr>
        <w:pStyle w:val="Heading3"/>
        <w:numPr>
          <w:ilvl w:val="2"/>
          <w:numId w:val="24"/>
        </w:numPr>
        <w:tabs>
          <w:tab w:val="right" w:pos="14572"/>
        </w:tabs>
        <w:spacing w:after="0"/>
        <w:ind w:left="851"/>
        <w:rPr>
          <w:lang w:val="en-US"/>
        </w:rPr>
      </w:pPr>
      <w:r w:rsidRPr="003F3CB9">
        <w:lastRenderedPageBreak/>
        <w:t>Reconciliation to GFS total change in net worth</w:t>
      </w:r>
      <w:r w:rsidRPr="003F3CB9">
        <w:rPr>
          <w:vertAlign w:val="superscript"/>
        </w:rPr>
        <w:t xml:space="preserve"> (a)</w:t>
      </w:r>
    </w:p>
    <w:p w:rsidR="00BB6F1F" w:rsidRPr="00EC2897" w:rsidRDefault="00BB6F1F" w:rsidP="0003431C">
      <w:pPr>
        <w:pStyle w:val="TableUnits"/>
        <w:rPr>
          <w:lang w:val="en-US"/>
        </w:rPr>
      </w:pPr>
      <w:r w:rsidRPr="0032440A">
        <w:t>($ million)</w:t>
      </w: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3969"/>
        <w:gridCol w:w="259"/>
        <w:gridCol w:w="801"/>
        <w:gridCol w:w="1060"/>
        <w:gridCol w:w="1060"/>
        <w:gridCol w:w="1060"/>
        <w:gridCol w:w="1061"/>
        <w:gridCol w:w="1060"/>
        <w:gridCol w:w="1060"/>
        <w:gridCol w:w="1060"/>
        <w:gridCol w:w="1060"/>
        <w:gridCol w:w="1061"/>
      </w:tblGrid>
      <w:tr w:rsidR="00BB6F1F" w:rsidRPr="00EC2897" w:rsidTr="00CA53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b/>
                <w:bCs/>
                <w:color w:val="FFFFFF"/>
                <w:lang w:eastAsia="en-AU"/>
              </w:rPr>
            </w:pPr>
            <w:r w:rsidRPr="00EC2897">
              <w:rPr>
                <w:rFonts w:eastAsiaTheme="minorEastAsia" w:cs="Calibri"/>
                <w:b/>
                <w:bCs/>
                <w:color w:val="FFFFFF"/>
                <w:lang w:eastAsia="en-AU"/>
              </w:rPr>
              <w:t xml:space="preserve"> </w:t>
            </w:r>
          </w:p>
        </w:tc>
        <w:tc>
          <w:tcPr>
            <w:tcW w:w="2120" w:type="dxa"/>
            <w:gridSpan w:val="3"/>
            <w:tcBorders>
              <w:top w:val="single" w:sz="6" w:space="0" w:color="auto"/>
              <w:left w:val="nil"/>
              <w:bottom w:val="nil"/>
              <w:right w:val="nil"/>
            </w:tcBorders>
            <w:shd w:val="solid" w:color="000000" w:fill="auto"/>
          </w:tcPr>
          <w:p w:rsidR="00BB6F1F" w:rsidRPr="00EC2897" w:rsidRDefault="00BB6F1F" w:rsidP="00BB6FF4">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EC2897">
              <w:rPr>
                <w:rFonts w:eastAsiaTheme="minorEastAsia" w:cs="Calibri"/>
                <w:iCs/>
                <w:color w:val="FFFFFF"/>
                <w:lang w:eastAsia="en-AU"/>
              </w:rPr>
              <w:t xml:space="preserve">General </w:t>
            </w:r>
            <w:r w:rsidR="00BB6FF4">
              <w:rPr>
                <w:rFonts w:eastAsiaTheme="minorEastAsia" w:cs="Calibri"/>
                <w:iCs/>
                <w:color w:val="FFFFFF"/>
                <w:lang w:eastAsia="en-AU"/>
              </w:rPr>
              <w:br/>
            </w:r>
            <w:r w:rsidRPr="00EC2897">
              <w:rPr>
                <w:rFonts w:eastAsiaTheme="minorEastAsia" w:cs="Calibri"/>
                <w:iCs/>
                <w:color w:val="FFFFFF"/>
                <w:lang w:eastAsia="en-AU"/>
              </w:rPr>
              <w:t>government sector</w:t>
            </w:r>
          </w:p>
        </w:tc>
        <w:tc>
          <w:tcPr>
            <w:tcW w:w="2120" w:type="dxa"/>
            <w:gridSpan w:val="2"/>
            <w:tcBorders>
              <w:top w:val="single" w:sz="6" w:space="0" w:color="auto"/>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EC2897">
              <w:rPr>
                <w:rFonts w:eastAsiaTheme="minorEastAsia" w:cs="Calibri"/>
                <w:iCs/>
                <w:color w:val="FFFFFF"/>
                <w:lang w:eastAsia="en-AU"/>
              </w:rPr>
              <w:t>Public non-financial corporations</w:t>
            </w:r>
          </w:p>
        </w:tc>
        <w:tc>
          <w:tcPr>
            <w:tcW w:w="2121" w:type="dxa"/>
            <w:gridSpan w:val="2"/>
            <w:tcBorders>
              <w:top w:val="single" w:sz="6" w:space="0" w:color="auto"/>
              <w:left w:val="nil"/>
              <w:bottom w:val="nil"/>
              <w:right w:val="nil"/>
            </w:tcBorders>
            <w:shd w:val="solid" w:color="000000" w:fill="auto"/>
          </w:tcPr>
          <w:p w:rsidR="00BB6F1F" w:rsidRPr="00EC2897" w:rsidRDefault="00BB6F1F" w:rsidP="00BB6FF4">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EC2897">
              <w:rPr>
                <w:rFonts w:eastAsiaTheme="minorEastAsia" w:cs="Calibri"/>
                <w:iCs/>
                <w:color w:val="FFFFFF"/>
                <w:lang w:eastAsia="en-AU"/>
              </w:rPr>
              <w:t xml:space="preserve">Public </w:t>
            </w:r>
            <w:r w:rsidR="00BB6FF4">
              <w:rPr>
                <w:rFonts w:eastAsiaTheme="minorEastAsia" w:cs="Calibri"/>
                <w:iCs/>
                <w:color w:val="FFFFFF"/>
                <w:lang w:eastAsia="en-AU"/>
              </w:rPr>
              <w:br/>
            </w:r>
            <w:r w:rsidRPr="00EC2897">
              <w:rPr>
                <w:rFonts w:eastAsiaTheme="minorEastAsia" w:cs="Calibri"/>
                <w:iCs/>
                <w:color w:val="FFFFFF"/>
                <w:lang w:eastAsia="en-AU"/>
              </w:rPr>
              <w:t>financial corporations</w:t>
            </w:r>
          </w:p>
        </w:tc>
        <w:tc>
          <w:tcPr>
            <w:tcW w:w="2120" w:type="dxa"/>
            <w:gridSpan w:val="2"/>
            <w:tcBorders>
              <w:top w:val="single" w:sz="6" w:space="0" w:color="auto"/>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EC2897">
              <w:rPr>
                <w:rFonts w:eastAsiaTheme="minorEastAsia" w:cs="Calibri"/>
                <w:iCs/>
                <w:color w:val="FFFFFF"/>
                <w:lang w:eastAsia="en-AU"/>
              </w:rPr>
              <w:t>Eliminations</w:t>
            </w:r>
          </w:p>
        </w:tc>
        <w:tc>
          <w:tcPr>
            <w:tcW w:w="2121" w:type="dxa"/>
            <w:gridSpan w:val="2"/>
            <w:tcBorders>
              <w:top w:val="single" w:sz="6" w:space="0" w:color="auto"/>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EC2897">
              <w:rPr>
                <w:rFonts w:eastAsiaTheme="minorEastAsia" w:cs="Calibri"/>
                <w:iCs/>
                <w:color w:val="FFFFFF"/>
                <w:lang w:eastAsia="en-AU"/>
              </w:rPr>
              <w:t>State of Victoria</w:t>
            </w:r>
          </w:p>
        </w:tc>
      </w:tr>
      <w:tr w:rsidR="00BB6F1F" w:rsidRPr="00EC2897" w:rsidTr="00CA53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rPr>
                <w:rFonts w:eastAsiaTheme="minorEastAsia" w:cs="Calibri"/>
                <w:b/>
                <w:bCs/>
                <w:color w:val="FFFFFF"/>
                <w:lang w:eastAsia="en-AU"/>
              </w:rPr>
            </w:pPr>
            <w:r w:rsidRPr="00EC2897">
              <w:rPr>
                <w:rFonts w:eastAsiaTheme="minorEastAsia" w:cs="Calibri"/>
                <w:b/>
                <w:bCs/>
                <w:color w:val="FFFFFF"/>
                <w:lang w:eastAsia="en-AU"/>
              </w:rPr>
              <w:t xml:space="preserve"> </w:t>
            </w:r>
          </w:p>
        </w:tc>
        <w:tc>
          <w:tcPr>
            <w:tcW w:w="1060" w:type="dxa"/>
            <w:gridSpan w:val="2"/>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c>
          <w:tcPr>
            <w:tcW w:w="1061"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1"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b/>
                <w:bCs/>
                <w:color w:val="000000"/>
                <w:lang w:eastAsia="en-AU"/>
              </w:rPr>
            </w:pPr>
            <w:r w:rsidRPr="00EC2897">
              <w:rPr>
                <w:rFonts w:eastAsiaTheme="minorEastAsia" w:cs="Calibri"/>
                <w:b/>
                <w:bCs/>
                <w:color w:val="000000"/>
                <w:lang w:eastAsia="en-AU"/>
              </w:rPr>
              <w:t>Comprehensive result – total change in net worth</w:t>
            </w:r>
          </w:p>
        </w:tc>
        <w:tc>
          <w:tcPr>
            <w:tcW w:w="1060" w:type="dxa"/>
            <w:gridSpan w:val="2"/>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16 279</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15 303</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2 339</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11 106</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4 237</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(2 438)</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(2 967)</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(11 646)</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19 889</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12 325</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i/>
                <w:iCs/>
                <w:color w:val="000000"/>
                <w:lang w:eastAsia="en-AU"/>
              </w:rPr>
            </w:pPr>
            <w:r w:rsidRPr="00EC2897">
              <w:rPr>
                <w:rFonts w:eastAsiaTheme="minorEastAsia" w:cs="Calibri"/>
                <w:i/>
                <w:iCs/>
                <w:color w:val="000000"/>
                <w:lang w:eastAsia="en-AU"/>
              </w:rPr>
              <w:t>Convergence differences:</w:t>
            </w:r>
          </w:p>
        </w:tc>
        <w:tc>
          <w:tcPr>
            <w:tcW w:w="1060" w:type="dxa"/>
            <w:gridSpan w:val="2"/>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Relating to net operating balance </w:t>
            </w:r>
            <w:r w:rsidRPr="00EC2897">
              <w:rPr>
                <w:rFonts w:eastAsiaTheme="minorEastAsia" w:cs="Calibri"/>
                <w:color w:val="000000"/>
                <w:vertAlign w:val="superscript"/>
                <w:lang w:eastAsia="en-AU"/>
              </w:rPr>
              <w:t>(b)</w:t>
            </w:r>
          </w:p>
        </w:tc>
        <w:tc>
          <w:tcPr>
            <w:tcW w:w="1060" w:type="dxa"/>
            <w:gridSpan w:val="2"/>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(769)</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(228)</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(149)</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(246)</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(239)</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370</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387</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(873)</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lang w:eastAsia="en-AU"/>
              </w:rPr>
            </w:pPr>
            <w:r w:rsidRPr="00EC2897">
              <w:rPr>
                <w:rFonts w:eastAsiaTheme="minorEastAsia" w:cs="Calibri"/>
                <w:color w:val="000000"/>
                <w:lang w:eastAsia="en-AU"/>
              </w:rPr>
              <w:t>Relating to other economic flows:</w:t>
            </w:r>
          </w:p>
        </w:tc>
        <w:tc>
          <w:tcPr>
            <w:tcW w:w="1060" w:type="dxa"/>
            <w:gridSpan w:val="2"/>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   Port of Melbourne lease transaction </w:t>
            </w:r>
            <w:r w:rsidRPr="00EC2897">
              <w:rPr>
                <w:rFonts w:eastAsiaTheme="minorEastAsia" w:cs="Calibri"/>
                <w:color w:val="000000"/>
                <w:vertAlign w:val="superscript"/>
                <w:lang w:eastAsia="en-AU"/>
              </w:rPr>
              <w:t>(c)</w:t>
            </w:r>
          </w:p>
        </w:tc>
        <w:tc>
          <w:tcPr>
            <w:tcW w:w="1060" w:type="dxa"/>
            <w:gridSpan w:val="2"/>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(853)</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(749)</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853</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(749)</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lang w:eastAsia="en-AU"/>
              </w:rPr>
            </w:pPr>
            <w:r w:rsidRPr="00EC2897">
              <w:rPr>
                <w:rFonts w:eastAsiaTheme="minorEastAsia" w:cs="Calibri"/>
                <w:color w:val="000000"/>
                <w:lang w:eastAsia="en-AU"/>
              </w:rPr>
              <w:t xml:space="preserve">   Contribution by non-controlling interest</w:t>
            </w:r>
          </w:p>
        </w:tc>
        <w:tc>
          <w:tcPr>
            <w:tcW w:w="1060" w:type="dxa"/>
            <w:gridSpan w:val="2"/>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50</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50</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4228" w:type="dxa"/>
            <w:gridSpan w:val="2"/>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   Doubtful receivables of the general government sector </w:t>
            </w:r>
            <w:r w:rsidRPr="00EC2897">
              <w:rPr>
                <w:rFonts w:eastAsiaTheme="minorEastAsia" w:cs="Calibri"/>
                <w:color w:val="000000"/>
                <w:vertAlign w:val="superscript"/>
                <w:lang w:eastAsia="en-AU"/>
              </w:rPr>
              <w:t>(d)</w:t>
            </w:r>
          </w:p>
        </w:tc>
        <w:tc>
          <w:tcPr>
            <w:tcW w:w="80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22</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22</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   Doubtful receivables of the PNFC/PFC sector </w:t>
            </w:r>
            <w:r w:rsidRPr="00EC2897">
              <w:rPr>
                <w:rFonts w:eastAsiaTheme="minorEastAsia" w:cs="Calibri"/>
                <w:color w:val="000000"/>
                <w:vertAlign w:val="superscript"/>
                <w:lang w:eastAsia="en-AU"/>
              </w:rPr>
              <w:t>(d)</w:t>
            </w:r>
          </w:p>
        </w:tc>
        <w:tc>
          <w:tcPr>
            <w:tcW w:w="1060" w:type="dxa"/>
            <w:gridSpan w:val="2"/>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lang w:eastAsia="en-AU"/>
              </w:rPr>
            </w:pPr>
            <w:r w:rsidRPr="00EC2897">
              <w:rPr>
                <w:rFonts w:eastAsiaTheme="minorEastAsia" w:cs="Calibri"/>
                <w:color w:val="000000"/>
                <w:lang w:eastAsia="en-AU"/>
              </w:rPr>
              <w:t xml:space="preserve">   Future tax benefits of the PNFC/PFC sector</w:t>
            </w:r>
          </w:p>
        </w:tc>
        <w:tc>
          <w:tcPr>
            <w:tcW w:w="1060" w:type="dxa"/>
            <w:gridSpan w:val="2"/>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(44)</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837</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(632)</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(849)</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676</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lang w:eastAsia="en-AU"/>
              </w:rPr>
            </w:pPr>
            <w:r w:rsidRPr="00EC2897">
              <w:rPr>
                <w:rFonts w:eastAsiaTheme="minorEastAsia" w:cs="Calibri"/>
                <w:color w:val="000000"/>
                <w:lang w:eastAsia="en-AU"/>
              </w:rPr>
              <w:t xml:space="preserve">   Deferred tax liability of the PNFC/PFC sector </w:t>
            </w:r>
          </w:p>
        </w:tc>
        <w:tc>
          <w:tcPr>
            <w:tcW w:w="1060" w:type="dxa"/>
            <w:gridSpan w:val="2"/>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(321)</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(39)</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321</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45</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   Net gain on equity investments in other sector entities measured at proportional share of the carrying amount of net assets/(liabilities) </w:t>
            </w:r>
            <w:r w:rsidRPr="00EC2897">
              <w:rPr>
                <w:rFonts w:eastAsiaTheme="minorEastAsia" w:cs="Calibri"/>
                <w:color w:val="000000"/>
                <w:vertAlign w:val="superscript"/>
                <w:lang w:eastAsia="en-AU"/>
              </w:rPr>
              <w:t>(e)(f)</w:t>
            </w:r>
          </w:p>
        </w:tc>
        <w:tc>
          <w:tcPr>
            <w:tcW w:w="1060" w:type="dxa"/>
            <w:gridSpan w:val="2"/>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525</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(720)</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(525)</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720</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   Change in shares and other contributed capital </w:t>
            </w:r>
            <w:r w:rsidRPr="00EC2897">
              <w:rPr>
                <w:rFonts w:eastAsiaTheme="minorEastAsia" w:cs="Calibri"/>
                <w:color w:val="000000"/>
                <w:vertAlign w:val="superscript"/>
                <w:lang w:eastAsia="en-AU"/>
              </w:rPr>
              <w:t>(b)</w:t>
            </w:r>
          </w:p>
        </w:tc>
        <w:tc>
          <w:tcPr>
            <w:tcW w:w="1060" w:type="dxa"/>
            <w:gridSpan w:val="2"/>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(1 051)</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(10 873)</w:t>
            </w:r>
          </w:p>
        </w:tc>
        <w:tc>
          <w:tcPr>
            <w:tcW w:w="1061"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(4 828)</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3 313</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5 878</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7 560</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i/>
                <w:iCs/>
                <w:color w:val="000000"/>
                <w:lang w:eastAsia="en-AU"/>
              </w:rPr>
            </w:pPr>
            <w:r w:rsidRPr="00EC2897">
              <w:rPr>
                <w:rFonts w:eastAsiaTheme="minorEastAsia" w:cs="Calibri"/>
                <w:i/>
                <w:iCs/>
                <w:color w:val="000000"/>
                <w:lang w:eastAsia="en-AU"/>
              </w:rPr>
              <w:t>Total convergence difference:</w:t>
            </w:r>
          </w:p>
        </w:tc>
        <w:tc>
          <w:tcPr>
            <w:tcW w:w="1060" w:type="dxa"/>
            <w:gridSpan w:val="2"/>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(1 041)</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(699)</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(2 339)</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(11 106)</w:t>
            </w:r>
          </w:p>
        </w:tc>
        <w:tc>
          <w:tcPr>
            <w:tcW w:w="1061"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(4 237)</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2 438</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6 049</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9 389</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(1 569)</w:t>
            </w:r>
          </w:p>
        </w:tc>
        <w:tc>
          <w:tcPr>
            <w:tcW w:w="1061"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22</w:t>
            </w:r>
          </w:p>
        </w:tc>
      </w:tr>
      <w:tr w:rsidR="00BB6F1F" w:rsidRPr="00EC2897" w:rsidTr="00CA53C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il"/>
              <w:bottom w:val="single" w:sz="12" w:space="0" w:color="auto"/>
            </w:tcBorders>
          </w:tcPr>
          <w:p w:rsidR="00BB6F1F" w:rsidRPr="00EC2897" w:rsidRDefault="00BB6F1F" w:rsidP="00AC68FF">
            <w:pPr>
              <w:keepLines w:val="0"/>
              <w:autoSpaceDE w:val="0"/>
              <w:autoSpaceDN w:val="0"/>
              <w:adjustRightInd w:val="0"/>
              <w:rPr>
                <w:rFonts w:eastAsiaTheme="minorEastAsia" w:cs="Calibri"/>
                <w:bCs/>
                <w:color w:val="000000"/>
                <w:lang w:eastAsia="en-AU"/>
              </w:rPr>
            </w:pPr>
            <w:r w:rsidRPr="00EC2897">
              <w:rPr>
                <w:rFonts w:eastAsiaTheme="minorEastAsia" w:cs="Calibri"/>
                <w:bCs/>
                <w:color w:val="000000"/>
                <w:lang w:eastAsia="en-AU"/>
              </w:rPr>
              <w:t>GFS total change in net worth</w:t>
            </w:r>
          </w:p>
        </w:tc>
        <w:tc>
          <w:tcPr>
            <w:tcW w:w="1060" w:type="dxa"/>
            <w:gridSpan w:val="2"/>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15 238</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14 605</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w:t>
            </w:r>
          </w:p>
        </w:tc>
        <w:tc>
          <w:tcPr>
            <w:tcW w:w="1061"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3 082</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(2 257)</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18 320</w:t>
            </w:r>
          </w:p>
        </w:tc>
        <w:tc>
          <w:tcPr>
            <w:tcW w:w="1061"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12 347</w:t>
            </w:r>
          </w:p>
        </w:tc>
      </w:tr>
    </w:tbl>
    <w:p w:rsidR="00BB6F1F" w:rsidRPr="0062675F" w:rsidRDefault="00BB6F1F" w:rsidP="00AC68FF">
      <w:pPr>
        <w:pStyle w:val="Note"/>
        <w:rPr>
          <w:lang w:val="en-US"/>
        </w:rPr>
      </w:pPr>
      <w:r>
        <w:t>Notes:</w:t>
      </w:r>
    </w:p>
    <w:p w:rsidR="00BB6F1F" w:rsidRDefault="00BB6F1F" w:rsidP="00AC68FF">
      <w:pPr>
        <w:pStyle w:val="Note"/>
      </w:pPr>
      <w:r>
        <w:t>(a)</w:t>
      </w:r>
      <w:r>
        <w:tab/>
        <w:t>Determined in accordance with the ABS GFS manual.</w:t>
      </w:r>
    </w:p>
    <w:p w:rsidR="00BB6F1F" w:rsidRDefault="00BB6F1F" w:rsidP="00AC68FF">
      <w:pPr>
        <w:pStyle w:val="Note"/>
      </w:pPr>
      <w:r>
        <w:t>(b)</w:t>
      </w:r>
      <w:r>
        <w:tab/>
      </w:r>
      <w:r w:rsidRPr="008C00E4">
        <w:t>June 2016 comparative figures have been restated to reflect more current information.</w:t>
      </w:r>
    </w:p>
    <w:p w:rsidR="00BB6F1F" w:rsidRDefault="00BB6F1F" w:rsidP="00AC68FF">
      <w:pPr>
        <w:pStyle w:val="Note"/>
      </w:pPr>
      <w:r>
        <w:t>(c)</w:t>
      </w:r>
      <w:r>
        <w:tab/>
        <w:t>The convergence difference for the Port of Melbourne lease transaction arises because GFS recognises the transaction as a sale of equity from the general government sector, whereas under Australian Accounting Standards the Port of Melbourne lease transaction has been treated as an operating lease with the leased assets remaining within the public non-financial corporations sector.</w:t>
      </w:r>
    </w:p>
    <w:p w:rsidR="00BB6F1F" w:rsidRDefault="00BB6F1F" w:rsidP="00AC68FF">
      <w:pPr>
        <w:pStyle w:val="Note"/>
      </w:pPr>
      <w:r>
        <w:t>(d)</w:t>
      </w:r>
      <w:r>
        <w:tab/>
        <w:t>The convergence difference arises because GFS does not recognise doubtful receivables, whereas the operating statement recognises it and classifies doubtful receivables as other economic flows.</w:t>
      </w:r>
    </w:p>
    <w:p w:rsidR="00BB6F1F" w:rsidRDefault="00BB6F1F" w:rsidP="00AC68FF">
      <w:pPr>
        <w:pStyle w:val="Note"/>
      </w:pPr>
      <w:r>
        <w:t>(e)</w:t>
      </w:r>
      <w:r>
        <w:tab/>
        <w:t>The convergence difference arises because the amount of net assets (and therefore the change in carrying amount of net assets) of other sector entities determined under GFS principles and rules differs from the carrying amount of net assets.</w:t>
      </w:r>
    </w:p>
    <w:p w:rsidR="00BB6F1F" w:rsidRDefault="00BB6F1F" w:rsidP="00AC68FF">
      <w:pPr>
        <w:pStyle w:val="Note"/>
      </w:pPr>
      <w:r>
        <w:t>(f)</w:t>
      </w:r>
      <w:r>
        <w:tab/>
        <w:t>Net gain on equity investments in other sector entities includes doubtful receivables, future tax benefits and deferred tax liability of the PNFC and PFC sectors.</w:t>
      </w:r>
    </w:p>
    <w:p w:rsidR="00BB6F1F" w:rsidRDefault="00BB6F1F" w:rsidP="00CA53C0"/>
    <w:p w:rsidR="00BB6F1F" w:rsidRDefault="00BB6F1F" w:rsidP="00CA53C0"/>
    <w:p w:rsidR="00BB6F1F" w:rsidRDefault="00BB6F1F" w:rsidP="00AC68FF">
      <w:pPr>
        <w:rPr>
          <w:rFonts w:asciiTheme="majorHAnsi" w:eastAsiaTheme="majorEastAsia" w:hAnsiTheme="majorHAnsi" w:cstheme="majorBidi"/>
          <w:b/>
          <w:bCs/>
          <w:spacing w:val="-2"/>
          <w:szCs w:val="26"/>
        </w:rPr>
      </w:pPr>
      <w:r>
        <w:br w:type="page"/>
      </w:r>
    </w:p>
    <w:p w:rsidR="00BB6F1F" w:rsidRPr="0003431C" w:rsidRDefault="00BB6F1F" w:rsidP="00CA53C0">
      <w:pPr>
        <w:pStyle w:val="Heading3"/>
        <w:numPr>
          <w:ilvl w:val="2"/>
          <w:numId w:val="24"/>
        </w:numPr>
        <w:tabs>
          <w:tab w:val="right" w:pos="14572"/>
        </w:tabs>
        <w:spacing w:after="0"/>
        <w:ind w:left="851"/>
        <w:rPr>
          <w:lang w:val="en-US"/>
        </w:rPr>
      </w:pPr>
      <w:r w:rsidRPr="003F3CB9">
        <w:lastRenderedPageBreak/>
        <w:t xml:space="preserve">Reconciliation to GFS net worth </w:t>
      </w:r>
      <w:r w:rsidRPr="00E1683F">
        <w:rPr>
          <w:vertAlign w:val="superscript"/>
        </w:rPr>
        <w:t>(a)</w:t>
      </w:r>
    </w:p>
    <w:p w:rsidR="00BB6F1F" w:rsidRPr="00EC2897" w:rsidRDefault="00BB6F1F" w:rsidP="0003431C">
      <w:pPr>
        <w:pStyle w:val="TableUnits"/>
        <w:rPr>
          <w:lang w:val="en-US"/>
        </w:rPr>
      </w:pPr>
      <w:r w:rsidRPr="0032440A">
        <w:t>($ million)</w:t>
      </w: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3969"/>
        <w:gridCol w:w="1060"/>
        <w:gridCol w:w="1060"/>
        <w:gridCol w:w="1060"/>
        <w:gridCol w:w="1060"/>
        <w:gridCol w:w="1061"/>
        <w:gridCol w:w="1060"/>
        <w:gridCol w:w="1060"/>
        <w:gridCol w:w="1060"/>
        <w:gridCol w:w="1060"/>
        <w:gridCol w:w="1061"/>
      </w:tblGrid>
      <w:tr w:rsidR="00BB6F1F" w:rsidRPr="00EC2897" w:rsidTr="00CA53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b/>
                <w:bCs/>
                <w:color w:val="FFFFFF"/>
                <w:lang w:eastAsia="en-AU"/>
              </w:rPr>
            </w:pPr>
            <w:r w:rsidRPr="00EC2897">
              <w:rPr>
                <w:rFonts w:eastAsiaTheme="minorEastAsia" w:cs="Calibri"/>
                <w:b/>
                <w:bCs/>
                <w:color w:val="FFFFFF"/>
                <w:lang w:eastAsia="en-AU"/>
              </w:rPr>
              <w:t xml:space="preserve"> </w:t>
            </w:r>
          </w:p>
        </w:tc>
        <w:tc>
          <w:tcPr>
            <w:tcW w:w="2120" w:type="dxa"/>
            <w:gridSpan w:val="2"/>
            <w:tcBorders>
              <w:top w:val="single" w:sz="6" w:space="0" w:color="auto"/>
              <w:left w:val="nil"/>
              <w:bottom w:val="nil"/>
              <w:right w:val="nil"/>
            </w:tcBorders>
            <w:shd w:val="solid" w:color="000000" w:fill="auto"/>
          </w:tcPr>
          <w:p w:rsidR="00BB6F1F" w:rsidRPr="00EC2897" w:rsidRDefault="00BB6F1F" w:rsidP="00BB6FF4">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EC2897">
              <w:rPr>
                <w:rFonts w:eastAsiaTheme="minorEastAsia" w:cs="Calibri"/>
                <w:iCs/>
                <w:color w:val="FFFFFF"/>
                <w:lang w:eastAsia="en-AU"/>
              </w:rPr>
              <w:t xml:space="preserve">General </w:t>
            </w:r>
            <w:r w:rsidR="00BB6FF4">
              <w:rPr>
                <w:rFonts w:eastAsiaTheme="minorEastAsia" w:cs="Calibri"/>
                <w:iCs/>
                <w:color w:val="FFFFFF"/>
                <w:lang w:eastAsia="en-AU"/>
              </w:rPr>
              <w:br/>
            </w:r>
            <w:r w:rsidRPr="00EC2897">
              <w:rPr>
                <w:rFonts w:eastAsiaTheme="minorEastAsia" w:cs="Calibri"/>
                <w:iCs/>
                <w:color w:val="FFFFFF"/>
                <w:lang w:eastAsia="en-AU"/>
              </w:rPr>
              <w:t>government sector</w:t>
            </w:r>
          </w:p>
        </w:tc>
        <w:tc>
          <w:tcPr>
            <w:tcW w:w="2120" w:type="dxa"/>
            <w:gridSpan w:val="2"/>
            <w:tcBorders>
              <w:top w:val="single" w:sz="6" w:space="0" w:color="auto"/>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EC2897">
              <w:rPr>
                <w:rFonts w:eastAsiaTheme="minorEastAsia" w:cs="Calibri"/>
                <w:iCs/>
                <w:color w:val="FFFFFF"/>
                <w:lang w:eastAsia="en-AU"/>
              </w:rPr>
              <w:t>Public non-financial corporations</w:t>
            </w:r>
          </w:p>
        </w:tc>
        <w:tc>
          <w:tcPr>
            <w:tcW w:w="2121" w:type="dxa"/>
            <w:gridSpan w:val="2"/>
            <w:tcBorders>
              <w:top w:val="single" w:sz="6" w:space="0" w:color="auto"/>
              <w:left w:val="nil"/>
              <w:bottom w:val="nil"/>
              <w:right w:val="nil"/>
            </w:tcBorders>
            <w:shd w:val="solid" w:color="000000" w:fill="auto"/>
          </w:tcPr>
          <w:p w:rsidR="00BB6F1F" w:rsidRPr="00EC2897" w:rsidRDefault="00BB6F1F" w:rsidP="00BB6FF4">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EC2897">
              <w:rPr>
                <w:rFonts w:eastAsiaTheme="minorEastAsia" w:cs="Calibri"/>
                <w:iCs/>
                <w:color w:val="FFFFFF"/>
                <w:lang w:eastAsia="en-AU"/>
              </w:rPr>
              <w:t xml:space="preserve">Public </w:t>
            </w:r>
            <w:r w:rsidR="00BB6FF4">
              <w:rPr>
                <w:rFonts w:eastAsiaTheme="minorEastAsia" w:cs="Calibri"/>
                <w:iCs/>
                <w:color w:val="FFFFFF"/>
                <w:lang w:eastAsia="en-AU"/>
              </w:rPr>
              <w:br/>
            </w:r>
            <w:r w:rsidRPr="00EC2897">
              <w:rPr>
                <w:rFonts w:eastAsiaTheme="minorEastAsia" w:cs="Calibri"/>
                <w:iCs/>
                <w:color w:val="FFFFFF"/>
                <w:lang w:eastAsia="en-AU"/>
              </w:rPr>
              <w:t>financial corporations</w:t>
            </w:r>
          </w:p>
        </w:tc>
        <w:tc>
          <w:tcPr>
            <w:tcW w:w="2120" w:type="dxa"/>
            <w:gridSpan w:val="2"/>
            <w:tcBorders>
              <w:top w:val="single" w:sz="6" w:space="0" w:color="auto"/>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EC2897">
              <w:rPr>
                <w:rFonts w:eastAsiaTheme="minorEastAsia" w:cs="Calibri"/>
                <w:iCs/>
                <w:color w:val="FFFFFF"/>
                <w:lang w:eastAsia="en-AU"/>
              </w:rPr>
              <w:t>Eliminations</w:t>
            </w:r>
          </w:p>
        </w:tc>
        <w:tc>
          <w:tcPr>
            <w:tcW w:w="2121" w:type="dxa"/>
            <w:gridSpan w:val="2"/>
            <w:tcBorders>
              <w:top w:val="single" w:sz="6" w:space="0" w:color="auto"/>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EC2897">
              <w:rPr>
                <w:rFonts w:eastAsiaTheme="minorEastAsia" w:cs="Calibri"/>
                <w:iCs/>
                <w:color w:val="FFFFFF"/>
                <w:lang w:eastAsia="en-AU"/>
              </w:rPr>
              <w:t>State of Victoria</w:t>
            </w:r>
          </w:p>
        </w:tc>
      </w:tr>
      <w:tr w:rsidR="00BB6F1F" w:rsidRPr="00EC2897" w:rsidTr="00CA53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rPr>
                <w:rFonts w:eastAsiaTheme="minorEastAsia" w:cs="Calibri"/>
                <w:color w:val="FFFFFF"/>
                <w:lang w:eastAsia="en-AU"/>
              </w:rPr>
            </w:pPr>
            <w:r w:rsidRPr="00EC2897">
              <w:rPr>
                <w:rFonts w:eastAsiaTheme="minorEastAsia" w:cs="Calibri"/>
                <w:color w:val="FFFFFF"/>
                <w:lang w:eastAsia="en-AU"/>
              </w:rPr>
              <w:t xml:space="preserve"> </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c>
          <w:tcPr>
            <w:tcW w:w="1061"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1"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left w:val="nil"/>
              <w:bottom w:val="nil"/>
              <w:right w:val="nil"/>
            </w:tcBorders>
          </w:tcPr>
          <w:p w:rsidR="00BB6F1F" w:rsidRPr="00EC2897" w:rsidRDefault="00BB6F1F" w:rsidP="00AC68FF">
            <w:pPr>
              <w:keepLines w:val="0"/>
              <w:autoSpaceDE w:val="0"/>
              <w:autoSpaceDN w:val="0"/>
              <w:adjustRightInd w:val="0"/>
              <w:rPr>
                <w:rFonts w:eastAsiaTheme="minorEastAsia" w:cs="Calibri"/>
                <w:b/>
                <w:bCs/>
                <w:color w:val="000000"/>
                <w:vertAlign w:val="superscript"/>
                <w:lang w:eastAsia="en-AU"/>
              </w:rPr>
            </w:pPr>
            <w:r w:rsidRPr="00EC2897">
              <w:rPr>
                <w:rFonts w:eastAsiaTheme="minorEastAsia" w:cs="Calibri"/>
                <w:b/>
                <w:bCs/>
                <w:color w:val="000000"/>
                <w:lang w:eastAsia="en-AU"/>
              </w:rPr>
              <w:t xml:space="preserve">Net worth </w:t>
            </w:r>
            <w:r w:rsidRPr="00EC2897">
              <w:rPr>
                <w:rFonts w:eastAsiaTheme="minorEastAsia" w:cs="Calibri"/>
                <w:b/>
                <w:bCs/>
                <w:color w:val="000000"/>
                <w:vertAlign w:val="superscript"/>
                <w:lang w:eastAsia="en-AU"/>
              </w:rPr>
              <w:t>(b)</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168 027</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151 798</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89 126</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92 233</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213</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(3 778)</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(85 133)</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(87 858)</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172 234</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152 395</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i/>
                <w:iCs/>
                <w:color w:val="000000"/>
                <w:lang w:eastAsia="en-AU"/>
              </w:rPr>
            </w:pPr>
            <w:r w:rsidRPr="00EC2897">
              <w:rPr>
                <w:rFonts w:eastAsiaTheme="minorEastAsia" w:cs="Calibri"/>
                <w:i/>
                <w:iCs/>
                <w:color w:val="000000"/>
                <w:lang w:eastAsia="en-AU"/>
              </w:rPr>
              <w:t>Convergence differences:</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 xml:space="preserve"> </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lang w:eastAsia="en-AU"/>
              </w:rPr>
            </w:pPr>
            <w:r w:rsidRPr="00EC2897">
              <w:rPr>
                <w:rFonts w:eastAsiaTheme="minorEastAsia" w:cs="Calibri"/>
                <w:color w:val="000000"/>
                <w:lang w:eastAsia="en-AU"/>
              </w:rPr>
              <w:t>Relating to net operating balance:</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   PNFC/PFC dividends </w:t>
            </w:r>
            <w:r w:rsidRPr="00EC2897">
              <w:rPr>
                <w:rFonts w:eastAsiaTheme="minorEastAsia" w:cs="Calibri"/>
                <w:color w:val="000000"/>
                <w:vertAlign w:val="superscript"/>
                <w:lang w:eastAsia="en-AU"/>
              </w:rPr>
              <w:t>(c)</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(123)</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(149)</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(246)</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(239)</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369</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387</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   Port Licence Fee treatment </w:t>
            </w:r>
            <w:r w:rsidRPr="00EC2897">
              <w:rPr>
                <w:rFonts w:eastAsiaTheme="minorEastAsia" w:cs="Calibri"/>
                <w:color w:val="000000"/>
                <w:vertAlign w:val="superscript"/>
                <w:lang w:eastAsia="en-AU"/>
              </w:rPr>
              <w:t>(d)</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(783)</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(783)</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   Port of Melbourne lease transaction </w:t>
            </w:r>
            <w:r w:rsidRPr="00EC2897">
              <w:rPr>
                <w:rFonts w:eastAsiaTheme="minorEastAsia" w:cs="Calibri"/>
                <w:color w:val="000000"/>
                <w:vertAlign w:val="superscript"/>
                <w:lang w:eastAsia="en-AU"/>
              </w:rPr>
              <w:t>(e)</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(105)</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(90)</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lang w:eastAsia="en-AU"/>
              </w:rPr>
            </w:pPr>
            <w:r w:rsidRPr="00EC2897">
              <w:rPr>
                <w:rFonts w:eastAsiaTheme="minorEastAsia" w:cs="Calibri"/>
                <w:color w:val="000000"/>
                <w:lang w:eastAsia="en-AU"/>
              </w:rPr>
              <w:t>Relating to other economic flows:</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   Port of Melbourne lease transaction </w:t>
            </w:r>
            <w:r w:rsidRPr="00EC2897">
              <w:rPr>
                <w:rFonts w:eastAsiaTheme="minorEastAsia" w:cs="Calibri"/>
                <w:color w:val="000000"/>
                <w:vertAlign w:val="superscript"/>
                <w:lang w:eastAsia="en-AU"/>
              </w:rPr>
              <w:t>(e)</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(853)</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(748)</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853</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(748)</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lang w:eastAsia="en-AU"/>
              </w:rPr>
            </w:pPr>
            <w:r w:rsidRPr="00EC2897">
              <w:rPr>
                <w:rFonts w:eastAsiaTheme="minorEastAsia" w:cs="Calibri"/>
                <w:color w:val="000000"/>
                <w:lang w:eastAsia="en-AU"/>
              </w:rPr>
              <w:t xml:space="preserve">   Non-controlling interest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(50)</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(50)</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   Doubtful receivables of the general government sector </w:t>
            </w:r>
            <w:r w:rsidRPr="00EC2897">
              <w:rPr>
                <w:rFonts w:eastAsiaTheme="minorEastAsia" w:cs="Calibri"/>
                <w:color w:val="000000"/>
                <w:vertAlign w:val="superscript"/>
                <w:lang w:eastAsia="en-AU"/>
              </w:rPr>
              <w:t>(f)</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935</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930</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935</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930</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   Doubtful receivables of the PNFC/PFC sector </w:t>
            </w:r>
            <w:r w:rsidRPr="00EC2897">
              <w:rPr>
                <w:rFonts w:eastAsiaTheme="minorEastAsia" w:cs="Calibri"/>
                <w:color w:val="000000"/>
                <w:vertAlign w:val="superscript"/>
                <w:lang w:eastAsia="en-AU"/>
              </w:rPr>
              <w:t>(f)</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18</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21</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46</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46</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64</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67</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lang w:eastAsia="en-AU"/>
              </w:rPr>
            </w:pPr>
            <w:r w:rsidRPr="00EC2897">
              <w:rPr>
                <w:rFonts w:eastAsiaTheme="minorEastAsia" w:cs="Calibri"/>
                <w:color w:val="000000"/>
                <w:lang w:eastAsia="en-AU"/>
              </w:rPr>
              <w:t xml:space="preserve">   Future tax benefits of the PNFC/PFC sector </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(225)</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(237)</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(636)</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(1 473)</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861</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1 710</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lang w:eastAsia="en-AU"/>
              </w:rPr>
            </w:pPr>
            <w:r w:rsidRPr="00EC2897">
              <w:rPr>
                <w:rFonts w:eastAsiaTheme="minorEastAsia" w:cs="Calibri"/>
                <w:color w:val="000000"/>
                <w:lang w:eastAsia="en-AU"/>
              </w:rPr>
              <w:t xml:space="preserve">   Deferred tax liability of the PNFC/PFC sector</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8 270</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8 591</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(8 271)</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(8 593)</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   Investments in other sector entities </w:t>
            </w:r>
            <w:r w:rsidRPr="00EC2897">
              <w:rPr>
                <w:rFonts w:eastAsiaTheme="minorEastAsia" w:cs="Calibri"/>
                <w:color w:val="000000"/>
                <w:vertAlign w:val="superscript"/>
                <w:lang w:eastAsia="en-AU"/>
              </w:rPr>
              <w:t>(g)(h)</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7 474</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6 949</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(7 474)</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(6 949)</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   Shares and other contributed capital </w:t>
            </w:r>
            <w:r w:rsidRPr="00EC2897">
              <w:rPr>
                <w:rFonts w:eastAsiaTheme="minorEastAsia" w:cs="Calibri"/>
                <w:color w:val="000000"/>
                <w:vertAlign w:val="superscript"/>
                <w:lang w:eastAsia="en-AU"/>
              </w:rPr>
              <w:t>(c)</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(96 213)</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(100 460)</w:t>
            </w:r>
          </w:p>
        </w:tc>
        <w:tc>
          <w:tcPr>
            <w:tcW w:w="1061"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623</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5 442</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95 591</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95 017</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i/>
                <w:iCs/>
                <w:color w:val="000000"/>
                <w:lang w:eastAsia="en-AU"/>
              </w:rPr>
            </w:pPr>
            <w:r w:rsidRPr="00EC2897">
              <w:rPr>
                <w:rFonts w:eastAsiaTheme="minorEastAsia" w:cs="Calibri"/>
                <w:i/>
                <w:iCs/>
                <w:color w:val="000000"/>
                <w:lang w:eastAsia="en-AU"/>
              </w:rPr>
              <w:t>Total convergence difference:</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6 788</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7 829</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(89 126)</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(92 233)</w:t>
            </w:r>
          </w:p>
        </w:tc>
        <w:tc>
          <w:tcPr>
            <w:tcW w:w="1061"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(213)</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3 778</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81 929</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81 572</w:t>
            </w:r>
          </w:p>
        </w:tc>
        <w:tc>
          <w:tcPr>
            <w:tcW w:w="1060"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(622)</w:t>
            </w:r>
          </w:p>
        </w:tc>
        <w:tc>
          <w:tcPr>
            <w:tcW w:w="1061" w:type="dxa"/>
            <w:tcBorders>
              <w:top w:val="nil"/>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946</w:t>
            </w:r>
          </w:p>
        </w:tc>
      </w:tr>
      <w:tr w:rsidR="00BB6F1F" w:rsidRPr="00EC2897" w:rsidTr="00CA53C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12" w:space="0" w:color="auto"/>
            </w:tcBorders>
          </w:tcPr>
          <w:p w:rsidR="00BB6F1F" w:rsidRPr="00EC2897" w:rsidRDefault="00BB6F1F" w:rsidP="00AC68FF">
            <w:pPr>
              <w:keepLines w:val="0"/>
              <w:autoSpaceDE w:val="0"/>
              <w:autoSpaceDN w:val="0"/>
              <w:adjustRightInd w:val="0"/>
              <w:rPr>
                <w:rFonts w:eastAsiaTheme="minorEastAsia" w:cs="Calibri"/>
                <w:bCs/>
                <w:color w:val="000000"/>
                <w:vertAlign w:val="superscript"/>
                <w:lang w:eastAsia="en-AU"/>
              </w:rPr>
            </w:pPr>
            <w:r w:rsidRPr="00EC2897">
              <w:rPr>
                <w:rFonts w:eastAsiaTheme="minorEastAsia" w:cs="Calibri"/>
                <w:bCs/>
                <w:color w:val="000000"/>
                <w:lang w:eastAsia="en-AU"/>
              </w:rPr>
              <w:t xml:space="preserve">GFS net worth </w:t>
            </w:r>
            <w:r w:rsidRPr="00EC2897">
              <w:rPr>
                <w:rFonts w:eastAsiaTheme="minorEastAsia" w:cs="Calibri"/>
                <w:bCs/>
                <w:color w:val="000000"/>
                <w:vertAlign w:val="superscript"/>
                <w:lang w:eastAsia="en-AU"/>
              </w:rPr>
              <w:t>(b)</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174 815</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159 627</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w:t>
            </w:r>
          </w:p>
        </w:tc>
        <w:tc>
          <w:tcPr>
            <w:tcW w:w="1061"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(3 204)</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(6 286)</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171 611</w:t>
            </w:r>
          </w:p>
        </w:tc>
        <w:tc>
          <w:tcPr>
            <w:tcW w:w="1061"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153 341</w:t>
            </w:r>
          </w:p>
        </w:tc>
      </w:tr>
    </w:tbl>
    <w:p w:rsidR="00BB6F1F" w:rsidRDefault="00BB6F1F" w:rsidP="00AC68FF">
      <w:pPr>
        <w:pStyle w:val="Note"/>
      </w:pPr>
      <w:r>
        <w:t>Notes:</w:t>
      </w:r>
    </w:p>
    <w:p w:rsidR="00BB6F1F" w:rsidRDefault="00BB6F1F" w:rsidP="00AC68FF">
      <w:pPr>
        <w:pStyle w:val="Note"/>
      </w:pPr>
      <w:r>
        <w:t>(a)</w:t>
      </w:r>
      <w:r>
        <w:tab/>
        <w:t>Determined in accordance with the ABS GFS manual.</w:t>
      </w:r>
    </w:p>
    <w:p w:rsidR="00BB6F1F" w:rsidRDefault="00BB6F1F" w:rsidP="00AC68FF">
      <w:pPr>
        <w:pStyle w:val="Note"/>
      </w:pPr>
      <w:r>
        <w:t>(b)</w:t>
      </w:r>
      <w:r>
        <w:tab/>
      </w:r>
      <w:r w:rsidRPr="00181405">
        <w:t xml:space="preserve">June 2016 comparative figures have been restated to reflect an adjustment to the Department of Environment, Land, Water and Planning's intangible produced assets and </w:t>
      </w:r>
      <w:r>
        <w:t xml:space="preserve">opening </w:t>
      </w:r>
      <w:r w:rsidRPr="00181405">
        <w:t xml:space="preserve">accumulated </w:t>
      </w:r>
      <w:r>
        <w:t>surplus/(deficit)</w:t>
      </w:r>
      <w:r w:rsidRPr="00181405">
        <w:t xml:space="preserve"> balances due to the </w:t>
      </w:r>
      <w:r>
        <w:t xml:space="preserve">first-time </w:t>
      </w:r>
      <w:r w:rsidRPr="00181405">
        <w:t>recognition of Renewable Energy Certificates.  </w:t>
      </w:r>
    </w:p>
    <w:p w:rsidR="00BB6F1F" w:rsidRDefault="00BB6F1F" w:rsidP="00AC68FF">
      <w:pPr>
        <w:pStyle w:val="Note"/>
      </w:pPr>
      <w:r>
        <w:t>(c)</w:t>
      </w:r>
      <w:r>
        <w:tab/>
      </w:r>
      <w:r w:rsidRPr="008C00E4">
        <w:t>June 2016 comparative figures have been restated to reflect more current information.</w:t>
      </w:r>
    </w:p>
    <w:p w:rsidR="00BB6F1F" w:rsidRDefault="00BB6F1F" w:rsidP="00AC68FF">
      <w:pPr>
        <w:pStyle w:val="Note"/>
      </w:pPr>
      <w:r>
        <w:t>(d)</w:t>
      </w:r>
      <w:r>
        <w:tab/>
        <w:t>The convergence difference arises because the GFS recognises the 15-year prepaid Port Licence Fee from the medium-term lease over the operations of the Port of Melbourne as revenue over the 15-year period.</w:t>
      </w:r>
    </w:p>
    <w:p w:rsidR="00BB6F1F" w:rsidRDefault="00BB6F1F" w:rsidP="00AC68FF">
      <w:pPr>
        <w:pStyle w:val="Note"/>
      </w:pPr>
      <w:r>
        <w:t>(e)</w:t>
      </w:r>
      <w:r>
        <w:tab/>
        <w:t>The convergence difference for the Port of Melbourne lease transaction arises because GFS recognises the transaction as a sale of equity from the general government sector, whereas under Australian Accounting Standards the Port of Melbourne lease transaction has been treated as an operating lease with the leased assets remaining within the public non-financial corporations sector.</w:t>
      </w:r>
    </w:p>
    <w:p w:rsidR="00BB6F1F" w:rsidRDefault="00BB6F1F" w:rsidP="00AC68FF">
      <w:pPr>
        <w:pStyle w:val="Note"/>
      </w:pPr>
      <w:r>
        <w:t>(f)</w:t>
      </w:r>
      <w:r>
        <w:tab/>
        <w:t>The convergence difference in accounts receivable arises because GFS does not recognise doubtful receivables, whereas a provision for doubtful receivables is recognised in the balance sheet.</w:t>
      </w:r>
    </w:p>
    <w:p w:rsidR="00BB6F1F" w:rsidRDefault="00BB6F1F" w:rsidP="00AC68FF">
      <w:pPr>
        <w:pStyle w:val="Note"/>
      </w:pPr>
      <w:r>
        <w:t>(g)</w:t>
      </w:r>
      <w:r>
        <w:tab/>
        <w:t>The convergence difference arises because the amount of net assets (and therefore the change in carrying amount of net assets) of other sector entities determined under GFS principles and rules differs from the carrying amount of net assets.</w:t>
      </w:r>
    </w:p>
    <w:p w:rsidR="00BB6F1F" w:rsidRDefault="00BB6F1F" w:rsidP="00AC68FF">
      <w:pPr>
        <w:pStyle w:val="Note"/>
      </w:pPr>
      <w:r>
        <w:t>(h)</w:t>
      </w:r>
      <w:r>
        <w:tab/>
        <w:t>Investments in other sector entities for general government sector includes doubtful receivables, future tax benefits and deferred tax liability of the PNFC and PFC sectors.</w:t>
      </w:r>
    </w:p>
    <w:p w:rsidR="00BB6F1F" w:rsidRDefault="00BB6F1F" w:rsidP="00AC68FF">
      <w:pPr>
        <w:pStyle w:val="Note"/>
      </w:pPr>
    </w:p>
    <w:p w:rsidR="00BB6F1F" w:rsidRDefault="00BB6F1F" w:rsidP="00AC68FF">
      <w:pPr>
        <w:pStyle w:val="Note"/>
      </w:pPr>
    </w:p>
    <w:p w:rsidR="00BB6F1F" w:rsidRDefault="00BB6F1F">
      <w:pPr>
        <w:keepLines w:val="0"/>
        <w:rPr>
          <w:rFonts w:asciiTheme="majorHAnsi" w:eastAsiaTheme="majorEastAsia" w:hAnsiTheme="majorHAnsi" w:cstheme="majorBidi"/>
          <w:b/>
          <w:bCs/>
          <w:spacing w:val="-2"/>
          <w:sz w:val="23"/>
          <w:szCs w:val="26"/>
        </w:rPr>
      </w:pPr>
      <w:r>
        <w:br w:type="page"/>
      </w:r>
    </w:p>
    <w:p w:rsidR="00BB6F1F" w:rsidRPr="0003431C" w:rsidRDefault="00BB6F1F" w:rsidP="00CA53C0">
      <w:pPr>
        <w:pStyle w:val="Heading3"/>
        <w:numPr>
          <w:ilvl w:val="2"/>
          <w:numId w:val="24"/>
        </w:numPr>
        <w:tabs>
          <w:tab w:val="right" w:pos="14572"/>
        </w:tabs>
        <w:spacing w:after="0"/>
        <w:ind w:left="851"/>
        <w:rPr>
          <w:lang w:val="en-US"/>
        </w:rPr>
      </w:pPr>
      <w:r w:rsidRPr="00E55154">
        <w:lastRenderedPageBreak/>
        <w:t>Reconciliation to GFS cash surplus/(deficit)</w:t>
      </w:r>
      <w:r>
        <w:t xml:space="preserve"> </w:t>
      </w:r>
      <w:r w:rsidRPr="00E1683F">
        <w:rPr>
          <w:vertAlign w:val="superscript"/>
        </w:rPr>
        <w:t>(a)</w:t>
      </w:r>
    </w:p>
    <w:p w:rsidR="00BB6F1F" w:rsidRPr="00EC2897" w:rsidRDefault="00BB6F1F" w:rsidP="0003431C">
      <w:pPr>
        <w:pStyle w:val="TableUnits"/>
        <w:rPr>
          <w:lang w:val="en-US"/>
        </w:rPr>
      </w:pPr>
      <w:r w:rsidRPr="0032440A">
        <w:t>($ million)</w:t>
      </w: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3969"/>
        <w:gridCol w:w="1060"/>
        <w:gridCol w:w="1060"/>
        <w:gridCol w:w="1060"/>
        <w:gridCol w:w="1060"/>
        <w:gridCol w:w="1061"/>
        <w:gridCol w:w="1060"/>
        <w:gridCol w:w="1060"/>
        <w:gridCol w:w="1060"/>
        <w:gridCol w:w="1060"/>
        <w:gridCol w:w="1061"/>
      </w:tblGrid>
      <w:tr w:rsidR="00BB6F1F" w:rsidRPr="00EC2897" w:rsidTr="00CA53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left w:val="nil"/>
              <w:bottom w:val="nil"/>
              <w:right w:val="nil"/>
            </w:tcBorders>
            <w:shd w:val="solid" w:color="000000" w:fill="auto"/>
          </w:tcPr>
          <w:p w:rsidR="00BB6F1F" w:rsidRPr="00EC2897" w:rsidRDefault="00BB6F1F" w:rsidP="00AC68FF">
            <w:pPr>
              <w:autoSpaceDE w:val="0"/>
              <w:autoSpaceDN w:val="0"/>
              <w:adjustRightInd w:val="0"/>
              <w:rPr>
                <w:rFonts w:eastAsiaTheme="minorEastAsia" w:cs="Calibri"/>
                <w:b/>
                <w:bCs/>
                <w:color w:val="FFFFFF"/>
                <w:lang w:eastAsia="en-AU"/>
              </w:rPr>
            </w:pPr>
            <w:r w:rsidRPr="00EC2897">
              <w:rPr>
                <w:rFonts w:eastAsiaTheme="minorEastAsia" w:cs="Calibri"/>
                <w:b/>
                <w:bCs/>
                <w:color w:val="FFFFFF"/>
                <w:lang w:eastAsia="en-AU"/>
              </w:rPr>
              <w:t xml:space="preserve"> </w:t>
            </w:r>
          </w:p>
        </w:tc>
        <w:tc>
          <w:tcPr>
            <w:tcW w:w="2120" w:type="dxa"/>
            <w:gridSpan w:val="2"/>
            <w:tcBorders>
              <w:top w:val="single" w:sz="6" w:space="0" w:color="auto"/>
              <w:left w:val="nil"/>
              <w:bottom w:val="nil"/>
              <w:right w:val="nil"/>
            </w:tcBorders>
            <w:shd w:val="solid" w:color="000000" w:fill="auto"/>
          </w:tcPr>
          <w:p w:rsidR="00BB6F1F" w:rsidRPr="00EC2897" w:rsidRDefault="00BB6F1F" w:rsidP="00BB6FF4">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EC2897">
              <w:rPr>
                <w:rFonts w:eastAsiaTheme="minorEastAsia" w:cs="Calibri"/>
                <w:iCs/>
                <w:color w:val="FFFFFF"/>
                <w:lang w:eastAsia="en-AU"/>
              </w:rPr>
              <w:t xml:space="preserve">General </w:t>
            </w:r>
            <w:r w:rsidR="00BB6FF4">
              <w:rPr>
                <w:rFonts w:eastAsiaTheme="minorEastAsia" w:cs="Calibri"/>
                <w:iCs/>
                <w:color w:val="FFFFFF"/>
                <w:lang w:eastAsia="en-AU"/>
              </w:rPr>
              <w:br/>
            </w:r>
            <w:r w:rsidRPr="00EC2897">
              <w:rPr>
                <w:rFonts w:eastAsiaTheme="minorEastAsia" w:cs="Calibri"/>
                <w:iCs/>
                <w:color w:val="FFFFFF"/>
                <w:lang w:eastAsia="en-AU"/>
              </w:rPr>
              <w:t>government sector</w:t>
            </w:r>
          </w:p>
        </w:tc>
        <w:tc>
          <w:tcPr>
            <w:tcW w:w="2120" w:type="dxa"/>
            <w:gridSpan w:val="2"/>
            <w:tcBorders>
              <w:top w:val="single" w:sz="6" w:space="0" w:color="auto"/>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EC2897">
              <w:rPr>
                <w:rFonts w:eastAsiaTheme="minorEastAsia" w:cs="Calibri"/>
                <w:iCs/>
                <w:color w:val="FFFFFF"/>
                <w:lang w:eastAsia="en-AU"/>
              </w:rPr>
              <w:t>Public non-financial corporations</w:t>
            </w:r>
          </w:p>
        </w:tc>
        <w:tc>
          <w:tcPr>
            <w:tcW w:w="2121" w:type="dxa"/>
            <w:gridSpan w:val="2"/>
            <w:tcBorders>
              <w:top w:val="single" w:sz="6" w:space="0" w:color="auto"/>
              <w:left w:val="nil"/>
              <w:bottom w:val="nil"/>
              <w:right w:val="nil"/>
            </w:tcBorders>
            <w:shd w:val="solid" w:color="000000" w:fill="auto"/>
          </w:tcPr>
          <w:p w:rsidR="00BB6F1F" w:rsidRPr="00EC2897" w:rsidRDefault="00BB6F1F" w:rsidP="00BB6FF4">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EC2897">
              <w:rPr>
                <w:rFonts w:eastAsiaTheme="minorEastAsia" w:cs="Calibri"/>
                <w:iCs/>
                <w:color w:val="FFFFFF"/>
                <w:lang w:eastAsia="en-AU"/>
              </w:rPr>
              <w:t xml:space="preserve">Public </w:t>
            </w:r>
            <w:r w:rsidR="00BB6FF4">
              <w:rPr>
                <w:rFonts w:eastAsiaTheme="minorEastAsia" w:cs="Calibri"/>
                <w:iCs/>
                <w:color w:val="FFFFFF"/>
                <w:lang w:eastAsia="en-AU"/>
              </w:rPr>
              <w:br/>
            </w:r>
            <w:r w:rsidRPr="00EC2897">
              <w:rPr>
                <w:rFonts w:eastAsiaTheme="minorEastAsia" w:cs="Calibri"/>
                <w:iCs/>
                <w:color w:val="FFFFFF"/>
                <w:lang w:eastAsia="en-AU"/>
              </w:rPr>
              <w:t>financial corporations</w:t>
            </w:r>
          </w:p>
        </w:tc>
        <w:tc>
          <w:tcPr>
            <w:tcW w:w="2120" w:type="dxa"/>
            <w:gridSpan w:val="2"/>
            <w:tcBorders>
              <w:top w:val="single" w:sz="6" w:space="0" w:color="auto"/>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EC2897">
              <w:rPr>
                <w:rFonts w:eastAsiaTheme="minorEastAsia" w:cs="Calibri"/>
                <w:iCs/>
                <w:color w:val="FFFFFF"/>
                <w:lang w:eastAsia="en-AU"/>
              </w:rPr>
              <w:t>Eliminations</w:t>
            </w:r>
          </w:p>
        </w:tc>
        <w:tc>
          <w:tcPr>
            <w:tcW w:w="2121" w:type="dxa"/>
            <w:gridSpan w:val="2"/>
            <w:tcBorders>
              <w:top w:val="single" w:sz="6" w:space="0" w:color="auto"/>
              <w:left w:val="nil"/>
              <w:bottom w:val="nil"/>
              <w:right w:val="nil"/>
            </w:tcBorders>
            <w:shd w:val="solid" w:color="000000" w:fill="auto"/>
          </w:tcPr>
          <w:p w:rsidR="00BB6F1F" w:rsidRPr="00EC2897"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EC2897">
              <w:rPr>
                <w:rFonts w:eastAsiaTheme="minorEastAsia" w:cs="Calibri"/>
                <w:iCs/>
                <w:color w:val="FFFFFF"/>
                <w:lang w:eastAsia="en-AU"/>
              </w:rPr>
              <w:t>State of Victoria</w:t>
            </w:r>
          </w:p>
        </w:tc>
      </w:tr>
      <w:tr w:rsidR="00BB6F1F" w:rsidRPr="00EC2897" w:rsidTr="00CA53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rPr>
                <w:rFonts w:eastAsiaTheme="minorEastAsia" w:cs="Calibri"/>
                <w:b/>
                <w:bCs/>
                <w:color w:val="FFFFFF"/>
                <w:lang w:eastAsia="en-AU"/>
              </w:rPr>
            </w:pPr>
            <w:r w:rsidRPr="00EC2897">
              <w:rPr>
                <w:rFonts w:eastAsiaTheme="minorEastAsia" w:cs="Calibri"/>
                <w:b/>
                <w:bCs/>
                <w:color w:val="FFFFFF"/>
                <w:lang w:eastAsia="en-AU"/>
              </w:rPr>
              <w:t xml:space="preserve"> </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c>
          <w:tcPr>
            <w:tcW w:w="1061"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c>
          <w:tcPr>
            <w:tcW w:w="1060"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2017</w:t>
            </w:r>
          </w:p>
        </w:tc>
        <w:tc>
          <w:tcPr>
            <w:tcW w:w="1061" w:type="dxa"/>
            <w:tcBorders>
              <w:top w:val="nil"/>
              <w:left w:val="nil"/>
              <w:bottom w:val="single" w:sz="6" w:space="0" w:color="auto"/>
              <w:right w:val="nil"/>
            </w:tcBorders>
            <w:shd w:val="solid" w:color="000000" w:fill="auto"/>
          </w:tcPr>
          <w:p w:rsidR="00BB6F1F" w:rsidRPr="00EC2897"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EC2897">
              <w:rPr>
                <w:rFonts w:eastAsiaTheme="minorEastAsia" w:cs="Calibri"/>
                <w:iCs/>
                <w:color w:val="FFFFFF"/>
                <w:szCs w:val="20"/>
                <w:lang w:eastAsia="en-AU"/>
              </w:rPr>
              <w:t>2016</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b/>
                <w:bCs/>
                <w:color w:val="000000"/>
                <w:lang w:eastAsia="en-AU"/>
              </w:rPr>
            </w:pPr>
            <w:r w:rsidRPr="00EC2897">
              <w:rPr>
                <w:rFonts w:eastAsiaTheme="minorEastAsia" w:cs="Calibri"/>
                <w:b/>
                <w:bCs/>
                <w:color w:val="000000"/>
                <w:lang w:eastAsia="en-AU"/>
              </w:rPr>
              <w:t>Cash surplus/(deficit)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(1 467)</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1 129</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8 637</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(429)</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1 289</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849</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(29)</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4</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8 430</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EC2897">
              <w:rPr>
                <w:rFonts w:eastAsiaTheme="minorEastAsia" w:cs="Calibri"/>
                <w:b/>
                <w:bCs/>
                <w:color w:val="000000"/>
                <w:lang w:eastAsia="en-AU"/>
              </w:rPr>
              <w:t>1 554</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i/>
                <w:iCs/>
                <w:color w:val="000000"/>
                <w:lang w:eastAsia="en-AU"/>
              </w:rPr>
            </w:pPr>
            <w:r w:rsidRPr="00EC2897">
              <w:rPr>
                <w:rFonts w:eastAsiaTheme="minorEastAsia" w:cs="Calibri"/>
                <w:i/>
                <w:iCs/>
                <w:color w:val="000000"/>
                <w:lang w:eastAsia="en-AU"/>
              </w:rPr>
              <w:t>Convergence differences:</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shd w:val="solid" w:color="FFFFFF" w:fill="auto"/>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Acquisitions under finance leases and similar arrangements </w:t>
            </w:r>
            <w:r w:rsidRPr="00EC2897">
              <w:rPr>
                <w:rFonts w:eastAsiaTheme="minorEastAsia" w:cs="Calibri"/>
                <w:color w:val="000000"/>
                <w:vertAlign w:val="superscript"/>
                <w:lang w:eastAsia="en-AU"/>
              </w:rPr>
              <w:t>(b)</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(544)</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(1 050)</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(544)</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(1 050)</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rsidR="00BB6F1F" w:rsidRPr="00EC2897" w:rsidRDefault="00BB6F1F" w:rsidP="00AC68FF">
            <w:pPr>
              <w:keepLines w:val="0"/>
              <w:autoSpaceDE w:val="0"/>
              <w:autoSpaceDN w:val="0"/>
              <w:adjustRightInd w:val="0"/>
              <w:rPr>
                <w:rFonts w:eastAsiaTheme="minorEastAsia" w:cs="Calibri"/>
                <w:color w:val="000000"/>
                <w:vertAlign w:val="superscript"/>
                <w:lang w:eastAsia="en-AU"/>
              </w:rPr>
            </w:pPr>
            <w:r w:rsidRPr="00EC2897">
              <w:rPr>
                <w:rFonts w:eastAsiaTheme="minorEastAsia" w:cs="Calibri"/>
                <w:color w:val="000000"/>
                <w:lang w:eastAsia="en-AU"/>
              </w:rPr>
              <w:t xml:space="preserve">Port of Melbourne lease transaction </w:t>
            </w:r>
            <w:r w:rsidRPr="00EC2897">
              <w:rPr>
                <w:rFonts w:eastAsiaTheme="minorEastAsia" w:cs="Calibri"/>
                <w:color w:val="000000"/>
                <w:vertAlign w:val="superscript"/>
                <w:lang w:eastAsia="en-AU"/>
              </w:rPr>
              <w:t>(c)</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(8 961)</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c>
          <w:tcPr>
            <w:tcW w:w="1060"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(8 946)</w:t>
            </w:r>
          </w:p>
        </w:tc>
        <w:tc>
          <w:tcPr>
            <w:tcW w:w="1061" w:type="dxa"/>
            <w:tcBorders>
              <w:top w:val="nil"/>
              <w:left w:val="nil"/>
              <w:bottom w:val="nil"/>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EC2897">
              <w:rPr>
                <w:rFonts w:eastAsiaTheme="minorEastAsia" w:cs="Calibri"/>
                <w:color w:val="000000"/>
                <w:lang w:eastAsia="en-AU"/>
              </w:rPr>
              <w:t>..</w:t>
            </w:r>
          </w:p>
        </w:tc>
      </w:tr>
      <w:tr w:rsidR="00BB6F1F" w:rsidRPr="00EC2897" w:rsidTr="00CA53C0">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rPr>
                <w:rFonts w:eastAsiaTheme="minorEastAsia" w:cs="Calibri"/>
                <w:i/>
                <w:iCs/>
                <w:color w:val="000000"/>
                <w:lang w:eastAsia="en-AU"/>
              </w:rPr>
            </w:pPr>
            <w:r w:rsidRPr="00EC2897">
              <w:rPr>
                <w:rFonts w:eastAsiaTheme="minorEastAsia" w:cs="Calibri"/>
                <w:i/>
                <w:iCs/>
                <w:color w:val="000000"/>
                <w:lang w:eastAsia="en-AU"/>
              </w:rPr>
              <w:t>Total convergence difference:</w:t>
            </w:r>
          </w:p>
        </w:tc>
        <w:tc>
          <w:tcPr>
            <w:tcW w:w="1060"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(530)</w:t>
            </w:r>
          </w:p>
        </w:tc>
        <w:tc>
          <w:tcPr>
            <w:tcW w:w="1060"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(1 050)</w:t>
            </w:r>
          </w:p>
        </w:tc>
        <w:tc>
          <w:tcPr>
            <w:tcW w:w="1060"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(8 961)</w:t>
            </w:r>
          </w:p>
        </w:tc>
        <w:tc>
          <w:tcPr>
            <w:tcW w:w="1060"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w:t>
            </w:r>
          </w:p>
        </w:tc>
        <w:tc>
          <w:tcPr>
            <w:tcW w:w="1061"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w:t>
            </w:r>
          </w:p>
        </w:tc>
        <w:tc>
          <w:tcPr>
            <w:tcW w:w="1060"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w:t>
            </w:r>
          </w:p>
        </w:tc>
        <w:tc>
          <w:tcPr>
            <w:tcW w:w="1060"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1</w:t>
            </w:r>
          </w:p>
        </w:tc>
        <w:tc>
          <w:tcPr>
            <w:tcW w:w="1060"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w:t>
            </w:r>
          </w:p>
        </w:tc>
        <w:tc>
          <w:tcPr>
            <w:tcW w:w="1060"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(9 490)</w:t>
            </w:r>
          </w:p>
        </w:tc>
        <w:tc>
          <w:tcPr>
            <w:tcW w:w="1061" w:type="dxa"/>
            <w:tcBorders>
              <w:top w:val="single" w:sz="6" w:space="0" w:color="auto"/>
              <w:left w:val="nil"/>
              <w:bottom w:val="single" w:sz="6" w:space="0" w:color="auto"/>
              <w:right w:val="nil"/>
            </w:tcBorders>
          </w:tcPr>
          <w:p w:rsidR="00BB6F1F" w:rsidRPr="00EC2897"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EC2897">
              <w:rPr>
                <w:rFonts w:eastAsiaTheme="minorEastAsia" w:cs="Calibri"/>
                <w:i/>
                <w:iCs/>
                <w:color w:val="000000"/>
                <w:lang w:eastAsia="en-AU"/>
              </w:rPr>
              <w:t>(1 050)</w:t>
            </w:r>
          </w:p>
        </w:tc>
      </w:tr>
      <w:tr w:rsidR="00BB6F1F" w:rsidRPr="00EC2897" w:rsidTr="00CA53C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il"/>
              <w:bottom w:val="single" w:sz="12" w:space="0" w:color="auto"/>
            </w:tcBorders>
            <w:shd w:val="solid" w:color="FFFFFF" w:fill="auto"/>
          </w:tcPr>
          <w:p w:rsidR="00BB6F1F" w:rsidRPr="00EC2897" w:rsidRDefault="00BB6F1F" w:rsidP="00AC68FF">
            <w:pPr>
              <w:keepLines w:val="0"/>
              <w:autoSpaceDE w:val="0"/>
              <w:autoSpaceDN w:val="0"/>
              <w:adjustRightInd w:val="0"/>
              <w:rPr>
                <w:rFonts w:eastAsiaTheme="minorEastAsia" w:cs="Calibri"/>
                <w:bCs/>
                <w:color w:val="000000"/>
                <w:lang w:eastAsia="en-AU"/>
              </w:rPr>
            </w:pPr>
            <w:r w:rsidRPr="00EC2897">
              <w:rPr>
                <w:rFonts w:eastAsiaTheme="minorEastAsia" w:cs="Calibri"/>
                <w:bCs/>
                <w:color w:val="000000"/>
                <w:lang w:eastAsia="en-AU"/>
              </w:rPr>
              <w:t>GFS cash surplus/(deficit)</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(1 997)</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79</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(324)</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(429)</w:t>
            </w:r>
          </w:p>
        </w:tc>
        <w:tc>
          <w:tcPr>
            <w:tcW w:w="1061"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1 289</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849</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(29)</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4</w:t>
            </w:r>
          </w:p>
        </w:tc>
        <w:tc>
          <w:tcPr>
            <w:tcW w:w="1060"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EC2897">
              <w:rPr>
                <w:rFonts w:eastAsiaTheme="minorEastAsia" w:cs="Calibri"/>
                <w:bCs/>
                <w:color w:val="000000"/>
                <w:lang w:eastAsia="en-AU"/>
              </w:rPr>
              <w:t>(1 060)</w:t>
            </w:r>
          </w:p>
        </w:tc>
        <w:tc>
          <w:tcPr>
            <w:tcW w:w="1061" w:type="dxa"/>
            <w:tcBorders>
              <w:top w:val="single" w:sz="6" w:space="0" w:color="auto"/>
              <w:bottom w:val="single" w:sz="12" w:space="0" w:color="auto"/>
            </w:tcBorders>
          </w:tcPr>
          <w:p w:rsidR="00BB6F1F" w:rsidRPr="00EC289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504</w:t>
            </w:r>
          </w:p>
        </w:tc>
      </w:tr>
    </w:tbl>
    <w:p w:rsidR="00BB6F1F" w:rsidRDefault="00BB6F1F" w:rsidP="00AC68FF">
      <w:pPr>
        <w:pStyle w:val="Note"/>
      </w:pPr>
      <w:r>
        <w:t>Notes:</w:t>
      </w:r>
    </w:p>
    <w:p w:rsidR="00BB6F1F" w:rsidRDefault="00BB6F1F" w:rsidP="00AC68FF">
      <w:pPr>
        <w:pStyle w:val="Note"/>
      </w:pPr>
      <w:r>
        <w:t>(a)</w:t>
      </w:r>
      <w:r>
        <w:tab/>
        <w:t>Determined in accordance with the ABS GFS manual.</w:t>
      </w:r>
    </w:p>
    <w:p w:rsidR="00BB6F1F" w:rsidRDefault="00BB6F1F" w:rsidP="00AC68FF">
      <w:pPr>
        <w:pStyle w:val="Note"/>
      </w:pPr>
      <w:r>
        <w:t xml:space="preserve">(b) </w:t>
      </w:r>
      <w:r>
        <w:tab/>
        <w:t>The</w:t>
      </w:r>
      <w:r w:rsidRPr="004A36E2">
        <w:t xml:space="preserve"> </w:t>
      </w:r>
      <w:r>
        <w:t>convergence difference arises because GFS does not recognise acquisitions under finance leases, whereas finance leases is recognised in the cash surplus aggregate of the cash flow statement.</w:t>
      </w:r>
    </w:p>
    <w:p w:rsidR="00BB6F1F" w:rsidRDefault="00BB6F1F" w:rsidP="00AC68FF">
      <w:pPr>
        <w:pStyle w:val="Note"/>
        <w:sectPr w:rsidR="00BB6F1F" w:rsidSect="00AC68FF">
          <w:headerReference w:type="even" r:id="rId146"/>
          <w:headerReference w:type="default" r:id="rId147"/>
          <w:footerReference w:type="even" r:id="rId148"/>
          <w:footerReference w:type="default" r:id="rId149"/>
          <w:pgSz w:w="16839" w:h="11907" w:orient="landscape" w:code="9"/>
          <w:pgMar w:top="1134" w:right="1134" w:bottom="1134" w:left="1134" w:header="624" w:footer="567" w:gutter="0"/>
          <w:cols w:sep="1" w:space="567"/>
          <w:docGrid w:linePitch="360"/>
        </w:sectPr>
      </w:pPr>
      <w:r>
        <w:t>(c)</w:t>
      </w:r>
      <w:r>
        <w:tab/>
        <w:t>The convergence difference for the Port of Melbourne lease transaction arises because GFS recognises the transaction as a sale of equity from the general government sector, whereas under Australian Accounting Standards the Port of Melbourne lease transaction has been treated as an operating lease with the leased assets remaining within the public non-financial corporations sector.</w:t>
      </w:r>
    </w:p>
    <w:p w:rsidR="00BB6F1F" w:rsidRDefault="00BB6F1F" w:rsidP="00BB6F1F">
      <w:pPr>
        <w:pStyle w:val="Heading2"/>
        <w:numPr>
          <w:ilvl w:val="1"/>
          <w:numId w:val="24"/>
        </w:numPr>
        <w:spacing w:before="0"/>
      </w:pPr>
      <w:bookmarkStart w:id="97" w:name="_Toc492984971"/>
      <w:bookmarkStart w:id="98" w:name="_Toc462418979"/>
      <w:r>
        <w:lastRenderedPageBreak/>
        <w:t>Related party transactions</w:t>
      </w:r>
      <w:bookmarkEnd w:id="97"/>
      <w:r>
        <w:t xml:space="preserve"> </w:t>
      </w:r>
    </w:p>
    <w:p w:rsidR="00BB6F1F" w:rsidRDefault="00BB6F1F" w:rsidP="00AC68FF">
      <w:r>
        <w:t xml:space="preserve">The State of Victoria reporting entity includes government departments, public non-financial corporations, public financial corporations and other government-controlled entities. </w:t>
      </w:r>
    </w:p>
    <w:p w:rsidR="00BB6F1F" w:rsidRDefault="00BB6F1F" w:rsidP="00AC68FF">
      <w:pPr>
        <w:pStyle w:val="Heading30"/>
      </w:pPr>
      <w:r w:rsidRPr="00E962E2">
        <w:t>Key management personnel</w:t>
      </w:r>
    </w:p>
    <w:p w:rsidR="00BB6F1F" w:rsidRDefault="00BB6F1F" w:rsidP="00AC68FF">
      <w:r w:rsidRPr="001C1680">
        <w:t>All cabinet ministers are</w:t>
      </w:r>
      <w:r>
        <w:t xml:space="preserve"> considered</w:t>
      </w:r>
      <w:r w:rsidRPr="001C1680">
        <w:t xml:space="preserve"> </w:t>
      </w:r>
      <w:r>
        <w:t xml:space="preserve">members of the </w:t>
      </w:r>
      <w:r w:rsidRPr="001C1680">
        <w:t>key management personnel of the State of Victoria reporting entity</w:t>
      </w:r>
      <w:r>
        <w:t xml:space="preserve"> for 2016-17, they included: </w:t>
      </w:r>
    </w:p>
    <w:p w:rsidR="00BB6F1F" w:rsidRDefault="00BB6F1F" w:rsidP="00AC68FF"/>
    <w:tbl>
      <w:tblPr>
        <w:tblStyle w:val="DTFTable"/>
        <w:tblW w:w="4551" w:type="dxa"/>
        <w:tblLook w:val="04A0" w:firstRow="1" w:lastRow="0" w:firstColumn="1" w:lastColumn="0" w:noHBand="0" w:noVBand="1"/>
      </w:tblPr>
      <w:tblGrid>
        <w:gridCol w:w="2275"/>
        <w:gridCol w:w="2276"/>
      </w:tblGrid>
      <w:tr w:rsidR="00BB6F1F" w:rsidTr="00AC6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tcPr>
          <w:p w:rsidR="00BB6F1F" w:rsidRDefault="00BB6F1F" w:rsidP="00AC68FF">
            <w:r>
              <w:t xml:space="preserve">Position title </w:t>
            </w:r>
          </w:p>
        </w:tc>
        <w:tc>
          <w:tcPr>
            <w:tcW w:w="2276" w:type="dxa"/>
          </w:tcPr>
          <w:p w:rsidR="00BB6F1F" w:rsidRDefault="00BB6F1F" w:rsidP="00AC68FF">
            <w:pPr>
              <w:jc w:val="left"/>
              <w:cnfStyle w:val="100000000000" w:firstRow="1" w:lastRow="0" w:firstColumn="0" w:lastColumn="0" w:oddVBand="0" w:evenVBand="0" w:oddHBand="0" w:evenHBand="0" w:firstRowFirstColumn="0" w:firstRowLastColumn="0" w:lastRowFirstColumn="0" w:lastRowLastColumn="0"/>
            </w:pPr>
            <w:r>
              <w:t>Key management personnel</w:t>
            </w:r>
          </w:p>
        </w:tc>
      </w:tr>
      <w:tr w:rsidR="00BB6F1F"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shd w:val="clear" w:color="auto" w:fill="auto"/>
          </w:tcPr>
          <w:p w:rsidR="00BB6F1F" w:rsidRDefault="00BB6F1F" w:rsidP="00AC68FF">
            <w:r>
              <w:t>Premier</w:t>
            </w:r>
          </w:p>
        </w:tc>
        <w:tc>
          <w:tcPr>
            <w:tcW w:w="2276" w:type="dxa"/>
            <w:shd w:val="clear" w:color="auto" w:fill="auto"/>
          </w:tcPr>
          <w:p w:rsidR="00BB6F1F" w:rsidRDefault="00BB6F1F" w:rsidP="00AC68FF">
            <w:pPr>
              <w:jc w:val="left"/>
              <w:cnfStyle w:val="000000100000" w:firstRow="0" w:lastRow="0" w:firstColumn="0" w:lastColumn="0" w:oddVBand="0" w:evenVBand="0" w:oddHBand="1" w:evenHBand="0" w:firstRowFirstColumn="0" w:firstRowLastColumn="0" w:lastRowFirstColumn="0" w:lastRowLastColumn="0"/>
            </w:pPr>
            <w:r>
              <w:t>Hon Daniel Andrews</w:t>
            </w:r>
          </w:p>
        </w:tc>
      </w:tr>
      <w:tr w:rsidR="00BB6F1F"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shd w:val="clear" w:color="auto" w:fill="auto"/>
          </w:tcPr>
          <w:p w:rsidR="00BB6F1F" w:rsidRDefault="00BB6F1F" w:rsidP="00AC68FF">
            <w:r>
              <w:t>Deputy Premier</w:t>
            </w:r>
          </w:p>
        </w:tc>
        <w:tc>
          <w:tcPr>
            <w:tcW w:w="2276" w:type="dxa"/>
            <w:shd w:val="clear" w:color="auto" w:fill="auto"/>
          </w:tcPr>
          <w:p w:rsidR="00BB6F1F" w:rsidRDefault="00BB6F1F" w:rsidP="00AC68FF">
            <w:pPr>
              <w:jc w:val="left"/>
              <w:cnfStyle w:val="000000010000" w:firstRow="0" w:lastRow="0" w:firstColumn="0" w:lastColumn="0" w:oddVBand="0" w:evenVBand="0" w:oddHBand="0" w:evenHBand="1" w:firstRowFirstColumn="0" w:firstRowLastColumn="0" w:lastRowFirstColumn="0" w:lastRowLastColumn="0"/>
            </w:pPr>
            <w:r>
              <w:t xml:space="preserve">Hon James </w:t>
            </w:r>
            <w:proofErr w:type="spellStart"/>
            <w:r>
              <w:t>Merlino</w:t>
            </w:r>
            <w:proofErr w:type="spellEnd"/>
          </w:p>
        </w:tc>
      </w:tr>
      <w:tr w:rsidR="00BB6FF4"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val="restart"/>
            <w:shd w:val="clear" w:color="auto" w:fill="auto"/>
          </w:tcPr>
          <w:p w:rsidR="00BB6FF4" w:rsidRDefault="00BB6FF4" w:rsidP="00AC68FF">
            <w:pPr>
              <w:ind w:left="0" w:firstLine="0"/>
            </w:pPr>
            <w:r>
              <w:t>Ministers of the Crown</w:t>
            </w:r>
          </w:p>
        </w:tc>
        <w:tc>
          <w:tcPr>
            <w:tcW w:w="2276" w:type="dxa"/>
            <w:shd w:val="clear" w:color="auto" w:fill="auto"/>
            <w:vAlign w:val="bottom"/>
          </w:tcPr>
          <w:p w:rsidR="00BB6FF4" w:rsidRDefault="00BB6FF4" w:rsidP="00AC68FF">
            <w:pPr>
              <w:jc w:val="left"/>
              <w:cnfStyle w:val="000000100000" w:firstRow="0" w:lastRow="0" w:firstColumn="0" w:lastColumn="0" w:oddVBand="0" w:evenVBand="0" w:oddHBand="1" w:evenHBand="0" w:firstRowFirstColumn="0" w:firstRowLastColumn="0" w:lastRowFirstColumn="0" w:lastRowLastColumn="0"/>
            </w:pPr>
            <w:r>
              <w:t>Hon Jacinta Allan</w:t>
            </w:r>
          </w:p>
        </w:tc>
      </w:tr>
      <w:tr w:rsidR="00BB6FF4"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rsidR="00BB6FF4" w:rsidRDefault="00BB6FF4" w:rsidP="00AC68FF"/>
        </w:tc>
        <w:tc>
          <w:tcPr>
            <w:tcW w:w="2276" w:type="dxa"/>
            <w:shd w:val="clear" w:color="auto" w:fill="auto"/>
          </w:tcPr>
          <w:p w:rsidR="00BB6FF4" w:rsidRPr="002631AF" w:rsidRDefault="00BB6FF4" w:rsidP="00AC68FF">
            <w:pPr>
              <w:jc w:val="left"/>
              <w:cnfStyle w:val="000000010000" w:firstRow="0" w:lastRow="0" w:firstColumn="0" w:lastColumn="0" w:oddVBand="0" w:evenVBand="0" w:oddHBand="0" w:evenHBand="1" w:firstRowFirstColumn="0" w:firstRowLastColumn="0" w:lastRowFirstColumn="0" w:lastRowLastColumn="0"/>
            </w:pPr>
            <w:r w:rsidRPr="002631AF">
              <w:t xml:space="preserve">Hon Philip </w:t>
            </w:r>
            <w:proofErr w:type="spellStart"/>
            <w:r w:rsidRPr="002631AF">
              <w:t>Dalidakis</w:t>
            </w:r>
            <w:proofErr w:type="spellEnd"/>
          </w:p>
        </w:tc>
      </w:tr>
      <w:tr w:rsidR="00BB6FF4"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rsidR="00BB6FF4" w:rsidRDefault="00BB6FF4" w:rsidP="00AC68FF"/>
        </w:tc>
        <w:tc>
          <w:tcPr>
            <w:tcW w:w="2276" w:type="dxa"/>
            <w:shd w:val="clear" w:color="auto" w:fill="auto"/>
          </w:tcPr>
          <w:p w:rsidR="00BB6FF4" w:rsidRDefault="00BB6FF4" w:rsidP="00AC68FF">
            <w:pPr>
              <w:jc w:val="left"/>
              <w:cnfStyle w:val="000000100000" w:firstRow="0" w:lastRow="0" w:firstColumn="0" w:lastColumn="0" w:oddVBand="0" w:evenVBand="0" w:oddHBand="1" w:evenHBand="0" w:firstRowFirstColumn="0" w:firstRowLastColumn="0" w:lastRowFirstColumn="0" w:lastRowLastColumn="0"/>
            </w:pPr>
            <w:r>
              <w:t xml:space="preserve">Hon Lily </w:t>
            </w:r>
            <w:proofErr w:type="spellStart"/>
            <w:r>
              <w:t>D’Ambrosio</w:t>
            </w:r>
            <w:proofErr w:type="spellEnd"/>
          </w:p>
        </w:tc>
      </w:tr>
      <w:tr w:rsidR="00BB6FF4"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rsidR="00BB6FF4" w:rsidRDefault="00BB6FF4" w:rsidP="00AC68FF"/>
        </w:tc>
        <w:tc>
          <w:tcPr>
            <w:tcW w:w="2276" w:type="dxa"/>
            <w:shd w:val="clear" w:color="auto" w:fill="auto"/>
          </w:tcPr>
          <w:p w:rsidR="00BB6FF4" w:rsidRDefault="00BB6FF4" w:rsidP="00AC68FF">
            <w:pPr>
              <w:jc w:val="left"/>
              <w:cnfStyle w:val="000000010000" w:firstRow="0" w:lastRow="0" w:firstColumn="0" w:lastColumn="0" w:oddVBand="0" w:evenVBand="0" w:oddHBand="0" w:evenHBand="1" w:firstRowFirstColumn="0" w:firstRowLastColumn="0" w:lastRowFirstColumn="0" w:lastRowLastColumn="0"/>
            </w:pPr>
            <w:r>
              <w:t>Hon Luke Donnellan</w:t>
            </w:r>
          </w:p>
        </w:tc>
      </w:tr>
      <w:tr w:rsidR="00BB6FF4"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rsidR="00BB6FF4" w:rsidRDefault="00BB6FF4" w:rsidP="00AC68FF"/>
        </w:tc>
        <w:tc>
          <w:tcPr>
            <w:tcW w:w="2276" w:type="dxa"/>
            <w:shd w:val="clear" w:color="auto" w:fill="auto"/>
          </w:tcPr>
          <w:p w:rsidR="00BB6FF4" w:rsidRDefault="00BB6FF4" w:rsidP="00AC68FF">
            <w:pPr>
              <w:jc w:val="left"/>
              <w:cnfStyle w:val="000000100000" w:firstRow="0" w:lastRow="0" w:firstColumn="0" w:lastColumn="0" w:oddVBand="0" w:evenVBand="0" w:oddHBand="1" w:evenHBand="0" w:firstRowFirstColumn="0" w:firstRowLastColumn="0" w:lastRowFirstColumn="0" w:lastRowLastColumn="0"/>
            </w:pPr>
            <w:r>
              <w:t xml:space="preserve">Hon John </w:t>
            </w:r>
            <w:proofErr w:type="spellStart"/>
            <w:r>
              <w:t>Eren</w:t>
            </w:r>
            <w:proofErr w:type="spellEnd"/>
          </w:p>
        </w:tc>
      </w:tr>
      <w:tr w:rsidR="00BB6FF4"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rsidR="00BB6FF4" w:rsidRDefault="00BB6FF4" w:rsidP="00AC68FF"/>
        </w:tc>
        <w:tc>
          <w:tcPr>
            <w:tcW w:w="2276" w:type="dxa"/>
            <w:shd w:val="clear" w:color="auto" w:fill="auto"/>
          </w:tcPr>
          <w:p w:rsidR="00BB6FF4" w:rsidRDefault="00BB6FF4" w:rsidP="00AC68FF">
            <w:pPr>
              <w:jc w:val="left"/>
              <w:cnfStyle w:val="000000010000" w:firstRow="0" w:lastRow="0" w:firstColumn="0" w:lastColumn="0" w:oddVBand="0" w:evenVBand="0" w:oddHBand="0" w:evenHBand="1" w:firstRowFirstColumn="0" w:firstRowLastColumn="0" w:lastRowFirstColumn="0" w:lastRowLastColumn="0"/>
            </w:pPr>
            <w:r>
              <w:t>Hon Martin Foley</w:t>
            </w:r>
          </w:p>
        </w:tc>
      </w:tr>
      <w:tr w:rsidR="00BB6FF4"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rsidR="00BB6FF4" w:rsidRDefault="00BB6FF4" w:rsidP="00AC68FF"/>
        </w:tc>
        <w:tc>
          <w:tcPr>
            <w:tcW w:w="2276" w:type="dxa"/>
            <w:shd w:val="clear" w:color="auto" w:fill="auto"/>
            <w:vAlign w:val="center"/>
          </w:tcPr>
          <w:p w:rsidR="00BB6FF4" w:rsidRDefault="00BB6FF4" w:rsidP="00AC68FF">
            <w:pPr>
              <w:jc w:val="left"/>
              <w:cnfStyle w:val="000000100000" w:firstRow="0" w:lastRow="0" w:firstColumn="0" w:lastColumn="0" w:oddVBand="0" w:evenVBand="0" w:oddHBand="1" w:evenHBand="0" w:firstRowFirstColumn="0" w:firstRowLastColumn="0" w:lastRowFirstColumn="0" w:lastRowLastColumn="0"/>
            </w:pPr>
            <w:r>
              <w:t xml:space="preserve">Mr Steve Herbert </w:t>
            </w:r>
            <w:r>
              <w:rPr>
                <w:vertAlign w:val="superscript"/>
              </w:rPr>
              <w:t>(a)</w:t>
            </w:r>
          </w:p>
        </w:tc>
      </w:tr>
      <w:tr w:rsidR="00BB6FF4"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rsidR="00BB6FF4" w:rsidRDefault="00BB6FF4" w:rsidP="00AC68FF"/>
        </w:tc>
        <w:tc>
          <w:tcPr>
            <w:tcW w:w="2276" w:type="dxa"/>
            <w:shd w:val="clear" w:color="auto" w:fill="auto"/>
          </w:tcPr>
          <w:p w:rsidR="00BB6FF4" w:rsidRDefault="00BB6FF4" w:rsidP="00AC68FF">
            <w:pPr>
              <w:jc w:val="left"/>
              <w:cnfStyle w:val="000000010000" w:firstRow="0" w:lastRow="0" w:firstColumn="0" w:lastColumn="0" w:oddVBand="0" w:evenVBand="0" w:oddHBand="0" w:evenHBand="1" w:firstRowFirstColumn="0" w:firstRowLastColumn="0" w:lastRowFirstColumn="0" w:lastRowLastColumn="0"/>
            </w:pPr>
            <w:r>
              <w:t>Hon Jill Hennessy</w:t>
            </w:r>
          </w:p>
        </w:tc>
      </w:tr>
      <w:tr w:rsidR="00BB6FF4"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rsidR="00BB6FF4" w:rsidRDefault="00BB6FF4" w:rsidP="00AC68FF"/>
        </w:tc>
        <w:tc>
          <w:tcPr>
            <w:tcW w:w="2276" w:type="dxa"/>
            <w:shd w:val="clear" w:color="auto" w:fill="auto"/>
          </w:tcPr>
          <w:p w:rsidR="00BB6FF4" w:rsidRDefault="00BB6FF4" w:rsidP="00AC68FF">
            <w:pPr>
              <w:jc w:val="left"/>
              <w:cnfStyle w:val="000000100000" w:firstRow="0" w:lastRow="0" w:firstColumn="0" w:lastColumn="0" w:oddVBand="0" w:evenVBand="0" w:oddHBand="1" w:evenHBand="0" w:firstRowFirstColumn="0" w:firstRowLastColumn="0" w:lastRowFirstColumn="0" w:lastRowLastColumn="0"/>
            </w:pPr>
            <w:r>
              <w:t>Hon Natalie Hutchins</w:t>
            </w:r>
          </w:p>
        </w:tc>
      </w:tr>
      <w:tr w:rsidR="00BB6FF4"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rsidR="00BB6FF4" w:rsidRDefault="00BB6FF4" w:rsidP="00AC68FF"/>
        </w:tc>
        <w:tc>
          <w:tcPr>
            <w:tcW w:w="2276" w:type="dxa"/>
            <w:shd w:val="clear" w:color="auto" w:fill="auto"/>
          </w:tcPr>
          <w:p w:rsidR="00BB6FF4" w:rsidRDefault="00BB6FF4" w:rsidP="00AC68FF">
            <w:pPr>
              <w:jc w:val="left"/>
              <w:cnfStyle w:val="000000010000" w:firstRow="0" w:lastRow="0" w:firstColumn="0" w:lastColumn="0" w:oddVBand="0" w:evenVBand="0" w:oddHBand="0" w:evenHBand="1" w:firstRowFirstColumn="0" w:firstRowLastColumn="0" w:lastRowFirstColumn="0" w:lastRowLastColumn="0"/>
            </w:pPr>
            <w:r>
              <w:t>Hon Gavin Jennings</w:t>
            </w:r>
          </w:p>
        </w:tc>
      </w:tr>
      <w:tr w:rsidR="00BB6FF4"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rsidR="00BB6FF4" w:rsidRDefault="00BB6FF4" w:rsidP="00AC68FF"/>
        </w:tc>
        <w:tc>
          <w:tcPr>
            <w:tcW w:w="2276" w:type="dxa"/>
            <w:shd w:val="clear" w:color="auto" w:fill="auto"/>
          </w:tcPr>
          <w:p w:rsidR="00BB6FF4" w:rsidRDefault="00BB6FF4" w:rsidP="00AC68FF">
            <w:pPr>
              <w:jc w:val="left"/>
              <w:cnfStyle w:val="000000100000" w:firstRow="0" w:lastRow="0" w:firstColumn="0" w:lastColumn="0" w:oddVBand="0" w:evenVBand="0" w:oddHBand="1" w:evenHBand="0" w:firstRowFirstColumn="0" w:firstRowLastColumn="0" w:lastRowFirstColumn="0" w:lastRowLastColumn="0"/>
            </w:pPr>
            <w:r>
              <w:t xml:space="preserve">Hon Marlene </w:t>
            </w:r>
            <w:proofErr w:type="spellStart"/>
            <w:r>
              <w:t>Kairouz</w:t>
            </w:r>
            <w:proofErr w:type="spellEnd"/>
          </w:p>
        </w:tc>
      </w:tr>
      <w:tr w:rsidR="00BB6FF4"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rsidR="00BB6FF4" w:rsidRDefault="00BB6FF4" w:rsidP="00AC68FF"/>
        </w:tc>
        <w:tc>
          <w:tcPr>
            <w:tcW w:w="2276" w:type="dxa"/>
            <w:shd w:val="clear" w:color="auto" w:fill="auto"/>
          </w:tcPr>
          <w:p w:rsidR="00BB6FF4" w:rsidRDefault="00BB6FF4" w:rsidP="00AC68FF">
            <w:pPr>
              <w:jc w:val="left"/>
              <w:cnfStyle w:val="000000010000" w:firstRow="0" w:lastRow="0" w:firstColumn="0" w:lastColumn="0" w:oddVBand="0" w:evenVBand="0" w:oddHBand="0" w:evenHBand="1" w:firstRowFirstColumn="0" w:firstRowLastColumn="0" w:lastRowFirstColumn="0" w:lastRowLastColumn="0"/>
            </w:pPr>
            <w:r>
              <w:t xml:space="preserve">Hon Jenny </w:t>
            </w:r>
            <w:proofErr w:type="spellStart"/>
            <w:r>
              <w:t>Mikakos</w:t>
            </w:r>
            <w:proofErr w:type="spellEnd"/>
          </w:p>
        </w:tc>
      </w:tr>
      <w:tr w:rsidR="00BB6FF4"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rsidR="00BB6FF4" w:rsidRDefault="00BB6FF4" w:rsidP="00AC68FF"/>
        </w:tc>
        <w:tc>
          <w:tcPr>
            <w:tcW w:w="2276" w:type="dxa"/>
            <w:shd w:val="clear" w:color="auto" w:fill="auto"/>
          </w:tcPr>
          <w:p w:rsidR="00BB6FF4" w:rsidRDefault="00BB6FF4" w:rsidP="00AC68FF">
            <w:pPr>
              <w:jc w:val="left"/>
              <w:cnfStyle w:val="000000100000" w:firstRow="0" w:lastRow="0" w:firstColumn="0" w:lastColumn="0" w:oddVBand="0" w:evenVBand="0" w:oddHBand="1" w:evenHBand="0" w:firstRowFirstColumn="0" w:firstRowLastColumn="0" w:lastRowFirstColumn="0" w:lastRowLastColumn="0"/>
            </w:pPr>
            <w:r>
              <w:t>Hon Lisa Neville</w:t>
            </w:r>
          </w:p>
        </w:tc>
      </w:tr>
      <w:tr w:rsidR="00BB6FF4"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rsidR="00BB6FF4" w:rsidRDefault="00BB6FF4" w:rsidP="00AC68FF"/>
        </w:tc>
        <w:tc>
          <w:tcPr>
            <w:tcW w:w="2276" w:type="dxa"/>
            <w:shd w:val="clear" w:color="auto" w:fill="auto"/>
          </w:tcPr>
          <w:p w:rsidR="00BB6FF4" w:rsidRDefault="00BB6FF4" w:rsidP="00AC68FF">
            <w:pPr>
              <w:jc w:val="left"/>
              <w:cnfStyle w:val="000000010000" w:firstRow="0" w:lastRow="0" w:firstColumn="0" w:lastColumn="0" w:oddVBand="0" w:evenVBand="0" w:oddHBand="0" w:evenHBand="1" w:firstRowFirstColumn="0" w:firstRowLastColumn="0" w:lastRowFirstColumn="0" w:lastRowLastColumn="0"/>
            </w:pPr>
            <w:r>
              <w:t>Hon Wade Noonan</w:t>
            </w:r>
          </w:p>
        </w:tc>
      </w:tr>
      <w:tr w:rsidR="00BB6FF4"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rsidR="00BB6FF4" w:rsidRDefault="00BB6FF4" w:rsidP="00AC68FF"/>
        </w:tc>
        <w:tc>
          <w:tcPr>
            <w:tcW w:w="2276" w:type="dxa"/>
            <w:shd w:val="clear" w:color="auto" w:fill="auto"/>
          </w:tcPr>
          <w:p w:rsidR="00BB6FF4" w:rsidRDefault="00BB6FF4" w:rsidP="00AC68FF">
            <w:pPr>
              <w:jc w:val="left"/>
              <w:cnfStyle w:val="000000100000" w:firstRow="0" w:lastRow="0" w:firstColumn="0" w:lastColumn="0" w:oddVBand="0" w:evenVBand="0" w:oddHBand="1" w:evenHBand="0" w:firstRowFirstColumn="0" w:firstRowLastColumn="0" w:lastRowFirstColumn="0" w:lastRowLastColumn="0"/>
            </w:pPr>
            <w:r>
              <w:t xml:space="preserve">Hon Martin </w:t>
            </w:r>
            <w:proofErr w:type="spellStart"/>
            <w:r>
              <w:t>Pakula</w:t>
            </w:r>
            <w:proofErr w:type="spellEnd"/>
          </w:p>
        </w:tc>
      </w:tr>
      <w:tr w:rsidR="00BB6FF4"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rsidR="00BB6FF4" w:rsidRDefault="00BB6FF4" w:rsidP="00AC68FF"/>
        </w:tc>
        <w:tc>
          <w:tcPr>
            <w:tcW w:w="2276" w:type="dxa"/>
            <w:shd w:val="clear" w:color="auto" w:fill="auto"/>
          </w:tcPr>
          <w:p w:rsidR="00BB6FF4" w:rsidRDefault="00BB6FF4" w:rsidP="00AC68FF">
            <w:pPr>
              <w:jc w:val="left"/>
              <w:cnfStyle w:val="000000010000" w:firstRow="0" w:lastRow="0" w:firstColumn="0" w:lastColumn="0" w:oddVBand="0" w:evenVBand="0" w:oddHBand="0" w:evenHBand="1" w:firstRowFirstColumn="0" w:firstRowLastColumn="0" w:lastRowFirstColumn="0" w:lastRowLastColumn="0"/>
            </w:pPr>
            <w:r>
              <w:t>Mr Tim Pallas</w:t>
            </w:r>
          </w:p>
        </w:tc>
      </w:tr>
      <w:tr w:rsidR="00BB6FF4"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rsidR="00BB6FF4" w:rsidRDefault="00BB6FF4" w:rsidP="00AC68FF"/>
        </w:tc>
        <w:tc>
          <w:tcPr>
            <w:tcW w:w="2276" w:type="dxa"/>
            <w:shd w:val="clear" w:color="auto" w:fill="auto"/>
          </w:tcPr>
          <w:p w:rsidR="00BB6FF4" w:rsidRDefault="00BB6FF4" w:rsidP="00AC68FF">
            <w:pPr>
              <w:jc w:val="left"/>
              <w:cnfStyle w:val="000000100000" w:firstRow="0" w:lastRow="0" w:firstColumn="0" w:lastColumn="0" w:oddVBand="0" w:evenVBand="0" w:oddHBand="1" w:evenHBand="0" w:firstRowFirstColumn="0" w:firstRowLastColumn="0" w:lastRowFirstColumn="0" w:lastRowLastColumn="0"/>
            </w:pPr>
            <w:r>
              <w:t xml:space="preserve">Hon </w:t>
            </w:r>
            <w:proofErr w:type="spellStart"/>
            <w:r>
              <w:t>Jaala</w:t>
            </w:r>
            <w:proofErr w:type="spellEnd"/>
            <w:r>
              <w:t xml:space="preserve"> Pulford</w:t>
            </w:r>
          </w:p>
        </w:tc>
      </w:tr>
      <w:tr w:rsidR="00BB6FF4"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rsidR="00BB6FF4" w:rsidRDefault="00BB6FF4" w:rsidP="00AC68FF"/>
        </w:tc>
        <w:tc>
          <w:tcPr>
            <w:tcW w:w="2276" w:type="dxa"/>
            <w:shd w:val="clear" w:color="auto" w:fill="auto"/>
          </w:tcPr>
          <w:p w:rsidR="00BB6FF4" w:rsidRDefault="00BB6FF4" w:rsidP="00AC68FF">
            <w:pPr>
              <w:jc w:val="left"/>
              <w:cnfStyle w:val="000000010000" w:firstRow="0" w:lastRow="0" w:firstColumn="0" w:lastColumn="0" w:oddVBand="0" w:evenVBand="0" w:oddHBand="0" w:evenHBand="1" w:firstRowFirstColumn="0" w:firstRowLastColumn="0" w:lastRowFirstColumn="0" w:lastRowLastColumn="0"/>
            </w:pPr>
            <w:r>
              <w:t>Hon Fiona Richardson (</w:t>
            </w:r>
            <w:proofErr w:type="spellStart"/>
            <w:r>
              <w:t>dec.</w:t>
            </w:r>
            <w:proofErr w:type="spellEnd"/>
            <w:r>
              <w:t>)</w:t>
            </w:r>
          </w:p>
        </w:tc>
      </w:tr>
      <w:tr w:rsidR="00BB6FF4"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rsidR="00BB6FF4" w:rsidRDefault="00BB6FF4" w:rsidP="00AC68FF"/>
        </w:tc>
        <w:tc>
          <w:tcPr>
            <w:tcW w:w="2276" w:type="dxa"/>
            <w:shd w:val="clear" w:color="auto" w:fill="auto"/>
          </w:tcPr>
          <w:p w:rsidR="00BB6FF4" w:rsidRDefault="00BB6FF4" w:rsidP="00AC68FF">
            <w:pPr>
              <w:jc w:val="left"/>
              <w:cnfStyle w:val="000000100000" w:firstRow="0" w:lastRow="0" w:firstColumn="0" w:lastColumn="0" w:oddVBand="0" w:evenVBand="0" w:oddHBand="1" w:evenHBand="0" w:firstRowFirstColumn="0" w:firstRowLastColumn="0" w:lastRowFirstColumn="0" w:lastRowLastColumn="0"/>
            </w:pPr>
            <w:r>
              <w:t>Hon Robin Scott</w:t>
            </w:r>
          </w:p>
        </w:tc>
      </w:tr>
      <w:tr w:rsidR="00BB6FF4"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rsidR="00BB6FF4" w:rsidRDefault="00BB6FF4" w:rsidP="00AC68FF"/>
        </w:tc>
        <w:tc>
          <w:tcPr>
            <w:tcW w:w="2276" w:type="dxa"/>
            <w:shd w:val="clear" w:color="auto" w:fill="auto"/>
          </w:tcPr>
          <w:p w:rsidR="00BB6FF4" w:rsidRDefault="00BB6FF4" w:rsidP="00AC68FF">
            <w:pPr>
              <w:jc w:val="left"/>
              <w:cnfStyle w:val="000000010000" w:firstRow="0" w:lastRow="0" w:firstColumn="0" w:lastColumn="0" w:oddVBand="0" w:evenVBand="0" w:oddHBand="0" w:evenHBand="1" w:firstRowFirstColumn="0" w:firstRowLastColumn="0" w:lastRowFirstColumn="0" w:lastRowLastColumn="0"/>
            </w:pPr>
            <w:r>
              <w:t xml:space="preserve">Ms Gayle Tierney </w:t>
            </w:r>
            <w:r>
              <w:rPr>
                <w:vertAlign w:val="superscript"/>
              </w:rPr>
              <w:t>(a)</w:t>
            </w:r>
          </w:p>
        </w:tc>
      </w:tr>
      <w:tr w:rsidR="00BB6FF4"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rsidR="00BB6FF4" w:rsidRDefault="00BB6FF4" w:rsidP="00AC68FF"/>
        </w:tc>
        <w:tc>
          <w:tcPr>
            <w:tcW w:w="2276" w:type="dxa"/>
            <w:shd w:val="clear" w:color="auto" w:fill="auto"/>
          </w:tcPr>
          <w:p w:rsidR="00BB6FF4" w:rsidRDefault="00BB6FF4" w:rsidP="00AC68FF">
            <w:pPr>
              <w:jc w:val="left"/>
              <w:cnfStyle w:val="000000100000" w:firstRow="0" w:lastRow="0" w:firstColumn="0" w:lastColumn="0" w:oddVBand="0" w:evenVBand="0" w:oddHBand="1" w:evenHBand="0" w:firstRowFirstColumn="0" w:firstRowLastColumn="0" w:lastRowFirstColumn="0" w:lastRowLastColumn="0"/>
            </w:pPr>
            <w:r>
              <w:t>Hon Richard Wynne</w:t>
            </w:r>
          </w:p>
        </w:tc>
      </w:tr>
    </w:tbl>
    <w:p w:rsidR="00BB6F1F" w:rsidRDefault="00BB6F1F" w:rsidP="00AC68FF">
      <w:pPr>
        <w:pStyle w:val="Note"/>
      </w:pPr>
      <w:r>
        <w:t>Note:</w:t>
      </w:r>
    </w:p>
    <w:p w:rsidR="00BB6F1F" w:rsidRDefault="00BB6F1F" w:rsidP="00AC68FF">
      <w:pPr>
        <w:pStyle w:val="Note"/>
      </w:pPr>
      <w:r>
        <w:t>(a)</w:t>
      </w:r>
      <w:r>
        <w:tab/>
        <w:t xml:space="preserve">Mr. Steve Herbert was Minister for Corrections and Minister for Training and Skills from 1 July 2016 to 9 November 2016. The Hon. Gayle Tierney was appointed Minister for Corrections and Minister for Training and Skills from 9 November 2016.  </w:t>
      </w:r>
    </w:p>
    <w:p w:rsidR="00BB6F1F" w:rsidRDefault="00BB6F1F" w:rsidP="00AC68FF">
      <w:pPr>
        <w:pStyle w:val="Note"/>
      </w:pPr>
    </w:p>
    <w:p w:rsidR="00BB6F1F" w:rsidRDefault="00BB6F1F" w:rsidP="00AC68FF">
      <w:r>
        <w:t>Accordingly, related parties of the State of Victoria reporting entity include:</w:t>
      </w:r>
    </w:p>
    <w:p w:rsidR="00BB6F1F" w:rsidRDefault="00BB6F1F" w:rsidP="00AC68FF">
      <w:pPr>
        <w:pStyle w:val="ListBullet"/>
      </w:pPr>
      <w:r>
        <w:t>all cabinet ministers and their close family members; and</w:t>
      </w:r>
    </w:p>
    <w:p w:rsidR="00BB6F1F" w:rsidRDefault="00BB6F1F" w:rsidP="00AC68FF">
      <w:pPr>
        <w:pStyle w:val="ListBullet"/>
      </w:pPr>
      <w:r>
        <w:t>other arrangements or entities jointly controlled by the ministers or their close family members, or entities that they have significant influence over.</w:t>
      </w:r>
    </w:p>
    <w:p w:rsidR="00BB6F1F" w:rsidRDefault="00BB6F1F" w:rsidP="00AC68FF"/>
    <w:p w:rsidR="00BB6F1F" w:rsidRDefault="00BB6F1F" w:rsidP="00AC68FF"/>
    <w:p w:rsidR="00BB6F1F" w:rsidRPr="00C64BE7" w:rsidRDefault="00BB6F1F" w:rsidP="00AC68FF">
      <w:pPr>
        <w:pStyle w:val="Heading30"/>
        <w:spacing w:before="0"/>
      </w:pPr>
      <w:r w:rsidRPr="00C64BE7">
        <w:lastRenderedPageBreak/>
        <w:t>Transactions and balances with key management personnel and other related parties</w:t>
      </w:r>
    </w:p>
    <w:p w:rsidR="00BB6F1F" w:rsidRPr="00C64BE7" w:rsidRDefault="00BB6F1F" w:rsidP="00AC68FF">
      <w:r w:rsidRPr="00C64BE7">
        <w:t>Given the breadth and depth of State government activities, related parties transact with the Victorian public sector as normal citizens in a manner consistent with other members of the public, involving the receipt of services and benefits, and payment of</w:t>
      </w:r>
      <w:r>
        <w:t xml:space="preserve"> taxes and </w:t>
      </w:r>
      <w:r w:rsidRPr="00C64BE7">
        <w:t xml:space="preserve">other government fees and charges. No transactions have occurred with related parties on terms and conditions more or less favourable than those conducted under standard government policies, procedures and practices. </w:t>
      </w:r>
    </w:p>
    <w:p w:rsidR="00BB6F1F" w:rsidRDefault="00BB6F1F" w:rsidP="00AC68FF">
      <w:r w:rsidRPr="00C64BE7">
        <w:t xml:space="preserve">Outside of normal citizen type transactions, transactions are disclosed </w:t>
      </w:r>
      <w:r>
        <w:t xml:space="preserve">only </w:t>
      </w:r>
      <w:r w:rsidRPr="00C64BE7">
        <w:t>when they are considered necessary to draw attention to the possibility that the State’s financial position and profit or loss may have been affected by the existence of related parties, and by transactions and outstanding balances, including commitments, with such parties.</w:t>
      </w:r>
    </w:p>
    <w:p w:rsidR="00BB6F1F" w:rsidRPr="00C64BE7" w:rsidRDefault="00BB6F1F" w:rsidP="00AC68FF">
      <w:r>
        <w:t>T</w:t>
      </w:r>
      <w:r w:rsidRPr="00C64BE7">
        <w:t xml:space="preserve">here were no material related party transactions that involved key management personnel, their close family members and their personal business interests. No provision has been required, nor any expense recognised, for impairment of receivables from related parties. </w:t>
      </w:r>
    </w:p>
    <w:p w:rsidR="00BB6F1F" w:rsidRDefault="00BB6F1F" w:rsidP="00AC68FF">
      <w:pPr>
        <w:pStyle w:val="Heading30"/>
      </w:pPr>
      <w:r>
        <w:t>Remuneration of k</w:t>
      </w:r>
      <w:r w:rsidRPr="00E962E2">
        <w:t>ey management personnel</w:t>
      </w:r>
    </w:p>
    <w:p w:rsidR="00BB6F1F" w:rsidRDefault="00BB6F1F" w:rsidP="00AC68FF">
      <w:r w:rsidRPr="001C1680">
        <w:t xml:space="preserve">The remuneration and allowances of ministers’ are set by the </w:t>
      </w:r>
      <w:r w:rsidRPr="00A91F14">
        <w:rPr>
          <w:i/>
        </w:rPr>
        <w:t xml:space="preserve">Parliamentary </w:t>
      </w:r>
      <w:r>
        <w:rPr>
          <w:i/>
        </w:rPr>
        <w:t>Salaries and Superannuation Act </w:t>
      </w:r>
      <w:r w:rsidRPr="00A91F14">
        <w:rPr>
          <w:i/>
        </w:rPr>
        <w:t>1968</w:t>
      </w:r>
      <w:r w:rsidRPr="001C1680">
        <w:t xml:space="preserve"> and the aggregated remuneration for ministers is </w:t>
      </w:r>
      <w:r w:rsidRPr="00DF7380">
        <w:t>$</w:t>
      </w:r>
      <w:r>
        <w:t>8.1</w:t>
      </w:r>
      <w:r w:rsidRPr="00DF7380">
        <w:t xml:space="preserve"> million.</w:t>
      </w:r>
    </w:p>
    <w:p w:rsidR="00BB6F1F" w:rsidRPr="00CA53C0" w:rsidRDefault="00BB6F1F" w:rsidP="00CA53C0">
      <w:pPr>
        <w:pStyle w:val="TableUnits"/>
        <w:rPr>
          <w:rStyle w:val="TableUnitsChar"/>
          <w:b/>
        </w:rPr>
      </w:pPr>
      <w:r w:rsidRPr="00CA53C0">
        <w:rPr>
          <w:rStyle w:val="TableUnitsChar"/>
          <w:b/>
        </w:rPr>
        <w:t>($ thousand)</w:t>
      </w:r>
    </w:p>
    <w:tbl>
      <w:tblPr>
        <w:tblStyle w:val="DTFTable"/>
        <w:tblW w:w="5000" w:type="pct"/>
        <w:tblLook w:val="06A0" w:firstRow="1" w:lastRow="0" w:firstColumn="1" w:lastColumn="0" w:noHBand="1" w:noVBand="1"/>
      </w:tblPr>
      <w:tblGrid>
        <w:gridCol w:w="3463"/>
        <w:gridCol w:w="1116"/>
      </w:tblGrid>
      <w:tr w:rsidR="00BB6F1F" w:rsidRPr="00C12632"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81" w:type="pct"/>
          </w:tcPr>
          <w:p w:rsidR="00BB6F1F" w:rsidRPr="00C12632" w:rsidRDefault="00BB6F1F" w:rsidP="00AC68FF">
            <w:r>
              <w:t>State of Victoria</w:t>
            </w:r>
          </w:p>
        </w:tc>
        <w:tc>
          <w:tcPr>
            <w:tcW w:w="1219" w:type="pct"/>
          </w:tcPr>
          <w:p w:rsidR="00BB6F1F" w:rsidRPr="00C12632" w:rsidRDefault="00BB6F1F" w:rsidP="00AC68FF">
            <w:pPr>
              <w:cnfStyle w:val="100000000000" w:firstRow="1" w:lastRow="0" w:firstColumn="0" w:lastColumn="0" w:oddVBand="0" w:evenVBand="0" w:oddHBand="0" w:evenHBand="0" w:firstRowFirstColumn="0" w:firstRowLastColumn="0" w:lastRowFirstColumn="0" w:lastRowLastColumn="0"/>
            </w:pPr>
          </w:p>
        </w:tc>
      </w:tr>
      <w:tr w:rsidR="00BB6F1F" w:rsidRPr="00C12632"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81" w:type="pct"/>
          </w:tcPr>
          <w:p w:rsidR="00BB6F1F" w:rsidRPr="00C12632" w:rsidRDefault="00BB6F1F" w:rsidP="00AC68FF">
            <w:r>
              <w:t>Compensation for key management personnel</w:t>
            </w:r>
          </w:p>
        </w:tc>
        <w:tc>
          <w:tcPr>
            <w:tcW w:w="1219" w:type="pct"/>
          </w:tcPr>
          <w:p w:rsidR="00BB6F1F" w:rsidRPr="009640DF" w:rsidRDefault="00BB6F1F" w:rsidP="00AC68FF">
            <w:pPr>
              <w:cnfStyle w:val="100000000000" w:firstRow="1" w:lastRow="0" w:firstColumn="0" w:lastColumn="0" w:oddVBand="0" w:evenVBand="0" w:oddHBand="0" w:evenHBand="0" w:firstRowFirstColumn="0" w:firstRowLastColumn="0" w:lastRowFirstColumn="0" w:lastRowLastColumn="0"/>
              <w:rPr>
                <w:vertAlign w:val="superscript"/>
              </w:rPr>
            </w:pPr>
            <w:r>
              <w:t xml:space="preserve">2017 </w:t>
            </w:r>
            <w:r>
              <w:rPr>
                <w:vertAlign w:val="superscript"/>
              </w:rPr>
              <w:t>(a)</w:t>
            </w:r>
          </w:p>
        </w:tc>
      </w:tr>
      <w:tr w:rsidR="00BB6F1F" w:rsidRPr="00C12632" w:rsidTr="00AC68FF">
        <w:tc>
          <w:tcPr>
            <w:cnfStyle w:val="001000000000" w:firstRow="0" w:lastRow="0" w:firstColumn="1" w:lastColumn="0" w:oddVBand="0" w:evenVBand="0" w:oddHBand="0" w:evenHBand="0" w:firstRowFirstColumn="0" w:firstRowLastColumn="0" w:lastRowFirstColumn="0" w:lastRowLastColumn="0"/>
            <w:tcW w:w="3781" w:type="pct"/>
          </w:tcPr>
          <w:p w:rsidR="00BB6F1F" w:rsidRPr="00C12632" w:rsidRDefault="00BB6F1F" w:rsidP="00AC68FF">
            <w:pPr>
              <w:rPr>
                <w:color w:val="000000"/>
              </w:rPr>
            </w:pPr>
            <w:r>
              <w:rPr>
                <w:color w:val="000000"/>
              </w:rPr>
              <w:t>Salaries and short-term employee benefits</w:t>
            </w:r>
          </w:p>
        </w:tc>
        <w:tc>
          <w:tcPr>
            <w:tcW w:w="1219" w:type="pct"/>
          </w:tcPr>
          <w:p w:rsidR="00BB6F1F" w:rsidRPr="00C12632" w:rsidRDefault="00BB6F1F" w:rsidP="00AC68FF">
            <w:pPr>
              <w:cnfStyle w:val="000000000000" w:firstRow="0" w:lastRow="0" w:firstColumn="0" w:lastColumn="0" w:oddVBand="0" w:evenVBand="0" w:oddHBand="0" w:evenHBand="0" w:firstRowFirstColumn="0" w:firstRowLastColumn="0" w:lastRowFirstColumn="0" w:lastRowLastColumn="0"/>
            </w:pPr>
            <w:r>
              <w:t>7 691</w:t>
            </w:r>
          </w:p>
        </w:tc>
      </w:tr>
      <w:tr w:rsidR="00BB6F1F" w:rsidRPr="00C12632" w:rsidTr="00AC68FF">
        <w:tc>
          <w:tcPr>
            <w:cnfStyle w:val="001000000000" w:firstRow="0" w:lastRow="0" w:firstColumn="1" w:lastColumn="0" w:oddVBand="0" w:evenVBand="0" w:oddHBand="0" w:evenHBand="0" w:firstRowFirstColumn="0" w:firstRowLastColumn="0" w:lastRowFirstColumn="0" w:lastRowLastColumn="0"/>
            <w:tcW w:w="3781" w:type="pct"/>
          </w:tcPr>
          <w:p w:rsidR="00BB6F1F" w:rsidRPr="00C12632" w:rsidRDefault="00BB6F1F" w:rsidP="00AC68FF">
            <w:pPr>
              <w:rPr>
                <w:color w:val="000000"/>
              </w:rPr>
            </w:pPr>
            <w:r>
              <w:rPr>
                <w:color w:val="000000"/>
              </w:rPr>
              <w:t>Post-employment benefits</w:t>
            </w:r>
          </w:p>
        </w:tc>
        <w:tc>
          <w:tcPr>
            <w:tcW w:w="1219" w:type="pct"/>
          </w:tcPr>
          <w:p w:rsidR="00BB6F1F" w:rsidRPr="00C12632" w:rsidRDefault="00BB6F1F" w:rsidP="00AC68FF">
            <w:pPr>
              <w:cnfStyle w:val="000000000000" w:firstRow="0" w:lastRow="0" w:firstColumn="0" w:lastColumn="0" w:oddVBand="0" w:evenVBand="0" w:oddHBand="0" w:evenHBand="0" w:firstRowFirstColumn="0" w:firstRowLastColumn="0" w:lastRowFirstColumn="0" w:lastRowLastColumn="0"/>
            </w:pPr>
            <w:r>
              <w:t>369</w:t>
            </w:r>
          </w:p>
        </w:tc>
      </w:tr>
      <w:tr w:rsidR="00BB6F1F" w:rsidRPr="00C12632" w:rsidTr="00AC68FF">
        <w:tc>
          <w:tcPr>
            <w:cnfStyle w:val="001000000000" w:firstRow="0" w:lastRow="0" w:firstColumn="1" w:lastColumn="0" w:oddVBand="0" w:evenVBand="0" w:oddHBand="0" w:evenHBand="0" w:firstRowFirstColumn="0" w:firstRowLastColumn="0" w:lastRowFirstColumn="0" w:lastRowLastColumn="0"/>
            <w:tcW w:w="3781" w:type="pct"/>
          </w:tcPr>
          <w:p w:rsidR="00BB6F1F" w:rsidRPr="00C12632" w:rsidRDefault="00BB6F1F" w:rsidP="00AC68FF">
            <w:pPr>
              <w:rPr>
                <w:color w:val="000000"/>
              </w:rPr>
            </w:pPr>
            <w:r>
              <w:rPr>
                <w:color w:val="000000"/>
              </w:rPr>
              <w:t>Other long-term benefits</w:t>
            </w:r>
          </w:p>
        </w:tc>
        <w:tc>
          <w:tcPr>
            <w:tcW w:w="1219" w:type="pct"/>
          </w:tcPr>
          <w:p w:rsidR="00BB6F1F" w:rsidRPr="00C12632" w:rsidRDefault="00BB6F1F" w:rsidP="00AC68FF">
            <w:pPr>
              <w:cnfStyle w:val="000000000000" w:firstRow="0" w:lastRow="0" w:firstColumn="0" w:lastColumn="0" w:oddVBand="0" w:evenVBand="0" w:oddHBand="0" w:evenHBand="0" w:firstRowFirstColumn="0" w:firstRowLastColumn="0" w:lastRowFirstColumn="0" w:lastRowLastColumn="0"/>
            </w:pPr>
            <w:r>
              <w:t>..</w:t>
            </w:r>
          </w:p>
        </w:tc>
      </w:tr>
      <w:tr w:rsidR="00BB6F1F" w:rsidRPr="00C12632" w:rsidTr="00AC68FF">
        <w:tc>
          <w:tcPr>
            <w:cnfStyle w:val="001000000000" w:firstRow="0" w:lastRow="0" w:firstColumn="1" w:lastColumn="0" w:oddVBand="0" w:evenVBand="0" w:oddHBand="0" w:evenHBand="0" w:firstRowFirstColumn="0" w:firstRowLastColumn="0" w:lastRowFirstColumn="0" w:lastRowLastColumn="0"/>
            <w:tcW w:w="3781" w:type="pct"/>
            <w:tcBorders>
              <w:bottom w:val="nil"/>
            </w:tcBorders>
          </w:tcPr>
          <w:p w:rsidR="00BB6F1F" w:rsidRPr="00C12632" w:rsidRDefault="00BB6F1F" w:rsidP="00AC68FF">
            <w:pPr>
              <w:rPr>
                <w:color w:val="000000"/>
              </w:rPr>
            </w:pPr>
            <w:r>
              <w:rPr>
                <w:color w:val="000000"/>
              </w:rPr>
              <w:t xml:space="preserve">Termination benefits </w:t>
            </w:r>
          </w:p>
        </w:tc>
        <w:tc>
          <w:tcPr>
            <w:tcW w:w="1219" w:type="pct"/>
            <w:tcBorders>
              <w:bottom w:val="nil"/>
            </w:tcBorders>
          </w:tcPr>
          <w:p w:rsidR="00BB6F1F" w:rsidRPr="00C12632" w:rsidRDefault="00BB6F1F" w:rsidP="00AC68FF">
            <w:pPr>
              <w:cnfStyle w:val="000000000000" w:firstRow="0" w:lastRow="0" w:firstColumn="0" w:lastColumn="0" w:oddVBand="0" w:evenVBand="0" w:oddHBand="0" w:evenHBand="0" w:firstRowFirstColumn="0" w:firstRowLastColumn="0" w:lastRowFirstColumn="0" w:lastRowLastColumn="0"/>
            </w:pPr>
            <w:r>
              <w:t>..</w:t>
            </w:r>
          </w:p>
        </w:tc>
      </w:tr>
      <w:tr w:rsidR="00BB6F1F" w:rsidRPr="00C12632" w:rsidTr="00AC68FF">
        <w:tc>
          <w:tcPr>
            <w:cnfStyle w:val="001000000000" w:firstRow="0" w:lastRow="0" w:firstColumn="1" w:lastColumn="0" w:oddVBand="0" w:evenVBand="0" w:oddHBand="0" w:evenHBand="0" w:firstRowFirstColumn="0" w:firstRowLastColumn="0" w:lastRowFirstColumn="0" w:lastRowLastColumn="0"/>
            <w:tcW w:w="3781" w:type="pct"/>
            <w:tcBorders>
              <w:bottom w:val="single" w:sz="4" w:space="0" w:color="auto"/>
            </w:tcBorders>
          </w:tcPr>
          <w:p w:rsidR="00BB6F1F" w:rsidRPr="00C12632" w:rsidRDefault="00BB6F1F" w:rsidP="00AC68FF">
            <w:pPr>
              <w:rPr>
                <w:color w:val="000000"/>
              </w:rPr>
            </w:pPr>
            <w:r>
              <w:rPr>
                <w:color w:val="000000"/>
              </w:rPr>
              <w:t xml:space="preserve">Share based payments </w:t>
            </w:r>
          </w:p>
        </w:tc>
        <w:tc>
          <w:tcPr>
            <w:tcW w:w="1219" w:type="pct"/>
            <w:tcBorders>
              <w:bottom w:val="single" w:sz="4" w:space="0" w:color="auto"/>
            </w:tcBorders>
          </w:tcPr>
          <w:p w:rsidR="00BB6F1F" w:rsidRPr="00C12632" w:rsidRDefault="00BB6F1F" w:rsidP="00AC68FF">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r>
              <w:t>.</w:t>
            </w:r>
          </w:p>
        </w:tc>
      </w:tr>
      <w:tr w:rsidR="00BB6F1F" w:rsidRPr="00C12632" w:rsidTr="00AC68FF">
        <w:tc>
          <w:tcPr>
            <w:cnfStyle w:val="001000000000" w:firstRow="0" w:lastRow="0" w:firstColumn="1" w:lastColumn="0" w:oddVBand="0" w:evenVBand="0" w:oddHBand="0" w:evenHBand="0" w:firstRowFirstColumn="0" w:firstRowLastColumn="0" w:lastRowFirstColumn="0" w:lastRowLastColumn="0"/>
            <w:tcW w:w="3781" w:type="pct"/>
            <w:tcBorders>
              <w:top w:val="single" w:sz="4" w:space="0" w:color="auto"/>
            </w:tcBorders>
          </w:tcPr>
          <w:p w:rsidR="00BB6F1F" w:rsidRPr="00725D59" w:rsidRDefault="00BB6F1F" w:rsidP="00AC68FF">
            <w:pPr>
              <w:rPr>
                <w:b/>
                <w:color w:val="000000"/>
              </w:rPr>
            </w:pPr>
            <w:r w:rsidRPr="00725D59">
              <w:rPr>
                <w:b/>
                <w:color w:val="000000"/>
              </w:rPr>
              <w:t>Total</w:t>
            </w:r>
          </w:p>
        </w:tc>
        <w:tc>
          <w:tcPr>
            <w:tcW w:w="1219" w:type="pct"/>
            <w:tcBorders>
              <w:top w:val="single" w:sz="4" w:space="0" w:color="auto"/>
            </w:tcBorders>
          </w:tcPr>
          <w:p w:rsidR="00BB6F1F" w:rsidRPr="00725D59" w:rsidRDefault="00BB6F1F" w:rsidP="00AC68FF">
            <w:pPr>
              <w:cnfStyle w:val="000000000000" w:firstRow="0" w:lastRow="0" w:firstColumn="0" w:lastColumn="0" w:oddVBand="0" w:evenVBand="0" w:oddHBand="0" w:evenHBand="0" w:firstRowFirstColumn="0" w:firstRowLastColumn="0" w:lastRowFirstColumn="0" w:lastRowLastColumn="0"/>
              <w:rPr>
                <w:b/>
              </w:rPr>
            </w:pPr>
            <w:r w:rsidRPr="00725D59">
              <w:rPr>
                <w:b/>
              </w:rPr>
              <w:t>8 060</w:t>
            </w:r>
          </w:p>
        </w:tc>
      </w:tr>
    </w:tbl>
    <w:p w:rsidR="00BB6F1F" w:rsidRDefault="00BB6F1F" w:rsidP="00AC68FF">
      <w:pPr>
        <w:pStyle w:val="Note"/>
      </w:pPr>
      <w:r>
        <w:t>Note:</w:t>
      </w:r>
    </w:p>
    <w:p w:rsidR="00BB6F1F" w:rsidRDefault="00BB6F1F" w:rsidP="00AC68FF">
      <w:pPr>
        <w:pStyle w:val="Note"/>
      </w:pPr>
      <w:r>
        <w:t>(a)</w:t>
      </w:r>
      <w:r>
        <w:tab/>
      </w:r>
      <w:r w:rsidRPr="008449A8">
        <w:t>No comparatives have been reported, in accordance with AASB 124</w:t>
      </w:r>
      <w:r>
        <w:t xml:space="preserve"> </w:t>
      </w:r>
      <w:r w:rsidRPr="002619DB">
        <w:rPr>
          <w:i w:val="0"/>
        </w:rPr>
        <w:t>Related Party Disclosures</w:t>
      </w:r>
      <w:r w:rsidRPr="008449A8">
        <w:t xml:space="preserve">. Remuneration of ministers </w:t>
      </w:r>
      <w:r>
        <w:t xml:space="preserve">for 2015-16 </w:t>
      </w:r>
      <w:r w:rsidRPr="008449A8">
        <w:t>is disclosed in note 16 of the Department of Premier and Cabinet’s Annual Report 2015-16</w:t>
      </w:r>
      <w:r>
        <w:t xml:space="preserve">, </w:t>
      </w:r>
      <w:r w:rsidRPr="008449A8">
        <w:t>in line with the basis and definition under FRD 21B</w:t>
      </w:r>
      <w:r>
        <w:t xml:space="preserve"> </w:t>
      </w:r>
      <w:r w:rsidRPr="002619DB">
        <w:rPr>
          <w:i w:val="0"/>
        </w:rPr>
        <w:t>Disclosure of responsible persons, executive officers and other personnel (contractors with significant management responsibilities)</w:t>
      </w:r>
      <w:r>
        <w:rPr>
          <w:i w:val="0"/>
        </w:rPr>
        <w:t xml:space="preserve"> in the financial report.</w:t>
      </w:r>
    </w:p>
    <w:p w:rsidR="00BB6F1F" w:rsidRDefault="00BB6F1F">
      <w:pPr>
        <w:keepLines w:val="0"/>
        <w:rPr>
          <w:rFonts w:asciiTheme="majorHAnsi" w:eastAsiaTheme="majorEastAsia" w:hAnsiTheme="majorHAnsi" w:cstheme="majorBidi"/>
          <w:b/>
          <w:spacing w:val="-2"/>
          <w:sz w:val="26"/>
          <w:szCs w:val="26"/>
        </w:rPr>
      </w:pPr>
      <w:r>
        <w:br w:type="page"/>
      </w:r>
    </w:p>
    <w:p w:rsidR="00BB6F1F" w:rsidRPr="003E42FD" w:rsidRDefault="00BB6F1F" w:rsidP="00BB6F1F">
      <w:pPr>
        <w:pStyle w:val="Heading2"/>
        <w:numPr>
          <w:ilvl w:val="1"/>
          <w:numId w:val="24"/>
        </w:numPr>
      </w:pPr>
      <w:bookmarkStart w:id="99" w:name="_Toc492984972"/>
      <w:r w:rsidRPr="003E42FD">
        <w:lastRenderedPageBreak/>
        <w:t>Subsequent events</w:t>
      </w:r>
      <w:bookmarkEnd w:id="98"/>
      <w:bookmarkEnd w:id="99"/>
    </w:p>
    <w:p w:rsidR="00BB6F1F" w:rsidRPr="007D7730" w:rsidRDefault="00BB6F1F" w:rsidP="00AC68FF">
      <w:r w:rsidRPr="007D7730">
        <w:t>Assets, liabilities, revenues or expenses arise from past transactions or other past events. Adjustments are made to amounts recognised in the financial statements for events, which occur after the reporting period and before the date the statements are authorised for issue, where those events provide information about conditions which existed at the reporting date. If required, note disclosure is made about events that occur between the end of the reporting period and the date the statements are authorised for issue where the events relate to conditions which arose after the reporting period that are considered to be of material interest.</w:t>
      </w:r>
    </w:p>
    <w:p w:rsidR="00BB6F1F" w:rsidRPr="007D7730" w:rsidRDefault="00BB6F1F" w:rsidP="00AC68FF">
      <w:r>
        <w:t>T</w:t>
      </w:r>
      <w:r w:rsidRPr="007D7730">
        <w:t>here are no events that have arisen since 30 June that have significantly affected or may significantly affect the operations, or results, or state of affairs of the State.</w:t>
      </w:r>
    </w:p>
    <w:p w:rsidR="00BB6F1F" w:rsidRPr="003E42FD" w:rsidRDefault="00BB6F1F" w:rsidP="00BB6F1F">
      <w:pPr>
        <w:pStyle w:val="Heading2"/>
        <w:numPr>
          <w:ilvl w:val="1"/>
          <w:numId w:val="24"/>
        </w:numPr>
      </w:pPr>
      <w:bookmarkStart w:id="100" w:name="_Toc462418980"/>
      <w:bookmarkStart w:id="101" w:name="_Toc492984973"/>
      <w:r w:rsidRPr="003E42FD">
        <w:t>Other accounting policies</w:t>
      </w:r>
      <w:bookmarkEnd w:id="100"/>
      <w:bookmarkEnd w:id="101"/>
    </w:p>
    <w:p w:rsidR="00BB6F1F" w:rsidRPr="00E31D88" w:rsidRDefault="00BB6F1F" w:rsidP="00BB6F1F">
      <w:pPr>
        <w:pStyle w:val="Heading3"/>
      </w:pPr>
      <w:r w:rsidRPr="00E31D88">
        <w:t>How leases are accounted for</w:t>
      </w:r>
    </w:p>
    <w:p w:rsidR="00BB6F1F" w:rsidRDefault="00BB6F1F" w:rsidP="00AC68FF">
      <w:r>
        <w:t>A lease is a right to use an asset for an agreed period of time in exchange for payment. Leases are classified at their inception as either operating or finance leases based on the economic substance of the agreement so as to reflect the risks and rewards incidental to ownership. Leases of infrastructure, property, plant and equipment are classified as finance leases whenever the terms of the lease transfer substantially all the risks and rewards of ownership from the lessor to the lessee. All other leases are classified as operating leases.</w:t>
      </w:r>
    </w:p>
    <w:p w:rsidR="00BB6F1F" w:rsidRPr="001B438B" w:rsidRDefault="00BB6F1F" w:rsidP="00AC68FF">
      <w:pPr>
        <w:pStyle w:val="Heading4"/>
      </w:pPr>
      <w:r w:rsidRPr="001B438B">
        <w:t>State as lessor in finance leases</w:t>
      </w:r>
    </w:p>
    <w:p w:rsidR="00BB6F1F" w:rsidRDefault="00BB6F1F" w:rsidP="00AC68FF">
      <w:r>
        <w:t>Amounts due from lessees under finance leases are recorded as receivables. Finance lease receivables are initially recorded at amounts equal to the present value of the minimum lease payments receivable plus the present value of any unguaranteed residual value expected to accrue at the end of the lease term. Finance lease receipts are apportioned between periodic interest revenue and reduction of the lease receivable over the term of the lease in order to reflect a constant periodic rate of return on the net investment outstanding in respect of the lease.</w:t>
      </w:r>
    </w:p>
    <w:p w:rsidR="00BB6F1F" w:rsidRPr="00CA53C0" w:rsidRDefault="00BB6F1F" w:rsidP="00CA53C0">
      <w:pPr>
        <w:pStyle w:val="Heading4"/>
      </w:pPr>
      <w:r w:rsidRPr="00CA53C0">
        <w:lastRenderedPageBreak/>
        <w:t>State as lessee under finance leases</w:t>
      </w:r>
    </w:p>
    <w:p w:rsidR="00BB6F1F" w:rsidRDefault="00BB6F1F" w:rsidP="00CA53C0">
      <w:pPr>
        <w:spacing w:before="160"/>
      </w:pPr>
      <w:r>
        <w:t xml:space="preserve">At the commencement of the lease term, finance leases are initially recognised as assets and liabilities at amounts equal to the fair value of the leased property or, if lower, the present value of the minimum lease payment, each determined at the inception of the lease. The leased asset is accounted for as a non-financial physical asset and depreciated over the shorter of the estimated useful life of the asset or the term of the lease. Minimum finance lease payments are apportioned between the reduction of the outstanding lease liability and the periodic finance expense, which is calculated using the interest rate implicit in the lease and charged directly to the consolidated comprehensive operating statement. </w:t>
      </w:r>
    </w:p>
    <w:p w:rsidR="00BB6F1F" w:rsidRDefault="00BB6F1F" w:rsidP="00AC68FF">
      <w:r>
        <w:t xml:space="preserve">Contingent rentals associated with finance leases are recognised as an expense in the period in which they are incurred. </w:t>
      </w:r>
    </w:p>
    <w:p w:rsidR="00BB6F1F" w:rsidRPr="001B438B" w:rsidRDefault="00BB6F1F" w:rsidP="00AC68FF">
      <w:pPr>
        <w:pStyle w:val="Heading4"/>
      </w:pPr>
      <w:r w:rsidRPr="001B438B">
        <w:t>State as lessor under operating leases</w:t>
      </w:r>
    </w:p>
    <w:p w:rsidR="00BB6F1F" w:rsidRDefault="00BB6F1F" w:rsidP="00AC68FF">
      <w:r>
        <w:t>Rental revenue from operating leases is recognised on a straight line basis over the term of the relevant lease.</w:t>
      </w:r>
    </w:p>
    <w:p w:rsidR="00BB6F1F" w:rsidRDefault="00BB6F1F" w:rsidP="00AC68FF">
      <w:r>
        <w:t>All incentives for the agreement of a new or renewed operating lease are recognised as an integral part of the net consideration agreed for the use of the leased asset, irrespective of the incentive’s nature or form or the timing of payments. In the event that lease incentives are given to the lessee, the aggregate cost of incentives are recognised as a reduction of rental revenue over the lease term on a straight line basis, unless another systematic basis is more representative of the time pattern over which the economic benefit of the leased asset is diminished.</w:t>
      </w:r>
    </w:p>
    <w:p w:rsidR="00BB6F1F" w:rsidRPr="001B438B" w:rsidRDefault="00BB6F1F" w:rsidP="00AC68FF">
      <w:pPr>
        <w:pStyle w:val="Heading4"/>
      </w:pPr>
      <w:r w:rsidRPr="001B438B">
        <w:t>State as lessee under operating leases</w:t>
      </w:r>
    </w:p>
    <w:p w:rsidR="00BB6F1F" w:rsidRDefault="00BB6F1F" w:rsidP="00AC68FF">
      <w:r>
        <w:t>All incentives for the agreement of a new or renewed operating lease are recognised as an integral part of the net consideration agreed for the use of the leased asset, irrespective of the incentive’s nature or form or the timing of payments. In the event that lease incentives are received to enter into operating leases, the aggregate benefit of incentives are recognised as a reduction of rental expense over the lease term on a straight line basis, unless another systematic basis is more representative of the time pattern in which economic benefits from the leased asset are consumed.</w:t>
      </w:r>
    </w:p>
    <w:p w:rsidR="00BB6F1F" w:rsidRPr="00E31D88" w:rsidRDefault="00BB6F1F" w:rsidP="00BB6F1F">
      <w:pPr>
        <w:pStyle w:val="Heading3"/>
      </w:pPr>
      <w:r w:rsidRPr="00E31D88">
        <w:lastRenderedPageBreak/>
        <w:t>Accounting for the goods and services tax</w:t>
      </w:r>
    </w:p>
    <w:p w:rsidR="00BB6F1F" w:rsidRDefault="00BB6F1F" w:rsidP="00AC68FF">
      <w:r>
        <w:t>Revenues, expenses and assets are recognised net of the amount of associated GST, except where the GST incurred is not recoverable from the taxation authority. In this case the GST payable is recognised as part of the cost of acquisition of an asset or part of an item of expense.</w:t>
      </w:r>
    </w:p>
    <w:p w:rsidR="00BB6F1F" w:rsidRDefault="00BB6F1F" w:rsidP="00AC68FF">
      <w:r>
        <w:t>Receivables and payables are stated inclusive of GST receivable or payable. Cash flows are presented on a gross basis. The GST components of cash flows from investing or financing activities are presented as an operating cash flow. Commitments and contingent assets and liabilities are also stated inclusive of GST.</w:t>
      </w:r>
    </w:p>
    <w:p w:rsidR="00BB6F1F" w:rsidRPr="00E31D88" w:rsidRDefault="00BB6F1F" w:rsidP="00BB6F1F">
      <w:pPr>
        <w:pStyle w:val="Heading3"/>
      </w:pPr>
      <w:r w:rsidRPr="00E31D88">
        <w:t>Prospective accounting and reporting changes</w:t>
      </w:r>
    </w:p>
    <w:p w:rsidR="00BB6F1F" w:rsidRDefault="00BB6F1F" w:rsidP="00AC68FF">
      <w:r>
        <w:t>Certain new and revised accounting standards have been issued but are not effective for the 2016</w:t>
      </w:r>
      <w:r>
        <w:noBreakHyphen/>
        <w:t xml:space="preserve">17 reporting period. There is no intention to early adopt these accounting standards and they have not been applied to the </w:t>
      </w:r>
      <w:r>
        <w:rPr>
          <w:i/>
        </w:rPr>
        <w:t>Annual Financial Report</w:t>
      </w:r>
      <w:r>
        <w:t xml:space="preserve">. The State is reviewing its existing policies and assessing the potential implications. These accounting standards include: </w:t>
      </w:r>
    </w:p>
    <w:p w:rsidR="00BB6F1F" w:rsidRDefault="00BB6F1F" w:rsidP="00AC68FF">
      <w:pPr>
        <w:pStyle w:val="ListBullet"/>
      </w:pPr>
      <w:r w:rsidRPr="003E42FD">
        <w:t xml:space="preserve">AASB 9 </w:t>
      </w:r>
      <w:r w:rsidRPr="00300EBA">
        <w:rPr>
          <w:i/>
        </w:rPr>
        <w:t>Financial Instruments</w:t>
      </w:r>
      <w:r w:rsidRPr="003E42FD">
        <w:t>, operative for reporting periods commencing 1 January 2018 as revised by AASB 2014</w:t>
      </w:r>
      <w:r w:rsidRPr="003E42FD">
        <w:noBreakHyphen/>
        <w:t xml:space="preserve">1 </w:t>
      </w:r>
      <w:r w:rsidRPr="00300EBA">
        <w:rPr>
          <w:i/>
        </w:rPr>
        <w:t>Amendments to Australian Accounting Standards</w:t>
      </w:r>
      <w:r w:rsidRPr="003E42FD">
        <w:t xml:space="preserve"> (Part E </w:t>
      </w:r>
      <w:r w:rsidRPr="00300EBA">
        <w:rPr>
          <w:i/>
        </w:rPr>
        <w:t>Financial Instruments</w:t>
      </w:r>
      <w:r w:rsidRPr="003E42FD">
        <w:t xml:space="preserve">). AASB 9 </w:t>
      </w:r>
      <w:r>
        <w:t>simplifies the</w:t>
      </w:r>
      <w:r w:rsidRPr="003E42FD">
        <w:t xml:space="preserve"> requirements for the classification and measurement of financial assets, </w:t>
      </w:r>
      <w:r>
        <w:t xml:space="preserve">introduces </w:t>
      </w:r>
      <w:r w:rsidRPr="003E42FD">
        <w:t>a new hedging accounting model and a</w:t>
      </w:r>
      <w:r>
        <w:t>lso a</w:t>
      </w:r>
      <w:r w:rsidRPr="003E42FD">
        <w:t xml:space="preserve"> revised impairment loss model to recognise impairment losses earlier, as opposed to the current </w:t>
      </w:r>
      <w:r>
        <w:t>requirement to recognise</w:t>
      </w:r>
      <w:r w:rsidRPr="003E42FD">
        <w:t xml:space="preserve"> impairment only when incurred. </w:t>
      </w:r>
    </w:p>
    <w:p w:rsidR="00BB6F1F" w:rsidRPr="003E42FD" w:rsidRDefault="00BB6F1F" w:rsidP="00AC68FF">
      <w:pPr>
        <w:pStyle w:val="ListBullet"/>
      </w:pPr>
      <w:r w:rsidRPr="003E42FD">
        <w:t xml:space="preserve">AASB 15 </w:t>
      </w:r>
      <w:r w:rsidRPr="00300EBA">
        <w:rPr>
          <w:i/>
        </w:rPr>
        <w:t>Revenue from Contracts with Customers</w:t>
      </w:r>
      <w:r w:rsidRPr="003E42FD">
        <w:t>, operative for reporting periods commencing 1 January 2019</w:t>
      </w:r>
      <w:r>
        <w:t xml:space="preserve"> for not-for-profit entities</w:t>
      </w:r>
      <w:r w:rsidRPr="003E42FD">
        <w:t xml:space="preserve">. The core principle of AASB 15 </w:t>
      </w:r>
      <w:r>
        <w:t>is to require</w:t>
      </w:r>
      <w:r w:rsidRPr="003E42FD">
        <w:t xml:space="preserve"> an entity to recognise revenue when the entity satisfies a performance obligation by transferring a promised good or service to a customer. </w:t>
      </w:r>
      <w:r>
        <w:t>The changes in revenue recognition may result in changes to the timing and amount of revenue recognised, but there will be no impact to net debt</w:t>
      </w:r>
      <w:r w:rsidRPr="003E42FD">
        <w:t>.</w:t>
      </w:r>
    </w:p>
    <w:p w:rsidR="00BB6F1F" w:rsidRDefault="00BB6F1F" w:rsidP="00AC68FF">
      <w:pPr>
        <w:pStyle w:val="ListBullet"/>
      </w:pPr>
      <w:r w:rsidRPr="003E42FD">
        <w:t xml:space="preserve">AASB 16 </w:t>
      </w:r>
      <w:r w:rsidRPr="00603631">
        <w:rPr>
          <w:i/>
        </w:rPr>
        <w:t>Leases</w:t>
      </w:r>
      <w:r w:rsidRPr="003E42FD">
        <w:t>, operative for reporting periods beginning from 1 January 2019. The key changes introduced by AASB 16 include the r</w:t>
      </w:r>
      <w:r>
        <w:t xml:space="preserve">equirement to recognise </w:t>
      </w:r>
      <w:r w:rsidRPr="003E42FD">
        <w:t xml:space="preserve">most operating leases on </w:t>
      </w:r>
      <w:r>
        <w:t xml:space="preserve">the </w:t>
      </w:r>
      <w:r w:rsidRPr="003E42FD">
        <w:t>balance sheet</w:t>
      </w:r>
      <w:r>
        <w:t>, which will res</w:t>
      </w:r>
      <w:r w:rsidR="0023258F">
        <w:t>ult in an increase in net debt.</w:t>
      </w:r>
    </w:p>
    <w:p w:rsidR="00BB6F1F" w:rsidRDefault="00BB6F1F" w:rsidP="00AC68FF">
      <w:pPr>
        <w:pStyle w:val="ListBullet"/>
      </w:pPr>
      <w:r w:rsidRPr="003E42FD">
        <w:lastRenderedPageBreak/>
        <w:t xml:space="preserve">Amendments to AASB 136 </w:t>
      </w:r>
      <w:r w:rsidRPr="00603631">
        <w:rPr>
          <w:i/>
        </w:rPr>
        <w:t>Impairment of Assets</w:t>
      </w:r>
      <w:r w:rsidRPr="003E42FD">
        <w:t xml:space="preserve"> are operative for reporting periods commencing 1</w:t>
      </w:r>
      <w:r w:rsidR="00CE0E2F">
        <w:t> </w:t>
      </w:r>
      <w:r w:rsidRPr="003E42FD">
        <w:t xml:space="preserve">January 2017. The key change removes references to depreciated replacement cost (DRC) as a measure of value in use for not-for-profit entities. The State has assessed and determined the impact to be minimal, as the current replacement cost method </w:t>
      </w:r>
      <w:r>
        <w:t xml:space="preserve">is </w:t>
      </w:r>
      <w:r w:rsidRPr="003E42FD">
        <w:t xml:space="preserve">used for </w:t>
      </w:r>
      <w:r>
        <w:t>valuing public sector assets</w:t>
      </w:r>
      <w:r w:rsidRPr="003E42FD">
        <w:t xml:space="preserve"> under AASB 13 </w:t>
      </w:r>
      <w:r w:rsidRPr="0038148A">
        <w:rPr>
          <w:i/>
        </w:rPr>
        <w:t>Fair Value Measurement</w:t>
      </w:r>
      <w:r w:rsidRPr="003E42FD">
        <w:t>.</w:t>
      </w:r>
    </w:p>
    <w:p w:rsidR="00BB6F1F" w:rsidRDefault="00BB6F1F" w:rsidP="00AC68FF">
      <w:pPr>
        <w:pStyle w:val="ListBullet"/>
      </w:pPr>
      <w:r>
        <w:t xml:space="preserve">AASB 1058 </w:t>
      </w:r>
      <w:r>
        <w:rPr>
          <w:i/>
        </w:rPr>
        <w:t>Income of Not-for-Profit Entities</w:t>
      </w:r>
      <w:r>
        <w:t xml:space="preserve">, operative for reporting periods commencing 1 January 2019. This standard will replace AASB 1004 </w:t>
      </w:r>
      <w:r>
        <w:rPr>
          <w:i/>
        </w:rPr>
        <w:t>Contributions</w:t>
      </w:r>
      <w:r>
        <w:t xml:space="preserve"> and establishes revenue recognition principles for transactions where the consideration to acquire an asset is significantly less than fair value to enable not-for-profit entities to further their objectives. Under AASB 1058, revenue from capital grants that are provided under an enforceable agreement that have sufficiently specific obligations, will now be deferred and recognised as the performance obligations are satisfied. </w:t>
      </w:r>
    </w:p>
    <w:p w:rsidR="00BB6F1F" w:rsidRPr="003E42FD" w:rsidRDefault="00BB6F1F" w:rsidP="00AC68FF">
      <w:pPr>
        <w:pStyle w:val="ListBullet"/>
      </w:pPr>
      <w:r>
        <w:t xml:space="preserve">AASB 1059 </w:t>
      </w:r>
      <w:r>
        <w:rPr>
          <w:i/>
        </w:rPr>
        <w:t>Service Concession Arrangements: Grantors</w:t>
      </w:r>
      <w:r>
        <w:t xml:space="preserve">, operative for reporting periods commencing 1 January 2019. This standard prescribes the accounting treatment for public private partnership (PPP) arrangements involving a private sector operator providing public services related to a service concession asset on behalf of the State, for a specified period of time. For social infrastructure PPP arrangements, this would result in an earlier recognition of financial liabilities (increase in net debt) progressively over the construction period rather than at completion date. For economic infrastructure PPP arrangements, that were previously not on the balance sheet, the standard will require recognition of these arrangements on-balance sheet, but will continue to have no impact to net debt consistent with the current accounting treatment.  </w:t>
      </w:r>
    </w:p>
    <w:p w:rsidR="00BB6F1F" w:rsidRDefault="00BB6F1F" w:rsidP="00AC68FF">
      <w:r w:rsidRPr="00BC1440">
        <w:t>Several other amending standards and AASB interpretations have been issued that apply to future reporting periods</w:t>
      </w:r>
      <w:r>
        <w:t>, but are considered to have limited impact on public sector reporting.</w:t>
      </w:r>
    </w:p>
    <w:p w:rsidR="00BB6F1F" w:rsidRDefault="00BB6F1F" w:rsidP="00AC68FF">
      <w:pPr>
        <w:sectPr w:rsidR="00BB6F1F" w:rsidSect="00AC68FF">
          <w:headerReference w:type="even" r:id="rId150"/>
          <w:headerReference w:type="default" r:id="rId151"/>
          <w:footerReference w:type="even" r:id="rId152"/>
          <w:footerReference w:type="default" r:id="rId153"/>
          <w:pgSz w:w="11906" w:h="16838" w:code="9"/>
          <w:pgMar w:top="1134" w:right="1134" w:bottom="1134" w:left="1134" w:header="624" w:footer="567" w:gutter="0"/>
          <w:cols w:num="2" w:space="708"/>
          <w:docGrid w:linePitch="360"/>
        </w:sectPr>
      </w:pPr>
      <w:r>
        <w:t>The</w:t>
      </w:r>
      <w:r w:rsidRPr="00B77107">
        <w:t xml:space="preserve"> Australian Bureau of Statistics (ABS) </w:t>
      </w:r>
      <w:r>
        <w:t>r</w:t>
      </w:r>
      <w:r w:rsidRPr="00B77107">
        <w:t xml:space="preserve">eleased a new manual, </w:t>
      </w:r>
      <w:r w:rsidRPr="00344A79">
        <w:rPr>
          <w:i/>
        </w:rPr>
        <w:t xml:space="preserve">Australian System of Government Finance Statistics: Concepts, Sources and Methods 2015 </w:t>
      </w:r>
      <w:r>
        <w:t>on 23 </w:t>
      </w:r>
      <w:r w:rsidRPr="00472541">
        <w:t>December 2015</w:t>
      </w:r>
      <w:r>
        <w:t>. For the purpose of financial reporting under AASB 1049, the new manual will apply for reporting periods beginning from 1 July 2018. The State will assess the potential reporting implications of the amendments.</w:t>
      </w:r>
    </w:p>
    <w:p w:rsidR="00BB6F1F" w:rsidRPr="00E83A5A" w:rsidRDefault="00BB6F1F" w:rsidP="00BB6F1F">
      <w:pPr>
        <w:pStyle w:val="Heading2"/>
        <w:numPr>
          <w:ilvl w:val="1"/>
          <w:numId w:val="24"/>
        </w:numPr>
        <w:spacing w:before="0"/>
      </w:pPr>
      <w:bookmarkStart w:id="102" w:name="_Toc462418981"/>
      <w:bookmarkStart w:id="103" w:name="_Toc492984974"/>
      <w:r w:rsidRPr="00E83A5A">
        <w:lastRenderedPageBreak/>
        <w:t>Controlled entities</w:t>
      </w:r>
      <w:bookmarkEnd w:id="102"/>
      <w:bookmarkEnd w:id="103"/>
    </w:p>
    <w:p w:rsidR="00BB6F1F" w:rsidRDefault="00BB6F1F" w:rsidP="00AC68FF">
      <w:pPr>
        <w:spacing w:before="0"/>
        <w:sectPr w:rsidR="00BB6F1F" w:rsidSect="00AC68FF">
          <w:headerReference w:type="even" r:id="rId154"/>
          <w:headerReference w:type="default" r:id="rId155"/>
          <w:footerReference w:type="even" r:id="rId156"/>
          <w:footerReference w:type="default" r:id="rId157"/>
          <w:pgSz w:w="11907" w:h="16839" w:code="9"/>
          <w:pgMar w:top="1134" w:right="1134" w:bottom="1134" w:left="1134" w:header="624" w:footer="567" w:gutter="0"/>
          <w:cols w:sep="1" w:space="567"/>
          <w:docGrid w:linePitch="360"/>
        </w:sectPr>
      </w:pPr>
    </w:p>
    <w:p w:rsidR="00BB6F1F" w:rsidRDefault="00BB6F1F" w:rsidP="00AC68FF">
      <w:r w:rsidRPr="00002CA0">
        <w:lastRenderedPageBreak/>
        <w:t xml:space="preserve">The table </w:t>
      </w:r>
      <w:r>
        <w:t xml:space="preserve">below </w:t>
      </w:r>
      <w:r w:rsidRPr="00002CA0">
        <w:t>contain</w:t>
      </w:r>
      <w:r>
        <w:t>s</w:t>
      </w:r>
      <w:r w:rsidRPr="00002CA0">
        <w:t xml:space="preserve"> a list of significant controlled entities which have been consolidated for the purposes of the financial report. Unless otherwise noted below, all such entities are wholly</w:t>
      </w:r>
      <w:r>
        <w:t>-</w:t>
      </w:r>
      <w:r w:rsidRPr="00002CA0">
        <w:t>owned.</w:t>
      </w:r>
      <w:r>
        <w:t xml:space="preserve"> The entities below may include additional consolidated entities, for which only the parent entity has been listed.</w:t>
      </w:r>
    </w:p>
    <w:p w:rsidR="00BB6F1F" w:rsidRDefault="00BB6F1F" w:rsidP="00AC68FF">
      <w:pPr>
        <w:spacing w:after="120"/>
      </w:pPr>
      <w:r w:rsidRPr="00865C24">
        <w:lastRenderedPageBreak/>
        <w:t xml:space="preserve">The principal activities of the controlled entities reflect the three sectors of government they are within as set out in </w:t>
      </w:r>
      <w:r>
        <w:t xml:space="preserve">the reporting structure under </w:t>
      </w:r>
      <w:r w:rsidRPr="00FD13C0">
        <w:t>public sector terms explained (refer to page 24).</w:t>
      </w:r>
      <w:r>
        <w:t xml:space="preserve"> Further, </w:t>
      </w:r>
      <w:r w:rsidRPr="00FD13C0">
        <w:t>Note 3.6 Government purpose classification</w:t>
      </w:r>
      <w:r>
        <w:t xml:space="preserve"> reflects the broad objectives of these controlled entities.</w:t>
      </w:r>
    </w:p>
    <w:p w:rsidR="00BB6F1F" w:rsidRDefault="00BB6F1F" w:rsidP="00AC68FF">
      <w:pPr>
        <w:sectPr w:rsidR="00BB6F1F" w:rsidSect="00AC68FF">
          <w:type w:val="continuous"/>
          <w:pgSz w:w="11907" w:h="16839" w:code="9"/>
          <w:pgMar w:top="1134" w:right="1134" w:bottom="1134" w:left="1134" w:header="624" w:footer="567" w:gutter="0"/>
          <w:cols w:num="2" w:space="567"/>
          <w:docGrid w:linePitch="360"/>
        </w:sectPr>
      </w:pPr>
    </w:p>
    <w:p w:rsidR="00BB6F1F" w:rsidRDefault="00BB6F1F" w:rsidP="00AC68FF"/>
    <w:tbl>
      <w:tblPr>
        <w:tblStyle w:val="DTFTable"/>
        <w:tblW w:w="5000" w:type="pct"/>
        <w:tblInd w:w="0" w:type="dxa"/>
        <w:tblCellMar>
          <w:left w:w="113" w:type="dxa"/>
          <w:right w:w="198" w:type="dxa"/>
        </w:tblCellMar>
        <w:tblLook w:val="0680" w:firstRow="0" w:lastRow="0" w:firstColumn="1" w:lastColumn="0" w:noHBand="1" w:noVBand="1"/>
      </w:tblPr>
      <w:tblGrid>
        <w:gridCol w:w="3316"/>
        <w:gridCol w:w="3315"/>
        <w:gridCol w:w="3319"/>
      </w:tblGrid>
      <w:tr w:rsidR="00BB6F1F" w:rsidRPr="0029647E" w:rsidTr="00AC68FF">
        <w:trPr>
          <w:trHeight w:val="17"/>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tcPr>
          <w:p w:rsidR="00BB6F1F" w:rsidRPr="0029647E" w:rsidRDefault="00BB6F1F" w:rsidP="00AC68FF">
            <w:pPr>
              <w:pStyle w:val="ControlledEntitiesSector"/>
            </w:pPr>
            <w:r w:rsidRPr="0029647E">
              <w:t>General government</w:t>
            </w:r>
          </w:p>
        </w:tc>
      </w:tr>
      <w:tr w:rsidR="00BB6F1F" w:rsidRPr="0029647E" w:rsidTr="00AC68FF">
        <w:trPr>
          <w:cantSplit w:val="0"/>
        </w:trPr>
        <w:tc>
          <w:tcPr>
            <w:cnfStyle w:val="001000000000" w:firstRow="0" w:lastRow="0" w:firstColumn="1" w:lastColumn="0" w:oddVBand="0" w:evenVBand="0" w:oddHBand="0" w:evenHBand="0" w:firstRowFirstColumn="0" w:firstRowLastColumn="0" w:lastRowFirstColumn="0" w:lastRowLastColumn="0"/>
            <w:tcW w:w="1666" w:type="pct"/>
            <w:tcBorders>
              <w:bottom w:val="nil"/>
            </w:tcBorders>
          </w:tcPr>
          <w:p w:rsidR="00BB6F1F" w:rsidRDefault="00BB6F1F" w:rsidP="00AC68FF">
            <w:pPr>
              <w:pStyle w:val="ControlledEntitiesDepartment"/>
            </w:pPr>
            <w:r>
              <w:t>Department of Education and Training</w:t>
            </w:r>
          </w:p>
          <w:p w:rsidR="00BB6F1F" w:rsidRDefault="00BB6F1F" w:rsidP="00AC68FF">
            <w:r>
              <w:t>Adult Community and Further Education Board</w:t>
            </w:r>
          </w:p>
          <w:p w:rsidR="00BB6F1F" w:rsidRDefault="00BB6F1F" w:rsidP="00AC68FF">
            <w:r>
              <w:t>Adult Multicultural Education Services</w:t>
            </w:r>
          </w:p>
          <w:p w:rsidR="00BB6F1F" w:rsidRDefault="00BB6F1F" w:rsidP="00AC68FF">
            <w:r>
              <w:t>International Fibre Centre Limited</w:t>
            </w:r>
          </w:p>
          <w:p w:rsidR="00BB6F1F" w:rsidRDefault="00BB6F1F" w:rsidP="00AC68FF">
            <w:r>
              <w:t>TAFEs including:</w:t>
            </w:r>
          </w:p>
          <w:p w:rsidR="00BB6F1F" w:rsidRDefault="00BB6F1F" w:rsidP="00BB6F1F">
            <w:pPr>
              <w:pStyle w:val="ListBullet"/>
              <w:spacing w:before="20"/>
              <w:ind w:left="170" w:hanging="170"/>
            </w:pPr>
            <w:r>
              <w:t xml:space="preserve">Bendigo </w:t>
            </w:r>
            <w:proofErr w:type="spellStart"/>
            <w:r>
              <w:t>Kangan</w:t>
            </w:r>
            <w:proofErr w:type="spellEnd"/>
            <w:r>
              <w:t xml:space="preserve"> Institute</w:t>
            </w:r>
          </w:p>
          <w:p w:rsidR="00BB6F1F" w:rsidRDefault="00BB6F1F" w:rsidP="00BB6F1F">
            <w:pPr>
              <w:pStyle w:val="ListBullet"/>
              <w:spacing w:before="20"/>
              <w:ind w:left="170" w:hanging="170"/>
            </w:pPr>
            <w:r>
              <w:t xml:space="preserve">Box Hill Institute </w:t>
            </w:r>
          </w:p>
          <w:p w:rsidR="00BB6F1F" w:rsidRDefault="00BB6F1F" w:rsidP="00BB6F1F">
            <w:pPr>
              <w:pStyle w:val="ListBullet"/>
              <w:spacing w:before="20"/>
              <w:ind w:left="170" w:hanging="170"/>
            </w:pPr>
            <w:r>
              <w:t xml:space="preserve">Chisholm Institute </w:t>
            </w:r>
          </w:p>
          <w:p w:rsidR="00BB6F1F" w:rsidRDefault="00BB6F1F" w:rsidP="00BB6F1F">
            <w:pPr>
              <w:pStyle w:val="ListBullet"/>
              <w:spacing w:before="20"/>
              <w:ind w:left="170" w:hanging="170"/>
            </w:pPr>
            <w:r>
              <w:t>Federation Training</w:t>
            </w:r>
          </w:p>
          <w:p w:rsidR="00BB6F1F" w:rsidRDefault="00BB6F1F" w:rsidP="00BB6F1F">
            <w:pPr>
              <w:pStyle w:val="ListBullet"/>
              <w:spacing w:before="20"/>
              <w:ind w:left="170" w:hanging="170"/>
            </w:pPr>
            <w:r>
              <w:t>Gordon Institute of TAFE</w:t>
            </w:r>
          </w:p>
          <w:p w:rsidR="00BB6F1F" w:rsidRDefault="00BB6F1F" w:rsidP="00BB6F1F">
            <w:pPr>
              <w:pStyle w:val="ListBullet"/>
              <w:spacing w:before="20"/>
              <w:ind w:left="170" w:hanging="170"/>
            </w:pPr>
            <w:r>
              <w:t>Goulburn Ovens Institute of TAFE</w:t>
            </w:r>
          </w:p>
          <w:p w:rsidR="00BB6F1F" w:rsidRDefault="00BB6F1F" w:rsidP="00BB6F1F">
            <w:pPr>
              <w:pStyle w:val="ListBullet"/>
              <w:spacing w:before="20"/>
              <w:ind w:left="170" w:hanging="170"/>
            </w:pPr>
            <w:r>
              <w:t xml:space="preserve">Holmesglen Institute </w:t>
            </w:r>
          </w:p>
          <w:p w:rsidR="00BB6F1F" w:rsidRDefault="00BB6F1F" w:rsidP="00BB6F1F">
            <w:pPr>
              <w:pStyle w:val="ListBullet"/>
              <w:spacing w:before="20"/>
              <w:ind w:left="170" w:hanging="170"/>
            </w:pPr>
            <w:r>
              <w:t>Melbourne Polytechnic</w:t>
            </w:r>
          </w:p>
          <w:p w:rsidR="00BB6F1F" w:rsidRDefault="00BB6F1F" w:rsidP="00BB6F1F">
            <w:pPr>
              <w:pStyle w:val="ListBullet"/>
              <w:spacing w:before="20"/>
              <w:ind w:left="170" w:hanging="170"/>
            </w:pPr>
            <w:r>
              <w:t>South West Institute of TAFE</w:t>
            </w:r>
          </w:p>
          <w:p w:rsidR="00BB6F1F" w:rsidRDefault="00BB6F1F" w:rsidP="00BB6F1F">
            <w:pPr>
              <w:pStyle w:val="ListBullet"/>
              <w:spacing w:before="20"/>
              <w:ind w:left="170" w:hanging="170"/>
            </w:pPr>
            <w:proofErr w:type="spellStart"/>
            <w:r>
              <w:t>Sunraysia</w:t>
            </w:r>
            <w:proofErr w:type="spellEnd"/>
            <w:r>
              <w:t xml:space="preserve"> Institute of TAFE</w:t>
            </w:r>
          </w:p>
          <w:p w:rsidR="00BB6F1F" w:rsidRDefault="00BB6F1F" w:rsidP="00BB6F1F">
            <w:pPr>
              <w:pStyle w:val="ListBullet"/>
              <w:spacing w:before="20"/>
              <w:ind w:left="170" w:hanging="170"/>
            </w:pPr>
            <w:r>
              <w:t>William Angliss Institute of TAFE</w:t>
            </w:r>
          </w:p>
          <w:p w:rsidR="00BB6F1F" w:rsidRDefault="00BB6F1F" w:rsidP="00BB6F1F">
            <w:pPr>
              <w:pStyle w:val="ListBullet"/>
              <w:spacing w:before="20"/>
              <w:ind w:left="170" w:hanging="170"/>
            </w:pPr>
            <w:r>
              <w:t xml:space="preserve">Wodonga Institute of TAFE </w:t>
            </w:r>
          </w:p>
          <w:p w:rsidR="00BB6F1F" w:rsidRDefault="00BB6F1F" w:rsidP="00AC68FF">
            <w:r>
              <w:t>Victorian Curriculum and Assessment Authority</w:t>
            </w:r>
          </w:p>
          <w:p w:rsidR="00BB6F1F" w:rsidRDefault="00BB6F1F" w:rsidP="00AC68FF">
            <w:r>
              <w:t>Victorian Institute of Teaching</w:t>
            </w:r>
          </w:p>
          <w:p w:rsidR="00BB6F1F" w:rsidRDefault="00BB6F1F" w:rsidP="00AC68FF">
            <w:r>
              <w:t>Victorian Registration and Qualifications Authority</w:t>
            </w:r>
          </w:p>
          <w:p w:rsidR="00BB6F1F" w:rsidRDefault="00BB6F1F" w:rsidP="00BC5BCC">
            <w:pPr>
              <w:pStyle w:val="ControlledEntitiesDepartment"/>
              <w:ind w:left="0" w:firstLine="0"/>
            </w:pPr>
            <w:r>
              <w:t>Department of Environment, Land, Water and Planning</w:t>
            </w:r>
          </w:p>
          <w:p w:rsidR="00BB6F1F" w:rsidRDefault="00BB6F1F" w:rsidP="00AC68FF">
            <w:r>
              <w:t>Architects Registration Board of Victoria</w:t>
            </w:r>
          </w:p>
          <w:p w:rsidR="00BB6F1F" w:rsidRDefault="00BB6F1F" w:rsidP="0023258F">
            <w:pPr>
              <w:ind w:left="0" w:firstLine="0"/>
            </w:pPr>
            <w:r>
              <w:t>Catchment Management Authorities including:</w:t>
            </w:r>
          </w:p>
          <w:p w:rsidR="00BB6F1F" w:rsidRDefault="00BB6F1F" w:rsidP="00BB6F1F">
            <w:pPr>
              <w:pStyle w:val="ListBullet"/>
              <w:spacing w:before="20"/>
              <w:ind w:left="170" w:hanging="170"/>
            </w:pPr>
            <w:r>
              <w:t>Corangamite Catchment Management Authority</w:t>
            </w:r>
          </w:p>
          <w:p w:rsidR="00BB6F1F" w:rsidRDefault="00BB6F1F" w:rsidP="00BB6F1F">
            <w:pPr>
              <w:pStyle w:val="ListBullet"/>
              <w:spacing w:before="20"/>
              <w:ind w:left="170" w:hanging="170"/>
            </w:pPr>
            <w:r>
              <w:t>East Gippsland Catchment Management Authority</w:t>
            </w:r>
          </w:p>
          <w:p w:rsidR="00BB6F1F" w:rsidRDefault="00BB6F1F" w:rsidP="00BB6F1F">
            <w:pPr>
              <w:pStyle w:val="ListBullet"/>
              <w:spacing w:before="20"/>
              <w:ind w:left="170" w:hanging="170"/>
            </w:pPr>
            <w:r>
              <w:t>Glenelg Hopkins Catchment Management Authority</w:t>
            </w:r>
          </w:p>
          <w:p w:rsidR="00BB6F1F" w:rsidRDefault="00BB6F1F" w:rsidP="00BB6F1F">
            <w:pPr>
              <w:pStyle w:val="ListBullet"/>
              <w:spacing w:before="20"/>
              <w:ind w:left="170" w:hanging="170"/>
            </w:pPr>
            <w:r>
              <w:t>Goulburn Broken Catchment Management Authority</w:t>
            </w:r>
          </w:p>
          <w:p w:rsidR="00BB6F1F" w:rsidRDefault="00BB6F1F" w:rsidP="00BB6F1F">
            <w:pPr>
              <w:pStyle w:val="ListBullet"/>
              <w:spacing w:before="20"/>
              <w:ind w:left="170" w:hanging="170"/>
            </w:pPr>
            <w:r>
              <w:t>Mallee Catchment Management Authority</w:t>
            </w:r>
          </w:p>
          <w:p w:rsidR="00BB6F1F" w:rsidRDefault="00BB6F1F" w:rsidP="00BB6F1F">
            <w:pPr>
              <w:pStyle w:val="ListBullet"/>
              <w:spacing w:before="20"/>
              <w:ind w:left="170" w:hanging="170"/>
            </w:pPr>
            <w:r>
              <w:t>North Central Catchment Management Authority</w:t>
            </w:r>
          </w:p>
          <w:p w:rsidR="00BB6F1F" w:rsidRDefault="00BB6F1F" w:rsidP="00BB6F1F">
            <w:pPr>
              <w:pStyle w:val="ListBullet"/>
              <w:spacing w:before="20"/>
              <w:ind w:left="170" w:hanging="170"/>
            </w:pPr>
            <w:r>
              <w:t>North East Catchment Management Authority</w:t>
            </w:r>
          </w:p>
          <w:p w:rsidR="00BB6F1F" w:rsidRDefault="00BB6F1F" w:rsidP="00BB6F1F">
            <w:pPr>
              <w:pStyle w:val="ListBullet"/>
              <w:spacing w:before="20"/>
              <w:ind w:left="170" w:hanging="170"/>
            </w:pPr>
            <w:r>
              <w:t>Port Phillip and Westernport Catchment Management Authority</w:t>
            </w:r>
          </w:p>
          <w:p w:rsidR="00BB6F1F" w:rsidRDefault="00BB6F1F" w:rsidP="00BB6F1F">
            <w:pPr>
              <w:pStyle w:val="ListBullet"/>
              <w:spacing w:before="20"/>
              <w:ind w:left="170" w:hanging="170"/>
            </w:pPr>
            <w:r>
              <w:t>West Gippsland Catchment Management Authority</w:t>
            </w:r>
          </w:p>
          <w:p w:rsidR="00BB6F1F" w:rsidRPr="0029647E" w:rsidRDefault="00BB6F1F" w:rsidP="00BB6F1F">
            <w:pPr>
              <w:pStyle w:val="ListBullet"/>
              <w:spacing w:before="20"/>
              <w:ind w:left="170" w:hanging="170"/>
            </w:pPr>
            <w:r>
              <w:t>Wimmera Catchment Management Authority</w:t>
            </w:r>
          </w:p>
        </w:tc>
        <w:tc>
          <w:tcPr>
            <w:tcW w:w="1666" w:type="pct"/>
            <w:tcBorders>
              <w:bottom w:val="nil"/>
            </w:tcBorders>
          </w:tcPr>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t>Dhelkunya</w:t>
            </w:r>
            <w:proofErr w:type="spellEnd"/>
            <w:r>
              <w:t xml:space="preserve"> </w:t>
            </w:r>
            <w:proofErr w:type="spellStart"/>
            <w:r>
              <w:t>Dja</w:t>
            </w:r>
            <w:proofErr w:type="spellEnd"/>
            <w:r>
              <w:t xml:space="preserve"> Land Management Board</w:t>
            </w:r>
          </w:p>
          <w:p w:rsidR="00BB6F1F" w:rsidRPr="006B047C"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 xml:space="preserve">Energy Safe Victoria </w:t>
            </w:r>
            <w:r>
              <w:rPr>
                <w:vertAlign w:val="superscript"/>
              </w:rPr>
              <w:t>(a)</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Environment Protection Authority</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t>Gunaikurnai</w:t>
            </w:r>
            <w:proofErr w:type="spellEnd"/>
            <w:r>
              <w:t xml:space="preserve"> Traditional Owner Land Management</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Heritage Council of Victoria</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Office of the Commissioner for Environmental Sustainability</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Parks Victoria</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Royal Botanic Gardens Board Victoria</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Surveyors Registration Board of Victoria</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Sustainability Victoria</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Trust for Nature (Victoria)</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Building Authority</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Environmental Water Holder</w:t>
            </w:r>
          </w:p>
          <w:p w:rsidR="00BB6F1F" w:rsidRPr="006B047C"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 xml:space="preserve">Victorian Planning Authority </w:t>
            </w:r>
            <w:r>
              <w:rPr>
                <w:vertAlign w:val="superscript"/>
              </w:rPr>
              <w:t>(b)</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Yorta </w:t>
            </w:r>
            <w:proofErr w:type="spellStart"/>
            <w:r>
              <w:t>Yorta</w:t>
            </w:r>
            <w:proofErr w:type="spellEnd"/>
            <w:r>
              <w:t xml:space="preserve"> Traditional Owner Land Management Board</w:t>
            </w:r>
          </w:p>
          <w:p w:rsidR="00BB6F1F" w:rsidRDefault="00BB6F1F"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Department of Health and Human Services</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Commission for Children and Young People</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Health Purchasing Victoria</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Hospitals, Health and Ambulance Services including:</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Albury Wodonga Health </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Alexandra District Health </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Alfred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Alpine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Ambulance Victoria</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Austin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Bairnsdale Regional Health Service</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Ballarat Health Services</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Barwon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Bass Coast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Beaufort and Skipton Health Service</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Beechworth Health Service</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Benalla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Bendigo Health Care Group</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Boort District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Casterton Memorial Hospital</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Castlemaine Health </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Central Gippsland Health Service</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Cobram District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Cohuna District Hospital</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Colac Area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Corryong Health</w:t>
            </w:r>
            <w:r>
              <w:rPr>
                <w:vertAlign w:val="superscript"/>
              </w:rPr>
              <w:t xml:space="preserve"> (c)</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Dental Health Services Victoria</w:t>
            </w:r>
          </w:p>
          <w:p w:rsidR="00BB6F1F" w:rsidRPr="0029647E" w:rsidRDefault="00BB6F1F" w:rsidP="00AC68FF">
            <w:pPr>
              <w:pStyle w:val="ListBullet"/>
              <w:numPr>
                <w:ilvl w:val="0"/>
                <w:numId w:val="0"/>
              </w:numPr>
              <w:spacing w:before="20"/>
              <w:ind w:left="170"/>
              <w:jc w:val="center"/>
              <w:cnfStyle w:val="000000000000" w:firstRow="0" w:lastRow="0" w:firstColumn="0" w:lastColumn="0" w:oddVBand="0" w:evenVBand="0" w:oddHBand="0" w:evenHBand="0" w:firstRowFirstColumn="0" w:firstRowLastColumn="0" w:lastRowFirstColumn="0" w:lastRowLastColumn="0"/>
            </w:pPr>
          </w:p>
        </w:tc>
        <w:tc>
          <w:tcPr>
            <w:tcW w:w="1668" w:type="pct"/>
            <w:tcBorders>
              <w:bottom w:val="nil"/>
            </w:tcBorders>
          </w:tcPr>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t>Djerriwarrh</w:t>
            </w:r>
            <w:proofErr w:type="spellEnd"/>
            <w:r>
              <w:t xml:space="preserve"> Health Services</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East Grampians Health Service</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East Wimmera Health Service</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Eastern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Echuca Regional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Edenhope and District Memorial Hospital</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Gippsland Southern Health Service</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Goulburn Valley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Heathcote Health </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Hepburn Health Service</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Hesse Rural Health Service</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Heywood Rural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Inglewood and Districts Health Service</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Kerang District Health </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Kooweerup Regional Health Service</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Kyabram and District Health Services</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Kyneton District Health Service</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Latrobe Regional Hospital</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Lorne Community Hospital</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Maldon Hospital</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Mallee Track Health and Community Service</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Mansfield District Hospital </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Maryborough District Health Service</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Melbourne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Monash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Moyne Health Services</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Nathalia District Hospital</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Northeast Health Wangaratta</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Northern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Numurkah District Health Service</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Omeo District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Orbost Regional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Otway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Peninsula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Peter </w:t>
            </w:r>
            <w:proofErr w:type="spellStart"/>
            <w:r>
              <w:t>MacCallum</w:t>
            </w:r>
            <w:proofErr w:type="spellEnd"/>
            <w:r>
              <w:t xml:space="preserve"> Cancer Institute</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Portland District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Robinvale District Health Services</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Rochester and Elmore District Health Service</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Rural Northwest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Seymour Health</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South Gippsland Hospital</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South West Healthcare</w:t>
            </w:r>
          </w:p>
          <w:p w:rsidR="00BB6F1F"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Stawell Regional Health</w:t>
            </w:r>
          </w:p>
          <w:p w:rsidR="00BB6F1F" w:rsidRPr="0029647E" w:rsidRDefault="00BB6F1F"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Swan Hill District Health</w:t>
            </w:r>
          </w:p>
        </w:tc>
      </w:tr>
      <w:tr w:rsidR="00BB6F1F" w:rsidRPr="0029647E" w:rsidTr="00AC68FF">
        <w:trPr>
          <w:trHeight w:val="1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tcBorders>
          </w:tcPr>
          <w:p w:rsidR="00BB6F1F" w:rsidRPr="0029647E" w:rsidRDefault="00BB6F1F" w:rsidP="00AC68FF">
            <w:pPr>
              <w:pStyle w:val="ControlledEntitiesSector"/>
              <w:pageBreakBefore/>
            </w:pPr>
            <w:r w:rsidRPr="0029647E">
              <w:lastRenderedPageBreak/>
              <w:t>General government</w:t>
            </w:r>
            <w:r>
              <w:t xml:space="preserve"> (continued)</w:t>
            </w:r>
          </w:p>
        </w:tc>
      </w:tr>
      <w:tr w:rsidR="00BB6F1F" w:rsidRPr="0029647E" w:rsidTr="00AC68FF">
        <w:tc>
          <w:tcPr>
            <w:cnfStyle w:val="001000000000" w:firstRow="0" w:lastRow="0" w:firstColumn="1" w:lastColumn="0" w:oddVBand="0" w:evenVBand="0" w:oddHBand="0" w:evenHBand="0" w:firstRowFirstColumn="0" w:firstRowLastColumn="0" w:lastRowFirstColumn="0" w:lastRowLastColumn="0"/>
            <w:tcW w:w="1666" w:type="pct"/>
          </w:tcPr>
          <w:p w:rsidR="00BB6F1F" w:rsidRDefault="00BB6F1F" w:rsidP="00BB6F1F">
            <w:pPr>
              <w:pStyle w:val="ListBullet"/>
              <w:spacing w:before="20"/>
              <w:ind w:left="170" w:hanging="170"/>
            </w:pPr>
            <w:r>
              <w:t>Tallangatta Health Service</w:t>
            </w:r>
          </w:p>
          <w:p w:rsidR="00BB6F1F" w:rsidRDefault="00BB6F1F" w:rsidP="00BB6F1F">
            <w:pPr>
              <w:pStyle w:val="ListBullet"/>
              <w:spacing w:before="20"/>
              <w:ind w:left="170" w:hanging="170"/>
            </w:pPr>
            <w:r>
              <w:t>Terang and Mortlake Health Service</w:t>
            </w:r>
          </w:p>
          <w:p w:rsidR="00BB6F1F" w:rsidRDefault="00BB6F1F" w:rsidP="00BB6F1F">
            <w:pPr>
              <w:pStyle w:val="ListBullet"/>
              <w:spacing w:before="20"/>
              <w:ind w:left="170" w:hanging="170"/>
            </w:pPr>
            <w:r>
              <w:t>The Kilmore and District Hospital</w:t>
            </w:r>
          </w:p>
          <w:p w:rsidR="00BB6F1F" w:rsidRDefault="00BB6F1F" w:rsidP="00BB6F1F">
            <w:pPr>
              <w:pStyle w:val="ListBullet"/>
              <w:spacing w:before="20"/>
              <w:ind w:left="170" w:hanging="170"/>
            </w:pPr>
            <w:r>
              <w:t>The Royal Children’s Hospital</w:t>
            </w:r>
          </w:p>
          <w:p w:rsidR="00BB6F1F" w:rsidRDefault="00BB6F1F" w:rsidP="00BB6F1F">
            <w:pPr>
              <w:pStyle w:val="ListBullet"/>
              <w:spacing w:before="20"/>
              <w:ind w:left="170" w:hanging="170"/>
            </w:pPr>
            <w:r>
              <w:t>The Royal Victorian Eye and Ear Hospital</w:t>
            </w:r>
          </w:p>
          <w:p w:rsidR="00BB6F1F" w:rsidRDefault="00BB6F1F" w:rsidP="00BB6F1F">
            <w:pPr>
              <w:pStyle w:val="ListBullet"/>
              <w:spacing w:before="20"/>
              <w:ind w:left="170" w:hanging="170"/>
            </w:pPr>
            <w:r>
              <w:t>The Royal Women’s Hospital</w:t>
            </w:r>
          </w:p>
          <w:p w:rsidR="00BB6F1F" w:rsidRDefault="00BB6F1F" w:rsidP="00BB6F1F">
            <w:pPr>
              <w:pStyle w:val="ListBullet"/>
              <w:spacing w:before="20"/>
              <w:ind w:left="170" w:hanging="170"/>
            </w:pPr>
            <w:r>
              <w:t>Timboon and District Healthcare Service</w:t>
            </w:r>
          </w:p>
          <w:p w:rsidR="00BB6F1F" w:rsidRDefault="00BB6F1F" w:rsidP="00BB6F1F">
            <w:pPr>
              <w:pStyle w:val="ListBullet"/>
              <w:spacing w:before="20"/>
              <w:ind w:left="170" w:hanging="170"/>
            </w:pPr>
            <w:r>
              <w:t xml:space="preserve">Victorian Assisted Reproductive Treatment Authority </w:t>
            </w:r>
          </w:p>
          <w:p w:rsidR="00BB6F1F" w:rsidRDefault="00BB6F1F" w:rsidP="00BB6F1F">
            <w:pPr>
              <w:pStyle w:val="ListBullet"/>
              <w:spacing w:before="20"/>
              <w:ind w:left="170" w:hanging="170"/>
            </w:pPr>
            <w:r>
              <w:t>Victorian Institute of Forensic Mental Health</w:t>
            </w:r>
          </w:p>
          <w:p w:rsidR="00BB6F1F" w:rsidRDefault="00BB6F1F" w:rsidP="00BB6F1F">
            <w:pPr>
              <w:pStyle w:val="ListBullet"/>
              <w:spacing w:before="20"/>
              <w:ind w:left="170" w:hanging="170"/>
            </w:pPr>
            <w:r>
              <w:t>West Gippsland Healthcare Group</w:t>
            </w:r>
          </w:p>
          <w:p w:rsidR="00BB6F1F" w:rsidRDefault="00BB6F1F" w:rsidP="00BB6F1F">
            <w:pPr>
              <w:pStyle w:val="ListBullet"/>
              <w:spacing w:before="20"/>
              <w:ind w:left="170" w:hanging="170"/>
            </w:pPr>
            <w:r>
              <w:t xml:space="preserve">West Wimmera Health Service </w:t>
            </w:r>
            <w:r w:rsidRPr="00434D22">
              <w:rPr>
                <w:vertAlign w:val="superscript"/>
              </w:rPr>
              <w:t>(</w:t>
            </w:r>
            <w:r>
              <w:rPr>
                <w:vertAlign w:val="superscript"/>
              </w:rPr>
              <w:t>d</w:t>
            </w:r>
            <w:r w:rsidRPr="00434D22">
              <w:rPr>
                <w:vertAlign w:val="superscript"/>
              </w:rPr>
              <w:t>)</w:t>
            </w:r>
          </w:p>
          <w:p w:rsidR="00BB6F1F" w:rsidRDefault="00BB6F1F" w:rsidP="00BB6F1F">
            <w:pPr>
              <w:pStyle w:val="ListBullet"/>
              <w:spacing w:before="20"/>
              <w:ind w:left="170" w:hanging="170"/>
            </w:pPr>
            <w:r>
              <w:t>Western District Health Service</w:t>
            </w:r>
          </w:p>
          <w:p w:rsidR="00BB6F1F" w:rsidRDefault="00BB6F1F" w:rsidP="00BB6F1F">
            <w:pPr>
              <w:pStyle w:val="ListBullet"/>
              <w:spacing w:before="20"/>
              <w:ind w:left="170" w:hanging="170"/>
            </w:pPr>
            <w:r>
              <w:t>Western Health</w:t>
            </w:r>
          </w:p>
          <w:p w:rsidR="00BB6F1F" w:rsidRDefault="00BB6F1F" w:rsidP="00BB6F1F">
            <w:pPr>
              <w:pStyle w:val="ListBullet"/>
              <w:spacing w:before="20"/>
              <w:ind w:left="170" w:hanging="170"/>
            </w:pPr>
            <w:r>
              <w:t>Wimmera Health Care Group</w:t>
            </w:r>
          </w:p>
          <w:p w:rsidR="00BB6F1F" w:rsidRDefault="00BB6F1F" w:rsidP="00BB6F1F">
            <w:pPr>
              <w:pStyle w:val="ListBullet"/>
              <w:spacing w:before="20"/>
              <w:ind w:left="170" w:hanging="170"/>
            </w:pPr>
            <w:r>
              <w:t>Yarram and District Health Service</w:t>
            </w:r>
          </w:p>
          <w:p w:rsidR="00BB6F1F" w:rsidRDefault="00BB6F1F" w:rsidP="00BB6F1F">
            <w:pPr>
              <w:pStyle w:val="ListBullet"/>
              <w:spacing w:before="20"/>
              <w:ind w:left="170" w:hanging="170"/>
            </w:pPr>
            <w:r>
              <w:t>Yarrawonga District Health Service</w:t>
            </w:r>
          </w:p>
          <w:p w:rsidR="00BB6F1F" w:rsidRDefault="00BB6F1F" w:rsidP="00BB6F1F">
            <w:pPr>
              <w:pStyle w:val="ListBullet"/>
              <w:spacing w:before="20"/>
              <w:ind w:left="170" w:hanging="170"/>
            </w:pPr>
            <w:r>
              <w:t>Yea and District Memorial Hospital</w:t>
            </w:r>
          </w:p>
          <w:p w:rsidR="00BB6F1F" w:rsidRPr="006B047C" w:rsidRDefault="00BB6F1F" w:rsidP="00AC68FF">
            <w:pPr>
              <w:rPr>
                <w:vertAlign w:val="superscript"/>
              </w:rPr>
            </w:pPr>
            <w:r>
              <w:t xml:space="preserve">Melbourne Cricket Ground Trust </w:t>
            </w:r>
            <w:r>
              <w:rPr>
                <w:vertAlign w:val="superscript"/>
              </w:rPr>
              <w:t>(e)</w:t>
            </w:r>
          </w:p>
          <w:p w:rsidR="00BB6F1F" w:rsidRDefault="00BB6F1F" w:rsidP="00AC68FF">
            <w:r>
              <w:t>The Queen Elizabeth Centre</w:t>
            </w:r>
          </w:p>
          <w:p w:rsidR="00BB6F1F" w:rsidRDefault="00BB6F1F" w:rsidP="00AC68FF">
            <w:proofErr w:type="spellStart"/>
            <w:r>
              <w:t>Tweddle</w:t>
            </w:r>
            <w:proofErr w:type="spellEnd"/>
            <w:r>
              <w:t xml:space="preserve"> Child and Family Health Service</w:t>
            </w:r>
          </w:p>
          <w:p w:rsidR="00BB6F1F" w:rsidRDefault="00BB6F1F" w:rsidP="00AC68FF">
            <w:r>
              <w:t>Victorian Health Promotion Foundation</w:t>
            </w:r>
          </w:p>
          <w:p w:rsidR="00BB6F1F" w:rsidRDefault="00BB6F1F" w:rsidP="00AC68FF">
            <w:r>
              <w:t>Victorian Institute of Sport Limited</w:t>
            </w:r>
          </w:p>
          <w:p w:rsidR="00BB6F1F" w:rsidRDefault="00BB6F1F" w:rsidP="00AC68FF">
            <w:r>
              <w:t>Victorian Institute of Sport Trust</w:t>
            </w:r>
          </w:p>
          <w:p w:rsidR="00BB6F1F" w:rsidRDefault="00BB6F1F" w:rsidP="00AC68FF">
            <w:r>
              <w:t>Victorian Pharmacy Authority</w:t>
            </w:r>
          </w:p>
          <w:p w:rsidR="00BB6F1F" w:rsidRDefault="00BB6F1F" w:rsidP="00AC68FF">
            <w:pPr>
              <w:pStyle w:val="ControlledEntitiesDepartment"/>
            </w:pPr>
            <w:r>
              <w:t>Department of Justice and Regulation</w:t>
            </w:r>
          </w:p>
          <w:p w:rsidR="00BB6F1F" w:rsidRDefault="00BB6F1F" w:rsidP="00AC68FF">
            <w:r>
              <w:t>Country Fire Authority</w:t>
            </w:r>
          </w:p>
          <w:p w:rsidR="00BB6F1F" w:rsidRDefault="00BB6F1F" w:rsidP="00AC68FF">
            <w:r>
              <w:t>Emergency Services Telecommunications Authority</w:t>
            </w:r>
          </w:p>
          <w:p w:rsidR="00BB6F1F" w:rsidRDefault="00BB6F1F" w:rsidP="00AC68FF">
            <w:r>
              <w:t>Metropolitan Fire and Emergency Services Board</w:t>
            </w:r>
          </w:p>
        </w:tc>
        <w:tc>
          <w:tcPr>
            <w:tcW w:w="1666" w:type="pct"/>
          </w:tcPr>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rsidRPr="00500AD2">
              <w:t xml:space="preserve">Office of Public Prosecutions </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Residential Tenancies Bond Authority</w:t>
            </w:r>
            <w:r w:rsidRPr="00434D22">
              <w:t xml:space="preserve"> </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rsidRPr="00434D22">
              <w:t xml:space="preserve">Sentencing Advisory Council </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 Legal Aid</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 Police (Office of the Chief Commissioner of Police)</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 State Emergency Service Authority</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Commission for Gambling and Liquor Regulation</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Equal Opportunity and Human Rights Commission</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Institute of Forensic Medicine</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Law Reform Commission</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Legal Services Board</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Legal Services Commissioner</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Professional Standards Council</w:t>
            </w:r>
          </w:p>
          <w:p w:rsidR="00BB6F1F" w:rsidRDefault="00BB6F1F" w:rsidP="0023258F">
            <w:pPr>
              <w:ind w:left="170" w:hanging="170"/>
              <w:jc w:val="left"/>
              <w:cnfStyle w:val="000000000000" w:firstRow="0" w:lastRow="0" w:firstColumn="0" w:lastColumn="0" w:oddVBand="0" w:evenVBand="0" w:oddHBand="0" w:evenHBand="0" w:firstRowFirstColumn="0" w:firstRowLastColumn="0" w:lastRowFirstColumn="0" w:lastRowLastColumn="0"/>
            </w:pPr>
            <w:r>
              <w:t xml:space="preserve">Victorian Responsible Gambling Foundation </w:t>
            </w:r>
          </w:p>
          <w:p w:rsidR="00BB6F1F" w:rsidRDefault="00BB6F1F"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 xml:space="preserve">Department of </w:t>
            </w:r>
            <w:r w:rsidRPr="00500AD2">
              <w:t>Premier</w:t>
            </w:r>
            <w:r>
              <w:t xml:space="preserve"> and Cabinet </w:t>
            </w:r>
          </w:p>
          <w:p w:rsidR="00BB6F1F" w:rsidRPr="0062430D"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Freedom of Information Commissioner</w:t>
            </w:r>
            <w:r>
              <w:rPr>
                <w:vertAlign w:val="superscript"/>
              </w:rPr>
              <w:t xml:space="preserve"> (f)</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Independent Broad based Anti-corruption Commission (IBAC)</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Infrastructure Victoria </w:t>
            </w:r>
          </w:p>
          <w:p w:rsidR="00BB6F1F" w:rsidRPr="0062430D"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Office of the Commissioner for Privacy and Data Protection</w:t>
            </w:r>
            <w:r>
              <w:rPr>
                <w:vertAlign w:val="superscript"/>
              </w:rPr>
              <w:t xml:space="preserve"> (f)</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Ombudsman Victoria </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Shrine of Remembrance Trustees</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Aboriginal Heritage Council</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Electoral Commission</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Inspectorate</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Victorian Multicultural Commission </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Public Sector Commission</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Veterans Council</w:t>
            </w:r>
          </w:p>
        </w:tc>
        <w:tc>
          <w:tcPr>
            <w:tcW w:w="1668" w:type="pct"/>
          </w:tcPr>
          <w:p w:rsidR="00BB6F1F" w:rsidRPr="006B047C" w:rsidRDefault="00BB6F1F"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rPr>
                <w:vertAlign w:val="superscript"/>
              </w:rPr>
            </w:pPr>
            <w:r>
              <w:t xml:space="preserve">Department of Economic Development, Jobs, Transport and Resources </w:t>
            </w:r>
            <w:r>
              <w:rPr>
                <w:vertAlign w:val="superscript"/>
              </w:rPr>
              <w:t>(g)</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Australian Centre for the Moving Image</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Docklands Studios Melbourne Pty Ltd</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Film Victoria</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Game Management Authority</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Library Board of Victoria</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Linking Melbourne Authority</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Melbourne Recital Centre Limited </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Museums Board of Victoria </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National Gallery of Victoria, Council of Trustees </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Public Transport Development Authority </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Regional Development Victoria</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Roads Corporation</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Rural Assistance Commissioner </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Taxi Services Commission</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Tourism Victoria </w:t>
            </w:r>
            <w:r>
              <w:rPr>
                <w:vertAlign w:val="superscript"/>
              </w:rPr>
              <w:t>(h)</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Veterinary Practitioners Registration Board of Victoria </w:t>
            </w:r>
          </w:p>
          <w:p w:rsidR="00BB6F1F" w:rsidRPr="001122C6"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 xml:space="preserve">Victorian Fisheries Authority </w:t>
            </w:r>
            <w:r>
              <w:rPr>
                <w:vertAlign w:val="superscript"/>
              </w:rPr>
              <w:t>(</w:t>
            </w:r>
            <w:proofErr w:type="spellStart"/>
            <w:r>
              <w:rPr>
                <w:vertAlign w:val="superscript"/>
              </w:rPr>
              <w:t>i</w:t>
            </w:r>
            <w:proofErr w:type="spellEnd"/>
            <w:r>
              <w:rPr>
                <w:vertAlign w:val="superscript"/>
              </w:rPr>
              <w:t>)</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Trade and Investment Office</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Visit Victoria </w:t>
            </w:r>
            <w:r>
              <w:rPr>
                <w:vertAlign w:val="superscript"/>
              </w:rPr>
              <w:t>(h</w:t>
            </w:r>
            <w:r w:rsidRPr="00434D22">
              <w:rPr>
                <w:vertAlign w:val="superscript"/>
              </w:rPr>
              <w:t>)</w:t>
            </w:r>
          </w:p>
          <w:p w:rsidR="00BB6F1F" w:rsidRDefault="00BB6F1F"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 xml:space="preserve">Department of Treasury and Finance </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t>CenITex</w:t>
            </w:r>
            <w:proofErr w:type="spellEnd"/>
            <w:r>
              <w:t xml:space="preserve"> </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Essential Services Commission </w:t>
            </w:r>
          </w:p>
          <w:p w:rsidR="00BB6F1F" w:rsidRPr="00500AD2" w:rsidRDefault="00BB6F1F"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Courts</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Judicial College of Victoria </w:t>
            </w:r>
          </w:p>
          <w:p w:rsidR="00BB6F1F" w:rsidRDefault="00BB6F1F"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 xml:space="preserve">Parliament of </w:t>
            </w:r>
            <w:r w:rsidRPr="00500AD2">
              <w:t>Victoria</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p>
          <w:p w:rsidR="00BB6F1F" w:rsidRDefault="00BB6F1F"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 xml:space="preserve">Victorian Auditor General’s </w:t>
            </w:r>
            <w:r w:rsidRPr="00500AD2">
              <w:t>Office</w:t>
            </w:r>
          </w:p>
        </w:tc>
      </w:tr>
      <w:tr w:rsidR="00BB6F1F" w:rsidRPr="0029647E" w:rsidTr="00AC68FF">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tcPr>
          <w:p w:rsidR="00BB6F1F" w:rsidRPr="0029647E" w:rsidRDefault="00BB6F1F" w:rsidP="00DE36DF">
            <w:pPr>
              <w:pStyle w:val="ControlledEntitiesSector"/>
              <w:spacing w:before="120"/>
            </w:pPr>
            <w:r w:rsidRPr="0029647E">
              <w:t>Public non-financial corporation</w:t>
            </w:r>
          </w:p>
        </w:tc>
      </w:tr>
      <w:tr w:rsidR="00BB6F1F" w:rsidRPr="0029647E" w:rsidTr="00AC68FF">
        <w:trPr>
          <w:cantSplit w:val="0"/>
        </w:trPr>
        <w:tc>
          <w:tcPr>
            <w:cnfStyle w:val="001000000000" w:firstRow="0" w:lastRow="0" w:firstColumn="1" w:lastColumn="0" w:oddVBand="0" w:evenVBand="0" w:oddHBand="0" w:evenHBand="0" w:firstRowFirstColumn="0" w:firstRowLastColumn="0" w:lastRowFirstColumn="0" w:lastRowLastColumn="0"/>
            <w:tcW w:w="1666" w:type="pct"/>
            <w:tcBorders>
              <w:bottom w:val="nil"/>
            </w:tcBorders>
          </w:tcPr>
          <w:p w:rsidR="00BB6F1F" w:rsidRDefault="00BB6F1F" w:rsidP="00BC5BCC">
            <w:pPr>
              <w:pStyle w:val="ControlledEntitiesDepartment"/>
              <w:spacing w:before="20"/>
              <w:ind w:left="0" w:firstLine="0"/>
            </w:pPr>
            <w:r>
              <w:t>Department of Environment, Land, Water and Planning</w:t>
            </w:r>
          </w:p>
          <w:p w:rsidR="00BB6F1F" w:rsidRDefault="00BB6F1F" w:rsidP="0023258F">
            <w:pPr>
              <w:ind w:left="0" w:firstLine="0"/>
            </w:pPr>
            <w:r>
              <w:t>Alpine Resorts Management Board including:</w:t>
            </w:r>
          </w:p>
          <w:p w:rsidR="00BB6F1F" w:rsidRDefault="00BB6F1F" w:rsidP="00BB6F1F">
            <w:pPr>
              <w:pStyle w:val="ListBullet"/>
              <w:spacing w:before="20"/>
              <w:ind w:left="170" w:hanging="170"/>
            </w:pPr>
            <w:r>
              <w:t>Alpine Resorts Co-ordinating Council</w:t>
            </w:r>
          </w:p>
          <w:p w:rsidR="00BB6F1F" w:rsidRDefault="00BB6F1F" w:rsidP="00BB6F1F">
            <w:pPr>
              <w:pStyle w:val="ListBullet"/>
              <w:spacing w:before="20"/>
              <w:ind w:left="170" w:hanging="170"/>
            </w:pPr>
            <w:r>
              <w:t>Falls Creek Alpine Resort Management Board</w:t>
            </w:r>
          </w:p>
          <w:p w:rsidR="00BB6F1F" w:rsidRDefault="00BB6F1F" w:rsidP="00BB6F1F">
            <w:pPr>
              <w:pStyle w:val="ListBullet"/>
              <w:spacing w:before="20"/>
              <w:ind w:left="170" w:hanging="170"/>
            </w:pPr>
            <w:r>
              <w:t>Mount Buller and Mount Stirling Alpine Resort Management Board</w:t>
            </w:r>
          </w:p>
          <w:p w:rsidR="00BB6F1F" w:rsidRDefault="00BB6F1F" w:rsidP="00BB6F1F">
            <w:pPr>
              <w:pStyle w:val="ListBullet"/>
              <w:spacing w:before="20"/>
              <w:ind w:left="170" w:hanging="170"/>
            </w:pPr>
            <w:r>
              <w:t>Mount Hotham Alpine Resort Management Board</w:t>
            </w:r>
          </w:p>
          <w:p w:rsidR="00BB6F1F" w:rsidRDefault="00BB6F1F" w:rsidP="00BB6F1F">
            <w:pPr>
              <w:pStyle w:val="ListBullet"/>
              <w:spacing w:before="20"/>
              <w:ind w:left="170" w:hanging="170"/>
            </w:pPr>
            <w:r>
              <w:t xml:space="preserve">Southern Alpine Resort Management Board </w:t>
            </w:r>
            <w:r>
              <w:rPr>
                <w:vertAlign w:val="superscript"/>
              </w:rPr>
              <w:t>(j)</w:t>
            </w:r>
          </w:p>
          <w:p w:rsidR="00BB6F1F" w:rsidRDefault="00BB6F1F" w:rsidP="00AC68FF">
            <w:r>
              <w:t>Phillip Island Nature Parks</w:t>
            </w:r>
          </w:p>
          <w:p w:rsidR="00BB6F1F" w:rsidRDefault="00BB6F1F" w:rsidP="0023258F">
            <w:pPr>
              <w:ind w:left="0" w:firstLine="0"/>
            </w:pPr>
            <w:r>
              <w:t>Waste and Resource Recovery Groups including:</w:t>
            </w:r>
          </w:p>
          <w:p w:rsidR="00BB6F1F" w:rsidRDefault="00BB6F1F" w:rsidP="00BB6F1F">
            <w:pPr>
              <w:pStyle w:val="ListBullet"/>
              <w:spacing w:before="20"/>
              <w:ind w:left="170" w:hanging="170"/>
            </w:pPr>
            <w:r>
              <w:t xml:space="preserve">Barwon South West Waste and Resource Recovery Group </w:t>
            </w:r>
          </w:p>
          <w:p w:rsidR="00BB6F1F" w:rsidRDefault="00BB6F1F" w:rsidP="00BB6F1F">
            <w:pPr>
              <w:pStyle w:val="ListBullet"/>
              <w:spacing w:before="20"/>
              <w:ind w:left="170" w:hanging="170"/>
            </w:pPr>
            <w:r>
              <w:t xml:space="preserve">Gippsland Waste and Resource Recovery Group </w:t>
            </w:r>
          </w:p>
          <w:p w:rsidR="00BB6F1F" w:rsidRDefault="00BB6F1F" w:rsidP="00BB6F1F">
            <w:pPr>
              <w:pStyle w:val="ListBullet"/>
              <w:spacing w:before="20"/>
              <w:ind w:left="170" w:hanging="170"/>
            </w:pPr>
            <w:r>
              <w:t xml:space="preserve">Goulburn Valley Waste and Resource Recovery Group </w:t>
            </w:r>
          </w:p>
          <w:p w:rsidR="00BB6F1F" w:rsidRPr="0029647E" w:rsidRDefault="00BB6F1F" w:rsidP="00BB6F1F">
            <w:pPr>
              <w:pStyle w:val="ListBullet"/>
              <w:spacing w:before="20"/>
              <w:ind w:left="170" w:hanging="170"/>
            </w:pPr>
            <w:r>
              <w:t>Grampians Central Waste and Resource Recovery Group</w:t>
            </w:r>
          </w:p>
        </w:tc>
        <w:tc>
          <w:tcPr>
            <w:tcW w:w="1666" w:type="pct"/>
            <w:tcBorders>
              <w:bottom w:val="nil"/>
            </w:tcBorders>
          </w:tcPr>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Metropolitan Waste and Resource Recovery Group</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Loddon Mallee Waste and Resource Recovery Group </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North East Waste and Resource Recovery Group </w:t>
            </w:r>
          </w:p>
          <w:p w:rsidR="00BB6F1F" w:rsidRDefault="00BB6F1F" w:rsidP="00AC68FF">
            <w:pPr>
              <w:jc w:val="left"/>
              <w:cnfStyle w:val="000000000000" w:firstRow="0" w:lastRow="0" w:firstColumn="0" w:lastColumn="0" w:oddVBand="0" w:evenVBand="0" w:oddHBand="0" w:evenHBand="0" w:firstRowFirstColumn="0" w:firstRowLastColumn="0" w:lastRowFirstColumn="0" w:lastRowLastColumn="0"/>
            </w:pPr>
            <w:r>
              <w:t>Water Authorities including:</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Barwon Region Water Corporation</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Central Gippsland Region Water Corporation</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Central Highlands Region Water Corporation</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City West Water Corporation </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proofErr w:type="spellStart"/>
            <w:r>
              <w:t>Coliban</w:t>
            </w:r>
            <w:proofErr w:type="spellEnd"/>
            <w:r>
              <w:t xml:space="preserve"> Region Water Corporation</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East Gippsland Region Water Corporation</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Gippsland and Southern Rural Water Corporation</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Goulburn Murray Rural Water Corporation</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Goulburn Valley Region Water Corporation</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Grampians Wimmera Mallee Water Corporation</w:t>
            </w:r>
          </w:p>
          <w:p w:rsidR="00BB6F1F" w:rsidRPr="0029647E"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Lower Murray Urban and Rural Water Corporation</w:t>
            </w:r>
          </w:p>
        </w:tc>
        <w:tc>
          <w:tcPr>
            <w:tcW w:w="1668" w:type="pct"/>
            <w:tcBorders>
              <w:bottom w:val="nil"/>
            </w:tcBorders>
          </w:tcPr>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Melbourne Water Corporation </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North East Region Water Corporation</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South East Water Corporation </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South Gippsland Region Water Corporation</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Wannon Region Water Corporation</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Western Region Water Corporation</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Westernport Region Water Corporation</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Yarra Valley Water Corporation </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Zoological Parks and Gardens Board</w:t>
            </w:r>
          </w:p>
          <w:p w:rsidR="00BB6F1F" w:rsidRDefault="00BB6F1F"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Department of Health and Human Services</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Cemeteries including:</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Ballarat General Cemeteries Trust</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Bendigo Cemeteries Trust</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Geelong Cemeteries Trust</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Greater Metropolitan Cemeteries Trust</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Southern Metropolitan Cemeteries Trust</w:t>
            </w:r>
          </w:p>
          <w:p w:rsidR="00BB6F1F" w:rsidRDefault="00BB6F1F"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Mildura Cemetery Trust</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Director of Housing</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Kardinia Park Stadium Trust </w:t>
            </w:r>
            <w:r>
              <w:rPr>
                <w:vertAlign w:val="superscript"/>
              </w:rPr>
              <w:t>(k)</w:t>
            </w:r>
          </w:p>
          <w:p w:rsidR="00BB6F1F" w:rsidRPr="006B047C"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Melbourne and Olympic Parks Trust</w:t>
            </w:r>
            <w:r>
              <w:rPr>
                <w:vertAlign w:val="superscript"/>
              </w:rPr>
              <w:t xml:space="preserve"> (l)</w:t>
            </w:r>
          </w:p>
          <w:p w:rsidR="00BB6F1F" w:rsidRPr="0029647E" w:rsidRDefault="00BB6F1F" w:rsidP="0023258F">
            <w:pPr>
              <w:ind w:left="170" w:hanging="170"/>
              <w:jc w:val="left"/>
              <w:cnfStyle w:val="000000000000" w:firstRow="0" w:lastRow="0" w:firstColumn="0" w:lastColumn="0" w:oddVBand="0" w:evenVBand="0" w:oddHBand="0" w:evenHBand="0" w:firstRowFirstColumn="0" w:firstRowLastColumn="0" w:lastRowFirstColumn="0" w:lastRowLastColumn="0"/>
            </w:pPr>
            <w:r>
              <w:t>State Sport Centres Trust</w:t>
            </w:r>
          </w:p>
        </w:tc>
      </w:tr>
    </w:tbl>
    <w:p w:rsidR="00BB6F1F" w:rsidRDefault="00BB6F1F">
      <w:r>
        <w:rPr>
          <w:b/>
          <w:i/>
        </w:rPr>
        <w:br w:type="page"/>
      </w:r>
    </w:p>
    <w:tbl>
      <w:tblPr>
        <w:tblStyle w:val="DTFTable"/>
        <w:tblW w:w="5000" w:type="pct"/>
        <w:tblInd w:w="0" w:type="dxa"/>
        <w:tblCellMar>
          <w:left w:w="113" w:type="dxa"/>
          <w:right w:w="198" w:type="dxa"/>
        </w:tblCellMar>
        <w:tblLook w:val="0680" w:firstRow="0" w:lastRow="0" w:firstColumn="1" w:lastColumn="0" w:noHBand="1" w:noVBand="1"/>
      </w:tblPr>
      <w:tblGrid>
        <w:gridCol w:w="3316"/>
        <w:gridCol w:w="3315"/>
        <w:gridCol w:w="3319"/>
      </w:tblGrid>
      <w:tr w:rsidR="00BB6F1F" w:rsidRPr="0029647E" w:rsidTr="00AC68FF">
        <w:tc>
          <w:tcPr>
            <w:cnfStyle w:val="001000000000" w:firstRow="0" w:lastRow="0" w:firstColumn="1" w:lastColumn="0" w:oddVBand="0" w:evenVBand="0" w:oddHBand="0" w:evenHBand="0" w:firstRowFirstColumn="0" w:firstRowLastColumn="0" w:lastRowFirstColumn="0" w:lastRowLastColumn="0"/>
            <w:tcW w:w="5000" w:type="pct"/>
            <w:gridSpan w:val="3"/>
            <w:tcBorders>
              <w:top w:val="nil"/>
            </w:tcBorders>
          </w:tcPr>
          <w:p w:rsidR="00BB6F1F" w:rsidRPr="0029647E" w:rsidRDefault="00BB6F1F" w:rsidP="00AC68FF">
            <w:pPr>
              <w:pStyle w:val="ControlledEntitiesSector"/>
            </w:pPr>
            <w:r w:rsidRPr="0029647E">
              <w:lastRenderedPageBreak/>
              <w:t>Public non-financial corporation</w:t>
            </w:r>
            <w:r>
              <w:t xml:space="preserve"> (continued)</w:t>
            </w:r>
          </w:p>
        </w:tc>
      </w:tr>
      <w:tr w:rsidR="00BB6F1F" w:rsidRPr="0029647E" w:rsidTr="00AC68FF">
        <w:trPr>
          <w:cantSplit w:val="0"/>
        </w:trPr>
        <w:tc>
          <w:tcPr>
            <w:cnfStyle w:val="001000000000" w:firstRow="0" w:lastRow="0" w:firstColumn="1" w:lastColumn="0" w:oddVBand="0" w:evenVBand="0" w:oddHBand="0" w:evenHBand="0" w:firstRowFirstColumn="0" w:firstRowLastColumn="0" w:lastRowFirstColumn="0" w:lastRowLastColumn="0"/>
            <w:tcW w:w="1666" w:type="pct"/>
          </w:tcPr>
          <w:p w:rsidR="00BB6F1F" w:rsidRDefault="00BB6F1F" w:rsidP="00AC68FF">
            <w:pPr>
              <w:pStyle w:val="ControlledEntitiesDepartment"/>
              <w:spacing w:before="20"/>
            </w:pPr>
            <w:r>
              <w:t>Department of Justice and Regulation</w:t>
            </w:r>
          </w:p>
          <w:p w:rsidR="00BB6F1F" w:rsidRDefault="00BB6F1F" w:rsidP="00AC68FF">
            <w:r>
              <w:t>Greyhound Racing Victoria</w:t>
            </w:r>
          </w:p>
          <w:p w:rsidR="00BB6F1F" w:rsidRDefault="00BB6F1F" w:rsidP="00AC68FF">
            <w:r>
              <w:t>Harness Racing Victoria</w:t>
            </w:r>
          </w:p>
          <w:p w:rsidR="00BB6F1F" w:rsidRDefault="00BB6F1F" w:rsidP="00AC68FF">
            <w:pPr>
              <w:pStyle w:val="ControlledEntitiesDepartment"/>
              <w:spacing w:before="20"/>
            </w:pPr>
            <w:r>
              <w:t>Department of Premier and Cabinet</w:t>
            </w:r>
          </w:p>
          <w:p w:rsidR="00BB6F1F" w:rsidRPr="000A7CE9" w:rsidRDefault="00BB6F1F" w:rsidP="00AC68FF">
            <w:pPr>
              <w:rPr>
                <w:vertAlign w:val="superscript"/>
              </w:rPr>
            </w:pPr>
            <w:r>
              <w:t xml:space="preserve">Queen Victoria Women’s Centre Trust </w:t>
            </w:r>
            <w:r>
              <w:rPr>
                <w:vertAlign w:val="superscript"/>
              </w:rPr>
              <w:t>(m)</w:t>
            </w:r>
          </w:p>
          <w:p w:rsidR="00BB6F1F" w:rsidRDefault="00BB6F1F" w:rsidP="00AC68FF">
            <w:r>
              <w:t xml:space="preserve">VITS </w:t>
            </w:r>
            <w:proofErr w:type="spellStart"/>
            <w:r>
              <w:t>Languagelink</w:t>
            </w:r>
            <w:proofErr w:type="spellEnd"/>
          </w:p>
          <w:p w:rsidR="00BB6F1F" w:rsidRDefault="00BB6F1F" w:rsidP="00AC68FF">
            <w:pPr>
              <w:pStyle w:val="ControlledEntitiesDepartment"/>
            </w:pPr>
            <w:r w:rsidRPr="00500AD2">
              <w:t>Department</w:t>
            </w:r>
            <w:r>
              <w:t xml:space="preserve"> of Economic Development, Jobs, Transport and Resources </w:t>
            </w:r>
            <w:r w:rsidRPr="002D2B90">
              <w:rPr>
                <w:vertAlign w:val="superscript"/>
              </w:rPr>
              <w:t>(</w:t>
            </w:r>
            <w:r>
              <w:rPr>
                <w:vertAlign w:val="superscript"/>
              </w:rPr>
              <w:t>n</w:t>
            </w:r>
            <w:r w:rsidRPr="002D2B90">
              <w:rPr>
                <w:vertAlign w:val="superscript"/>
              </w:rPr>
              <w:t>)</w:t>
            </w:r>
          </w:p>
          <w:p w:rsidR="00BB6F1F" w:rsidRDefault="00BB6F1F" w:rsidP="00AC68FF">
            <w:r>
              <w:t>Agriculture Victoria Services Pty Ltd</w:t>
            </w:r>
          </w:p>
          <w:p w:rsidR="00BB6F1F" w:rsidRDefault="00BB6F1F" w:rsidP="00AC68FF">
            <w:r>
              <w:t>Australian Grand Prix Corporation</w:t>
            </w:r>
          </w:p>
          <w:p w:rsidR="00BB6F1F" w:rsidRDefault="00BB6F1F" w:rsidP="00AC68FF">
            <w:r>
              <w:t>Dairy Food Safety Victoria</w:t>
            </w:r>
          </w:p>
          <w:p w:rsidR="00BB6F1F" w:rsidRPr="00244ACD" w:rsidRDefault="00BB6F1F" w:rsidP="00AC68FF">
            <w:pPr>
              <w:rPr>
                <w:vertAlign w:val="superscript"/>
              </w:rPr>
            </w:pPr>
            <w:r>
              <w:t>Development Victoria</w:t>
            </w:r>
            <w:r>
              <w:rPr>
                <w:vertAlign w:val="superscript"/>
              </w:rPr>
              <w:t xml:space="preserve"> (o)</w:t>
            </w:r>
          </w:p>
          <w:p w:rsidR="00BB6F1F" w:rsidRDefault="00BB6F1F" w:rsidP="00AC68FF">
            <w:r>
              <w:t>Emerald Tourist Railway Board</w:t>
            </w:r>
          </w:p>
          <w:p w:rsidR="00BB6F1F" w:rsidRDefault="00BB6F1F" w:rsidP="00AC68FF">
            <w:r>
              <w:t>Fed Square Pty Ltd</w:t>
            </w:r>
          </w:p>
          <w:p w:rsidR="00BB6F1F" w:rsidRDefault="00BB6F1F" w:rsidP="00AC68FF">
            <w:r>
              <w:t>Geelong Performing Arts Centre Trust</w:t>
            </w:r>
          </w:p>
          <w:p w:rsidR="00BB6F1F" w:rsidRDefault="00BB6F1F" w:rsidP="00AC68FF">
            <w:r>
              <w:t xml:space="preserve">Launch Vic </w:t>
            </w:r>
          </w:p>
          <w:p w:rsidR="00BB6F1F" w:rsidRDefault="00BB6F1F" w:rsidP="00AC68FF">
            <w:r>
              <w:t>Melbourne Convention and Exhibition Trust</w:t>
            </w:r>
          </w:p>
          <w:p w:rsidR="00BB6F1F" w:rsidRDefault="00BB6F1F" w:rsidP="00AC68FF">
            <w:r>
              <w:t>Melbourne Market Authority</w:t>
            </w:r>
          </w:p>
        </w:tc>
        <w:tc>
          <w:tcPr>
            <w:tcW w:w="1666" w:type="pct"/>
          </w:tcPr>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Melbourne Port Lessor Pty Ltd </w:t>
            </w:r>
            <w:r>
              <w:rPr>
                <w:vertAlign w:val="superscript"/>
              </w:rPr>
              <w:t>(p)</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Murray Valley Wine Grape Industry Development Committee</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Northern Victorian Fresh Tomato Industry Development Committee</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Port of Hastings Development Authority</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t>PrimeSafe</w:t>
            </w:r>
            <w:proofErr w:type="spellEnd"/>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V/Line Corporation</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t>VicForests</w:t>
            </w:r>
            <w:proofErr w:type="spellEnd"/>
          </w:p>
          <w:p w:rsidR="00BB6F1F" w:rsidRPr="0023258F" w:rsidRDefault="00BB6F1F" w:rsidP="0023258F">
            <w:pPr>
              <w:jc w:val="left"/>
              <w:cnfStyle w:val="000000000000" w:firstRow="0" w:lastRow="0" w:firstColumn="0" w:lastColumn="0" w:oddVBand="0" w:evenVBand="0" w:oddHBand="0" w:evenHBand="0" w:firstRowFirstColumn="0" w:firstRowLastColumn="0" w:lastRowFirstColumn="0" w:lastRowLastColumn="0"/>
            </w:pPr>
            <w:r w:rsidRPr="0023258F">
              <w:t>Victorian Arts Centre Trust</w:t>
            </w:r>
          </w:p>
          <w:p w:rsidR="00BB6F1F" w:rsidRPr="00244ACD"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 xml:space="preserve">Victorian Ports Corporation (Melbourne) </w:t>
            </w:r>
            <w:r>
              <w:rPr>
                <w:vertAlign w:val="superscript"/>
              </w:rPr>
              <w:t>(q)</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Rail Track</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Regional Channels Authority</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Strawberry Industry Development Committee</w:t>
            </w:r>
          </w:p>
        </w:tc>
        <w:tc>
          <w:tcPr>
            <w:tcW w:w="1668" w:type="pct"/>
          </w:tcPr>
          <w:p w:rsidR="00BB6F1F" w:rsidRDefault="00BB6F1F" w:rsidP="00AC68FF">
            <w:pPr>
              <w:pStyle w:val="ControlledEntitiesDepartment"/>
              <w:spacing w:before="20"/>
              <w:ind w:left="170" w:hanging="170"/>
              <w:jc w:val="left"/>
              <w:cnfStyle w:val="000000000000" w:firstRow="0" w:lastRow="0" w:firstColumn="0" w:lastColumn="0" w:oddVBand="0" w:evenVBand="0" w:oddHBand="0" w:evenHBand="0" w:firstRowFirstColumn="0" w:firstRowLastColumn="0" w:lastRowFirstColumn="0" w:lastRowLastColumn="0"/>
            </w:pPr>
            <w:r>
              <w:t>Department of Treasury and Finance</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Accident Compensation Conciliation Service</w:t>
            </w:r>
          </w:p>
          <w:p w:rsidR="00BB6F1F" w:rsidRDefault="00BB6F1F" w:rsidP="0023258F">
            <w:pPr>
              <w:jc w:val="left"/>
              <w:cnfStyle w:val="000000000000" w:firstRow="0" w:lastRow="0" w:firstColumn="0" w:lastColumn="0" w:oddVBand="0" w:evenVBand="0" w:oddHBand="0" w:evenHBand="0" w:firstRowFirstColumn="0" w:firstRowLastColumn="0" w:lastRowFirstColumn="0" w:lastRowLastColumn="0"/>
            </w:pPr>
            <w:r>
              <w:t>State Electricity Commission of Victoria</w:t>
            </w:r>
          </w:p>
          <w:p w:rsidR="00BB6F1F" w:rsidRDefault="00BB6F1F" w:rsidP="0023258F">
            <w:pPr>
              <w:jc w:val="left"/>
              <w:cnfStyle w:val="000000000000" w:firstRow="0" w:lastRow="0" w:firstColumn="0" w:lastColumn="0" w:oddVBand="0" w:evenVBand="0" w:oddHBand="0" w:evenHBand="0" w:firstRowFirstColumn="0" w:firstRowLastColumn="0" w:lastRowFirstColumn="0" w:lastRowLastColumn="0"/>
            </w:pPr>
            <w:r>
              <w:t>Victorian Plantations Corporation (shell)</w:t>
            </w:r>
          </w:p>
        </w:tc>
      </w:tr>
      <w:tr w:rsidR="00BB6F1F" w:rsidRPr="0029647E" w:rsidTr="00AC68FF">
        <w:tc>
          <w:tcPr>
            <w:cnfStyle w:val="001000000000" w:firstRow="0" w:lastRow="0" w:firstColumn="1" w:lastColumn="0" w:oddVBand="0" w:evenVBand="0" w:oddHBand="0" w:evenHBand="0" w:firstRowFirstColumn="0" w:firstRowLastColumn="0" w:lastRowFirstColumn="0" w:lastRowLastColumn="0"/>
            <w:tcW w:w="5000" w:type="pct"/>
            <w:gridSpan w:val="3"/>
          </w:tcPr>
          <w:p w:rsidR="00BB6F1F" w:rsidRPr="0029647E" w:rsidRDefault="00BB6F1F" w:rsidP="00DE36DF">
            <w:pPr>
              <w:pStyle w:val="ControlledEntitiesSector"/>
              <w:spacing w:before="120"/>
            </w:pPr>
            <w:r w:rsidRPr="0029647E">
              <w:t>Public financial corporation</w:t>
            </w:r>
          </w:p>
        </w:tc>
      </w:tr>
      <w:tr w:rsidR="00BB6F1F" w:rsidRPr="0029647E" w:rsidTr="00AC68FF">
        <w:tc>
          <w:tcPr>
            <w:cnfStyle w:val="001000000000" w:firstRow="0" w:lastRow="0" w:firstColumn="1" w:lastColumn="0" w:oddVBand="0" w:evenVBand="0" w:oddHBand="0" w:evenHBand="0" w:firstRowFirstColumn="0" w:firstRowLastColumn="0" w:lastRowFirstColumn="0" w:lastRowLastColumn="0"/>
            <w:tcW w:w="1666" w:type="pct"/>
          </w:tcPr>
          <w:p w:rsidR="00BB6F1F" w:rsidRDefault="00BB6F1F" w:rsidP="00AC68FF">
            <w:pPr>
              <w:pStyle w:val="ControlledEntitiesDepartment"/>
            </w:pPr>
            <w:r>
              <w:t>Department of Treasury and Finance</w:t>
            </w:r>
          </w:p>
          <w:p w:rsidR="00BB6F1F" w:rsidRDefault="00BB6F1F" w:rsidP="00AC68FF">
            <w:r>
              <w:t>State Trustees Limited</w:t>
            </w:r>
          </w:p>
          <w:p w:rsidR="00BB6F1F" w:rsidRDefault="00BB6F1F" w:rsidP="00AC68FF">
            <w:r>
              <w:t>Transport Accident Commission</w:t>
            </w:r>
          </w:p>
        </w:tc>
        <w:tc>
          <w:tcPr>
            <w:tcW w:w="1666" w:type="pct"/>
          </w:tcPr>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Treasury Corporation of Victoria </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Funds Management Corporation</w:t>
            </w:r>
          </w:p>
          <w:p w:rsidR="00BB6F1F"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Managed Insurance Authority</w:t>
            </w:r>
          </w:p>
        </w:tc>
        <w:tc>
          <w:tcPr>
            <w:tcW w:w="1668" w:type="pct"/>
          </w:tcPr>
          <w:p w:rsidR="00BB6F1F" w:rsidRPr="0029647E" w:rsidRDefault="00BB6F1F"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Victorian WorkCover Authority </w:t>
            </w:r>
            <w:r>
              <w:br/>
              <w:t>(</w:t>
            </w:r>
            <w:proofErr w:type="spellStart"/>
            <w:r>
              <w:t>WorkSafe</w:t>
            </w:r>
            <w:proofErr w:type="spellEnd"/>
            <w:r>
              <w:t xml:space="preserve"> Victoria)</w:t>
            </w:r>
          </w:p>
        </w:tc>
      </w:tr>
    </w:tbl>
    <w:p w:rsidR="00BB6F1F" w:rsidRDefault="00BB6F1F" w:rsidP="00AC68FF">
      <w:pPr>
        <w:pStyle w:val="Note"/>
        <w:ind w:left="0" w:firstLine="0"/>
      </w:pPr>
      <w:r w:rsidRPr="006A75A2">
        <w:t>Notes</w:t>
      </w:r>
      <w:r>
        <w:t>:</w:t>
      </w:r>
    </w:p>
    <w:p w:rsidR="00BB6F1F" w:rsidRDefault="00BB6F1F" w:rsidP="00AC68FF">
      <w:pPr>
        <w:pStyle w:val="Note"/>
      </w:pPr>
      <w:r>
        <w:t>(a)</w:t>
      </w:r>
      <w:r>
        <w:tab/>
      </w:r>
      <w:r w:rsidRPr="006B047C">
        <w:t>Effective from 1 July 2016, portfolio responsibility for Energy Safe Victoria was transferred from the Department of Economic Development, Jobs, Transport and Resources (DEDJTR) to the Department of Environment, Land, Water and Planning</w:t>
      </w:r>
      <w:r>
        <w:t>.</w:t>
      </w:r>
    </w:p>
    <w:p w:rsidR="00BB6F1F" w:rsidRDefault="00BB6F1F" w:rsidP="00AC68FF">
      <w:pPr>
        <w:pStyle w:val="Note"/>
      </w:pPr>
      <w:r>
        <w:t>(b)</w:t>
      </w:r>
      <w:r>
        <w:tab/>
        <w:t xml:space="preserve">The Metropolitan Planning Authority has been renamed Victorian Planning Authority under the </w:t>
      </w:r>
      <w:r w:rsidRPr="00BC5BCC">
        <w:rPr>
          <w:i w:val="0"/>
        </w:rPr>
        <w:t>Victorian Planning Authority Act 2017</w:t>
      </w:r>
      <w:r>
        <w:t>.</w:t>
      </w:r>
    </w:p>
    <w:p w:rsidR="00BB6F1F" w:rsidRDefault="00BB6F1F" w:rsidP="00AC68FF">
      <w:pPr>
        <w:pStyle w:val="Note"/>
      </w:pPr>
      <w:r>
        <w:t>(c)</w:t>
      </w:r>
      <w:r>
        <w:tab/>
        <w:t>On 4 July 2017, Upper Murray Health and Community Services changed its name to Corryong Health.</w:t>
      </w:r>
    </w:p>
    <w:p w:rsidR="00BB6F1F" w:rsidRDefault="00BB6F1F" w:rsidP="00AC68FF">
      <w:pPr>
        <w:pStyle w:val="Note"/>
      </w:pPr>
      <w:r>
        <w:t>(d)</w:t>
      </w:r>
      <w:r>
        <w:tab/>
        <w:t xml:space="preserve">On 1 July 2016, by Order of the Governor in Council, </w:t>
      </w:r>
      <w:proofErr w:type="spellStart"/>
      <w:r>
        <w:t>Dunmunkle</w:t>
      </w:r>
      <w:proofErr w:type="spellEnd"/>
      <w:r>
        <w:t xml:space="preserve"> Health Service and West Wimmera Health Service were amalgamated to form a new registered funded agency named West Wimmera Health Service.</w:t>
      </w:r>
    </w:p>
    <w:p w:rsidR="00BB6F1F" w:rsidRDefault="00BB6F1F" w:rsidP="00AC68FF">
      <w:pPr>
        <w:pStyle w:val="Note"/>
      </w:pPr>
      <w:r>
        <w:t>(e)</w:t>
      </w:r>
      <w:r>
        <w:tab/>
        <w:t>Effective from 1 October 2016, portfolio responsibility for the Melbourne Cricket Ground Trust was transferred from DEDJTR to DHHS.</w:t>
      </w:r>
    </w:p>
    <w:p w:rsidR="00BB6F1F" w:rsidRDefault="00BC5BCC" w:rsidP="00AC68FF">
      <w:pPr>
        <w:pStyle w:val="Note"/>
      </w:pPr>
      <w:r>
        <w:t>(f)</w:t>
      </w:r>
      <w:r>
        <w:tab/>
      </w:r>
      <w:r w:rsidR="00BB6F1F">
        <w:t>Effective from 1 September 2017, the Office of the Victorian Information Commissioner commenced operations and took over the responsibilities of the Freedom of Information Commissioner and the Office of the Commissioner for Privacy and Data Protection.</w:t>
      </w:r>
    </w:p>
    <w:p w:rsidR="00BB6F1F" w:rsidRDefault="00BB6F1F" w:rsidP="00AC68FF">
      <w:pPr>
        <w:pStyle w:val="Note"/>
      </w:pPr>
      <w:r>
        <w:t>(g)</w:t>
      </w:r>
      <w:r>
        <w:tab/>
        <w:t xml:space="preserve">The Australian Synchrotron Holding Company was transferred from the State of Victoria to the Australian Nuclear Science and Technology Organisation (ANSTO) on </w:t>
      </w:r>
      <w:r w:rsidR="00BC5BCC">
        <w:br/>
      </w:r>
      <w:r>
        <w:t xml:space="preserve">1 July 2016. </w:t>
      </w:r>
    </w:p>
    <w:p w:rsidR="00BB6F1F" w:rsidRDefault="00BB6F1F" w:rsidP="00AC68FF">
      <w:pPr>
        <w:pStyle w:val="Note"/>
      </w:pPr>
      <w:r>
        <w:t>(h)</w:t>
      </w:r>
      <w:r>
        <w:tab/>
        <w:t xml:space="preserve">Effective 1 July 2016, Visit Victoria commenced operations and took over portfolio responsibility of Tourism Victoria and the Victorian Major Events Company Limited. Tourism Victoria ceased to operate but will remain in existence until its legislation is repealed. </w:t>
      </w:r>
    </w:p>
    <w:p w:rsidR="00BB6F1F" w:rsidRDefault="00BB6F1F" w:rsidP="00AC68FF">
      <w:pPr>
        <w:pStyle w:val="Note"/>
      </w:pPr>
      <w:r>
        <w:t>(</w:t>
      </w:r>
      <w:proofErr w:type="spellStart"/>
      <w:r>
        <w:t>i</w:t>
      </w:r>
      <w:proofErr w:type="spellEnd"/>
      <w:r w:rsidR="00BC5BCC">
        <w:t>)</w:t>
      </w:r>
      <w:r w:rsidRPr="005973F8">
        <w:tab/>
      </w:r>
      <w:r>
        <w:t xml:space="preserve">The Victorian </w:t>
      </w:r>
      <w:r w:rsidRPr="005973F8">
        <w:t>Fisheries Authority is an independent statutory authority established on 1 July 2017 to effectively manage Victoria’s fisheries resources.</w:t>
      </w:r>
    </w:p>
    <w:p w:rsidR="00BB6F1F" w:rsidRDefault="00BB6F1F" w:rsidP="00AC68FF">
      <w:pPr>
        <w:pStyle w:val="Note"/>
      </w:pPr>
      <w:r>
        <w:t>(j)</w:t>
      </w:r>
      <w:r>
        <w:tab/>
        <w:t xml:space="preserve">Effective from 1 January 2017, the Lake Mountain Alpine Resort Management Board and the Mount Baw </w:t>
      </w:r>
      <w:proofErr w:type="spellStart"/>
      <w:r>
        <w:t>Baw</w:t>
      </w:r>
      <w:proofErr w:type="spellEnd"/>
      <w:r>
        <w:t xml:space="preserve"> Alpine Resort Management Board were amalgamated to form a new entity, the Southern Alpine Resort Management Board under the </w:t>
      </w:r>
      <w:r w:rsidRPr="00BC5BCC">
        <w:rPr>
          <w:i w:val="0"/>
        </w:rPr>
        <w:t>Alpine Resorts Legislation Amendment Act 2016</w:t>
      </w:r>
      <w:r>
        <w:t xml:space="preserve">. </w:t>
      </w:r>
    </w:p>
    <w:p w:rsidR="00BB6F1F" w:rsidRDefault="00BB6F1F" w:rsidP="00AC68FF">
      <w:pPr>
        <w:pStyle w:val="Note"/>
      </w:pPr>
      <w:r>
        <w:t>(k)</w:t>
      </w:r>
      <w:r>
        <w:tab/>
      </w:r>
      <w:r w:rsidRPr="00D906B4">
        <w:t xml:space="preserve">The </w:t>
      </w:r>
      <w:r w:rsidRPr="00BC5BCC">
        <w:rPr>
          <w:i w:val="0"/>
        </w:rPr>
        <w:t>Kardinia Park Stadium Act 2016</w:t>
      </w:r>
      <w:r w:rsidRPr="00D906B4">
        <w:t xml:space="preserve"> established the Kardinia Park Stadium Trust as a statutory public sector body to administer the Kardinia Park Trust Land and other land and facilities for the purposes of sports, recreation, entertainment and related social and other activities. The Act commenced on 16 March 2016, with the Trust assuming financial responsibility from 1 July 2016.</w:t>
      </w:r>
    </w:p>
    <w:p w:rsidR="00BB6F1F" w:rsidRDefault="00BB6F1F" w:rsidP="00AC68FF">
      <w:pPr>
        <w:pStyle w:val="Note"/>
      </w:pPr>
      <w:r>
        <w:t>(l)</w:t>
      </w:r>
      <w:r>
        <w:tab/>
        <w:t>Effective from 1 October 2016, portfolio responsibility for the Melbourne and Olympic Parks Trust was transferred from DEDJTR to DHHS.</w:t>
      </w:r>
    </w:p>
    <w:p w:rsidR="00BB6F1F" w:rsidRDefault="00BB6F1F" w:rsidP="00AC68FF">
      <w:pPr>
        <w:pStyle w:val="Note"/>
      </w:pPr>
      <w:r>
        <w:t xml:space="preserve">(m) </w:t>
      </w:r>
      <w:r>
        <w:tab/>
        <w:t>Effective from 1 July 2017, portfolio responsibility for the Queen Victoria Women’s Centre Trust was transferred from the Department of Premier and Cabinet to DHHS.</w:t>
      </w:r>
    </w:p>
    <w:p w:rsidR="00BB6F1F" w:rsidRDefault="00BB6F1F" w:rsidP="00AC68FF">
      <w:pPr>
        <w:pStyle w:val="Note"/>
      </w:pPr>
      <w:r>
        <w:t>(n)</w:t>
      </w:r>
      <w:r>
        <w:tab/>
        <w:t>Port of Melbourne Operations Pty Ltd (</w:t>
      </w:r>
      <w:proofErr w:type="spellStart"/>
      <w:r>
        <w:t>PortCo</w:t>
      </w:r>
      <w:proofErr w:type="spellEnd"/>
      <w:r>
        <w:t xml:space="preserve">) was established as a Corporations Act entity on 21 March 2016. Effective from 1 November 2016, </w:t>
      </w:r>
      <w:proofErr w:type="spellStart"/>
      <w:r>
        <w:t>PortCo</w:t>
      </w:r>
      <w:proofErr w:type="spellEnd"/>
      <w:r>
        <w:t xml:space="preserve"> was transferred to the Lonsdale consortium as part of the medium-term lease over the operations of the Port of Melbourne.</w:t>
      </w:r>
    </w:p>
    <w:p w:rsidR="00BB6F1F" w:rsidRDefault="00BB6F1F" w:rsidP="00AC68FF">
      <w:pPr>
        <w:pStyle w:val="Note"/>
      </w:pPr>
      <w:r>
        <w:t>(o)</w:t>
      </w:r>
      <w:r>
        <w:tab/>
        <w:t xml:space="preserve">On 1 April 2017, under the </w:t>
      </w:r>
      <w:r w:rsidRPr="00BC5BCC">
        <w:rPr>
          <w:i w:val="0"/>
        </w:rPr>
        <w:t>Urban Renewal Authority Victoria Amendment (Development Victoria) Act 2017</w:t>
      </w:r>
      <w:r>
        <w:t>, Urban Renewal Authority Victoria (Places Victoria) and Major Projects Victoria merged to form a new public non-financial corporation named Development Victoria.</w:t>
      </w:r>
    </w:p>
    <w:p w:rsidR="00BB6F1F" w:rsidRDefault="00BB6F1F" w:rsidP="00AC68FF">
      <w:pPr>
        <w:pStyle w:val="Note"/>
      </w:pPr>
      <w:r>
        <w:t>(p)</w:t>
      </w:r>
      <w:r>
        <w:tab/>
        <w:t>Melbourne Port Lessor Pty Ltd (Port Lessor) was established as a Corporations Act entity on 21 March 2016. Effective from 1 July 2016, Port Lessor commenced operations.</w:t>
      </w:r>
    </w:p>
    <w:p w:rsidR="00BB6F1F" w:rsidRDefault="00BB6F1F" w:rsidP="00AC68FF">
      <w:pPr>
        <w:pStyle w:val="Note"/>
      </w:pPr>
      <w:r>
        <w:t>(q)</w:t>
      </w:r>
      <w:r>
        <w:tab/>
        <w:t>Effective from 1 November 2016, the Port of Melbourne Corporation was renamed the Victorian Ports Corporation (Melbourne).</w:t>
      </w:r>
    </w:p>
    <w:p w:rsidR="00BB6F1F" w:rsidRDefault="00BB6F1F" w:rsidP="00AC68FF"/>
    <w:p w:rsidR="00BB6F1F" w:rsidRDefault="00BB6F1F" w:rsidP="00BB6F1F">
      <w:pPr>
        <w:pStyle w:val="Heading2"/>
        <w:numPr>
          <w:ilvl w:val="1"/>
          <w:numId w:val="24"/>
        </w:numPr>
        <w:sectPr w:rsidR="00BB6F1F" w:rsidSect="00AC68FF">
          <w:type w:val="continuous"/>
          <w:pgSz w:w="11907" w:h="16839" w:code="9"/>
          <w:pgMar w:top="1134" w:right="1134" w:bottom="1134" w:left="1134" w:header="624" w:footer="567" w:gutter="0"/>
          <w:cols w:sep="1" w:space="567"/>
          <w:docGrid w:linePitch="360"/>
        </w:sectPr>
      </w:pPr>
      <w:bookmarkStart w:id="104" w:name="_Toc462418982"/>
    </w:p>
    <w:p w:rsidR="00BB6F1F" w:rsidRDefault="00BB6F1F">
      <w:pPr>
        <w:keepLines w:val="0"/>
        <w:rPr>
          <w:rFonts w:asciiTheme="majorHAnsi" w:eastAsiaTheme="majorEastAsia" w:hAnsiTheme="majorHAnsi" w:cstheme="majorBidi"/>
          <w:b/>
          <w:spacing w:val="-2"/>
          <w:sz w:val="26"/>
          <w:szCs w:val="26"/>
        </w:rPr>
      </w:pPr>
      <w:r>
        <w:lastRenderedPageBreak/>
        <w:br w:type="page"/>
      </w:r>
    </w:p>
    <w:p w:rsidR="00BB6F1F" w:rsidRPr="003260E9" w:rsidRDefault="00BB6F1F" w:rsidP="00BB6F1F">
      <w:pPr>
        <w:pStyle w:val="Heading2"/>
        <w:numPr>
          <w:ilvl w:val="1"/>
          <w:numId w:val="24"/>
        </w:numPr>
      </w:pPr>
      <w:bookmarkStart w:id="105" w:name="_Toc492984975"/>
      <w:r w:rsidRPr="003260E9">
        <w:lastRenderedPageBreak/>
        <w:t>Glossary of technical terms</w:t>
      </w:r>
      <w:bookmarkEnd w:id="104"/>
      <w:bookmarkEnd w:id="105"/>
    </w:p>
    <w:p w:rsidR="00BB6F1F" w:rsidRPr="002E5E67" w:rsidRDefault="00BB6F1F" w:rsidP="00AC68FF">
      <w:r w:rsidRPr="008843C6">
        <w:t>The following is a summary of the major tech</w:t>
      </w:r>
      <w:r>
        <w:t xml:space="preserve">nical terms used in this report as sourced from the </w:t>
      </w:r>
      <w:r>
        <w:rPr>
          <w:i/>
        </w:rPr>
        <w:t>Uniform Presentation Framework (2008)</w:t>
      </w:r>
      <w:r>
        <w:t xml:space="preserve">. Technical terms that have been discussed elsewhere in this chapter are excluded from the list below. </w:t>
      </w:r>
    </w:p>
    <w:p w:rsidR="00BB6F1F" w:rsidRDefault="00BB6F1F" w:rsidP="00AC68FF">
      <w:pPr>
        <w:keepNext/>
        <w:spacing w:before="240"/>
        <w:outlineLvl w:val="2"/>
      </w:pPr>
      <w:r w:rsidRPr="00BB74F7">
        <w:rPr>
          <w:b/>
        </w:rPr>
        <w:t>ABS GFS manual</w:t>
      </w:r>
      <w:r w:rsidRPr="008843C6">
        <w:t xml:space="preserve"> </w:t>
      </w:r>
      <w:r>
        <w:t>represents</w:t>
      </w:r>
      <w:r w:rsidRPr="008843C6">
        <w:t xml:space="preserve"> </w:t>
      </w:r>
      <w:r>
        <w:t xml:space="preserve">the </w:t>
      </w:r>
      <w:r w:rsidRPr="008843C6">
        <w:t xml:space="preserve">ABS publication </w:t>
      </w:r>
      <w:r w:rsidRPr="008843C6">
        <w:rPr>
          <w:i/>
        </w:rPr>
        <w:t>Australian System of Government Finance Statistics: Concepts, Sources and Methods 2005</w:t>
      </w:r>
      <w:r w:rsidRPr="008843C6">
        <w:t xml:space="preserve"> as updated from time to time.</w:t>
      </w:r>
    </w:p>
    <w:p w:rsidR="00BB6F1F" w:rsidRDefault="00BB6F1F" w:rsidP="00AC68FF">
      <w:r w:rsidRPr="00954B6C">
        <w:rPr>
          <w:b/>
        </w:rPr>
        <w:t>Capital grants</w:t>
      </w:r>
      <w:r>
        <w:t xml:space="preserve"> are transactions in which the ownership of an asset (other than cash and inventories) is transferred from one institutional unit to another, to enable the recipient to acquire another asset or in which the funds realised by the disposal of another asset are transferred, for which no economic benefits of equal value are receivable or payable in return.</w:t>
      </w:r>
    </w:p>
    <w:p w:rsidR="00BB6F1F" w:rsidRPr="00BB74F7" w:rsidRDefault="00BB6F1F" w:rsidP="00AC68FF">
      <w:r w:rsidRPr="00BB74F7">
        <w:rPr>
          <w:b/>
        </w:rPr>
        <w:t>Cash surplus/deficit</w:t>
      </w:r>
      <w:r>
        <w:t xml:space="preserve"> represents the n</w:t>
      </w:r>
      <w:r w:rsidRPr="00BB74F7">
        <w:t>et cash flows from operating activities plus net cas</w:t>
      </w:r>
      <w:r>
        <w:t>h flows from investments in non</w:t>
      </w:r>
      <w:r>
        <w:noBreakHyphen/>
      </w:r>
      <w:r w:rsidRPr="00BB74F7">
        <w:t>financial assets (less dividends paid for the PNFC and PFC sectors).</w:t>
      </w:r>
    </w:p>
    <w:p w:rsidR="00BB6F1F" w:rsidRPr="00BB74F7" w:rsidRDefault="00BB6F1F" w:rsidP="00AC68FF">
      <w:r w:rsidRPr="00BB74F7">
        <w:rPr>
          <w:b/>
        </w:rPr>
        <w:t>Cash surplus/deficit – ABS GFS version</w:t>
      </w:r>
      <w:r>
        <w:t xml:space="preserve"> is e</w:t>
      </w:r>
      <w:r w:rsidRPr="00BB74F7">
        <w:t>qual to the cash surplus deficit (above) less the value of assets acquired under finance leases and similar arrangements.</w:t>
      </w:r>
    </w:p>
    <w:p w:rsidR="00BB6F1F" w:rsidRPr="00BB74F7" w:rsidRDefault="00BB6F1F" w:rsidP="00AC68FF">
      <w:r w:rsidRPr="00BB74F7">
        <w:rPr>
          <w:b/>
        </w:rPr>
        <w:t>Change in net worth</w:t>
      </w:r>
      <w:r w:rsidRPr="00BB74F7">
        <w:t xml:space="preserve"> (comprehensive result) is revenue from transactions less expenses from transactions plus other economic flows and measures the variation in a government’s accumulated assets and liabilities.</w:t>
      </w:r>
    </w:p>
    <w:p w:rsidR="00BB6F1F" w:rsidRDefault="00BB6F1F" w:rsidP="00AC68FF">
      <w:r w:rsidRPr="00E97677">
        <w:rPr>
          <w:b/>
        </w:rPr>
        <w:t>Comprehensive result</w:t>
      </w:r>
      <w:r>
        <w:t xml:space="preserve"> is the amount included in the operating statement representing total change in net worth other than transactions with owners as owners.</w:t>
      </w:r>
    </w:p>
    <w:p w:rsidR="00BB6F1F" w:rsidRDefault="00BB6F1F" w:rsidP="00AC68FF">
      <w:r w:rsidRPr="00954B6C">
        <w:rPr>
          <w:b/>
        </w:rPr>
        <w:t>Current grants</w:t>
      </w:r>
      <w:r>
        <w:t xml:space="preserve"> are amounts payable or paid for current purposes for which no economic benefits of equal value are receivable or payable in return.</w:t>
      </w:r>
    </w:p>
    <w:p w:rsidR="00BB6F1F" w:rsidRDefault="00BB6F1F" w:rsidP="00AC68FF">
      <w:r w:rsidRPr="00E97677">
        <w:rPr>
          <w:b/>
        </w:rPr>
        <w:t>Effective interest method</w:t>
      </w:r>
      <w:r>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rsidR="00BB6F1F" w:rsidRPr="008843C6" w:rsidRDefault="00BB6F1F" w:rsidP="00AC68FF">
      <w:r w:rsidRPr="00BB74F7">
        <w:rPr>
          <w:b/>
        </w:rPr>
        <w:lastRenderedPageBreak/>
        <w:t>Fiscal aggregates</w:t>
      </w:r>
      <w:r>
        <w:rPr>
          <w:b/>
        </w:rPr>
        <w:t xml:space="preserve">: </w:t>
      </w:r>
      <w:r w:rsidRPr="008843C6">
        <w:t xml:space="preserve">Analytical balances that are useful for macroeconomic analysis purposes, including assessing the impact of a government and its sectors on the economy. Key fiscal aggregates defined under ABS GFS manual are required to be disclosed under AASB 1049 </w:t>
      </w:r>
      <w:r w:rsidRPr="008843C6">
        <w:rPr>
          <w:i/>
        </w:rPr>
        <w:t>Whole of Government and General Government Sector Financial Reporting</w:t>
      </w:r>
      <w:r w:rsidRPr="008843C6">
        <w:t>. They are: opening net worth, net operating balance, net lending/(borrowing), change in net worth due to revaluations, change in net worth due to other changes in the volume of assets, total change in net worth, closing net worth, and cash surplus/(deficit). AASB 1049 also allows additional fiscal aggregates to be included such as net financial worth, net financial liabilities and net debt.</w:t>
      </w:r>
    </w:p>
    <w:p w:rsidR="00BB6F1F" w:rsidRDefault="00BB6F1F" w:rsidP="00AC68FF">
      <w:r w:rsidRPr="00BB74F7">
        <w:rPr>
          <w:b/>
        </w:rPr>
        <w:t>Government Finance Statistics</w:t>
      </w:r>
      <w:r>
        <w:t xml:space="preserve"> (GFS) </w:t>
      </w:r>
      <w:r w:rsidRPr="008843C6">
        <w:t>enables policymakers and analysts to study developments in the financial operations, financial position and liquidity situation of the Government. More details about the GFS can be found in the Australian Bureau of Statistics GFS manual</w:t>
      </w:r>
      <w:r w:rsidRPr="008843C6">
        <w:rPr>
          <w:i/>
        </w:rPr>
        <w:t xml:space="preserve"> Australian System of Government Finance Statistics: Concepts, Sources and Methods 2005</w:t>
      </w:r>
      <w:r w:rsidRPr="008843C6">
        <w:t>.</w:t>
      </w:r>
    </w:p>
    <w:p w:rsidR="00BB6F1F" w:rsidRDefault="00BB6F1F" w:rsidP="00AC68FF">
      <w:r w:rsidRPr="00C34757">
        <w:rPr>
          <w:b/>
        </w:rPr>
        <w:t>Infrastructure systems</w:t>
      </w:r>
      <w:r>
        <w:t xml:space="preserve"> provide essential services used in delivering final services or products. They are generally a complex interconnected network of individual assets and mainly include sewerage systems, water storage and supply systems, and public transport assets owned by the State.</w:t>
      </w:r>
    </w:p>
    <w:p w:rsidR="00BB6F1F" w:rsidRDefault="00BB6F1F" w:rsidP="00AC68FF">
      <w:r w:rsidRPr="00C34757">
        <w:rPr>
          <w:b/>
        </w:rPr>
        <w:t>Interest expense</w:t>
      </w:r>
      <w:r>
        <w:t xml:space="preserve"> represents costs incurred in connection with borrowings. It includes interest on advances, loans, overdrafts, bonds and bills, deposits, interest components of finance lease repayments, and amortisation of discounts or premiums in relation to borrowings.</w:t>
      </w:r>
    </w:p>
    <w:p w:rsidR="00BB6F1F" w:rsidRDefault="00BB6F1F" w:rsidP="00AC68FF">
      <w:r w:rsidRPr="00C34757">
        <w:rPr>
          <w:b/>
        </w:rPr>
        <w:t>Key fiscal aggregates</w:t>
      </w:r>
      <w:r>
        <w:t xml:space="preserve"> are referred to as analytical balances in the ABS GFS manual, key fiscal aggregates are data identified as useful for macroeconomic analysis purposes, including assessing the impact of a government and its sectors on the economy. They are opening net worth; net operating balance; net lending/(borrowing); change in net worth due to revaluations; change in net worth due to other changes in the volume of assets; total change in net worth; closing net worth; and cash surplus/(deficit). </w:t>
      </w:r>
    </w:p>
    <w:p w:rsidR="00BB6F1F" w:rsidRDefault="00BB6F1F" w:rsidP="00AC68FF">
      <w:r w:rsidRPr="00C34757">
        <w:rPr>
          <w:b/>
        </w:rPr>
        <w:t>Net acquisition of no</w:t>
      </w:r>
      <w:r w:rsidRPr="00A87409">
        <w:rPr>
          <w:b/>
        </w:rPr>
        <w:t>n-financial assets (from transactions)</w:t>
      </w:r>
      <w:r>
        <w:t xml:space="preserve"> are purchases (and other acquisitions)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 offs, impairment write downs and revaluations.</w:t>
      </w:r>
    </w:p>
    <w:p w:rsidR="00BB6F1F" w:rsidRPr="008843C6" w:rsidRDefault="00BB6F1F" w:rsidP="00AC68FF">
      <w:r w:rsidRPr="00A87409">
        <w:rPr>
          <w:b/>
        </w:rPr>
        <w:lastRenderedPageBreak/>
        <w:t>Net cash flows from investments in financial assets (liquidity management purposes)</w:t>
      </w:r>
      <w:r w:rsidRPr="008843C6">
        <w:t xml:space="preserve"> are cash receipts from liquidation or repayment of investments in financial assets for liquidity management purposes less cash payments for such investments. Investment for liquidity management purposes means making funds available to others with no policy intent and with the aim of earning a commercial rate of return. </w:t>
      </w:r>
    </w:p>
    <w:p w:rsidR="00BB6F1F" w:rsidRPr="008843C6" w:rsidRDefault="00BB6F1F" w:rsidP="00AC68FF">
      <w:r w:rsidRPr="00A87409">
        <w:rPr>
          <w:b/>
        </w:rPr>
        <w:t>Net cash flows from investments in financial assets (policy purposes)</w:t>
      </w:r>
      <w:r w:rsidRPr="008843C6">
        <w:t xml:space="preserve"> represents cash payments made for acquiring financial assets for policy purposes, less cash receipts from the repayment and liquidation of such investments in financial assets.</w:t>
      </w:r>
    </w:p>
    <w:p w:rsidR="00BB6F1F" w:rsidRPr="008843C6" w:rsidRDefault="00BB6F1F" w:rsidP="00AC68FF">
      <w:r w:rsidRPr="008843C6">
        <w:t xml:space="preserve">Acquisition of financial assets for policy purposes is distinguished from investments in financial assets (liquidity management purposes) by the underlying government motivation for acquiring the assets. Acquisition of financial assets for policy purposes includes loans made by government that are motivated by Government policies, such as encouraging the development of certain industries or assisting people affected by natural disaster. </w:t>
      </w:r>
    </w:p>
    <w:p w:rsidR="00BB6F1F" w:rsidRPr="008843C6" w:rsidRDefault="00BB6F1F" w:rsidP="00AC68FF">
      <w:r w:rsidRPr="008843C6">
        <w:t>For the general government sector, this item also includes cash flows arising from the acquisition and disposal by government of its investments (contributed capital) in entities in the public non</w:t>
      </w:r>
      <w:r>
        <w:noBreakHyphen/>
      </w:r>
      <w:r w:rsidRPr="008843C6">
        <w:t>financial corporations and public financial corporations sectors.</w:t>
      </w:r>
    </w:p>
    <w:p w:rsidR="00BB6F1F" w:rsidRPr="008843C6" w:rsidRDefault="00BB6F1F" w:rsidP="00AC68FF">
      <w:r w:rsidRPr="00A87409">
        <w:rPr>
          <w:b/>
        </w:rPr>
        <w:t>Net debt</w:t>
      </w:r>
      <w:r w:rsidRPr="008843C6">
        <w:t xml:space="preserve"> equals sum of deposits held, advances received, government securities, loans and other borrowing less the sum of cash and deposits, advances paid and investments, loans and placements. For the PFC sector, this also includes loans receivable from other sector entities.</w:t>
      </w:r>
    </w:p>
    <w:p w:rsidR="00BB6F1F" w:rsidRDefault="00BB6F1F" w:rsidP="00AC68FF">
      <w:r w:rsidRPr="00C34757">
        <w:rPr>
          <w:b/>
        </w:rPr>
        <w:t>Net financial liabilities</w:t>
      </w:r>
      <w:r>
        <w:t xml:space="preserve"> is calculated as liabilities less financial assets, other than equity in PNFCs and </w:t>
      </w:r>
      <w:proofErr w:type="spellStart"/>
      <w:r>
        <w:t>PFCs.</w:t>
      </w:r>
      <w:proofErr w:type="spellEnd"/>
      <w:r>
        <w:t xml:space="preserve"> This measure is broader than net debt as it includes significant liabilities, other than borrowings (e.g. accrued employee liabilities such as superannuation and long service leave entitlements). For the PNFC and PFC sectors, it is equal to negative net financial worth.</w:t>
      </w:r>
    </w:p>
    <w:p w:rsidR="00BB6F1F" w:rsidRDefault="00BB6F1F" w:rsidP="00AC68FF">
      <w:r w:rsidRPr="00C34757">
        <w:rPr>
          <w:b/>
        </w:rPr>
        <w:t>Net financial worth</w:t>
      </w:r>
      <w:r>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w:t>
      </w:r>
    </w:p>
    <w:p w:rsidR="00BB6F1F" w:rsidRDefault="00BB6F1F" w:rsidP="00AC68FF">
      <w:r w:rsidRPr="00C34757">
        <w:rPr>
          <w:b/>
        </w:rPr>
        <w:lastRenderedPageBreak/>
        <w:t>Net lending/borrowing</w:t>
      </w:r>
      <w:r>
        <w:t xml:space="preserve"> is the financing requirement of government, calculated as the net operating balance less the net acquisition of non-financial assets. It also equals transactions in financial assets less transactions in liabilities. A positive result reflects a net lending position and a negative result reflects a net borrowing position.</w:t>
      </w:r>
    </w:p>
    <w:p w:rsidR="00BB6F1F" w:rsidRDefault="00BB6F1F" w:rsidP="00AC68FF">
      <w:r w:rsidRPr="00C34757">
        <w:rPr>
          <w:b/>
        </w:rPr>
        <w:t>Net operating balance – net result from transactions:</w:t>
      </w:r>
      <w:r>
        <w:t xml:space="preserve"> Net result from transactions or net operating balance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rsidR="00BB6F1F" w:rsidRDefault="00BB6F1F" w:rsidP="00AC68FF">
      <w:r w:rsidRPr="00C34757">
        <w:rPr>
          <w:b/>
        </w:rPr>
        <w:t>Net result</w:t>
      </w:r>
      <w:r>
        <w:t xml:space="preserve"> is a measure of financial performance of the operations for the period. It is the net result of items of revenue, gains and expenses (including losses) recognised for the period, excluding those that are classified as ‘other non-owner movements in equity’.</w:t>
      </w:r>
    </w:p>
    <w:p w:rsidR="00BB6F1F" w:rsidRDefault="00BB6F1F" w:rsidP="00AC68FF">
      <w:r w:rsidRPr="00C34757">
        <w:rPr>
          <w:b/>
        </w:rPr>
        <w:t>Net worth</w:t>
      </w:r>
      <w:r>
        <w:t xml:space="preserve"> is calculated as assets less liabilities, which is an economic measure of wealth.</w:t>
      </w:r>
    </w:p>
    <w:p w:rsidR="00BB6F1F" w:rsidRDefault="00BB6F1F" w:rsidP="00AC68FF">
      <w:r w:rsidRPr="00C34757">
        <w:rPr>
          <w:b/>
        </w:rPr>
        <w:t>Non-financial assets</w:t>
      </w:r>
      <w:r>
        <w:t xml:space="preserve"> are all assets that are not financial assets. It includes inventories, land, buildings, infrastructure, road networks, land under roads, plant and equipment, cultural and heritage assets, intangibles and biological assets such as commercial forests.</w:t>
      </w:r>
    </w:p>
    <w:p w:rsidR="00BB6F1F" w:rsidRDefault="00BB6F1F" w:rsidP="00AC68FF">
      <w:r w:rsidRPr="00C34757">
        <w:rPr>
          <w:b/>
        </w:rPr>
        <w:t>Non-financial public sector</w:t>
      </w:r>
      <w:r>
        <w:t xml:space="preserve"> represents the consolidated transactions and assets and liabilities of the general government and PNFC sectors. In compiling statistics for the non-financial public sector, transactions and debtor creditor relationships between sub sectors are eliminated to avoid double counting.</w:t>
      </w:r>
    </w:p>
    <w:p w:rsidR="00BB6F1F" w:rsidRDefault="00BB6F1F" w:rsidP="00AC68FF">
      <w:r>
        <w:rPr>
          <w:b/>
        </w:rPr>
        <w:t>Non-</w:t>
      </w:r>
      <w:r w:rsidRPr="00C34757">
        <w:rPr>
          <w:b/>
        </w:rPr>
        <w:t>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rsidR="00BB6F1F" w:rsidRDefault="00BB6F1F" w:rsidP="00AC68FF">
      <w:r w:rsidRPr="00C34757">
        <w:rPr>
          <w:b/>
        </w:rPr>
        <w:t>Operating result</w:t>
      </w:r>
      <w:r>
        <w:t xml:space="preserve"> is a measure of financial performance of the operations for the period. </w:t>
      </w:r>
      <w:r>
        <w:br/>
        <w:t xml:space="preserve">It is the net result of items of revenue, gains and expenses (including losses) recognised for the period, excluding those that are classified as ‘other non-owner movements in equity’. Refer also ‘net result’. </w:t>
      </w:r>
    </w:p>
    <w:p w:rsidR="00BB6F1F" w:rsidRDefault="00BB6F1F" w:rsidP="00AC68FF">
      <w:r w:rsidRPr="00C34757">
        <w:rPr>
          <w:b/>
        </w:rPr>
        <w:lastRenderedPageBreak/>
        <w:t>Other economic flows</w:t>
      </w:r>
      <w: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w:t>
      </w:r>
      <w:r>
        <w:noBreakHyphen/>
        <w:t>current physical and intangible assets; actuarial gains and losses arising from defined benefit superannuation plans; fair value changes of financial instruments and agricultural assets; and depletion of natural assets (non-produced) from their use or removal.</w:t>
      </w:r>
    </w:p>
    <w:p w:rsidR="00BB6F1F" w:rsidRDefault="00BB6F1F" w:rsidP="00AC68FF">
      <w:r w:rsidRPr="00C34757">
        <w:rPr>
          <w:b/>
        </w:rPr>
        <w:t>Produced assets</w:t>
      </w:r>
      <w:r>
        <w:t xml:space="preserve">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rsidR="00BB6F1F" w:rsidRPr="008843C6" w:rsidRDefault="00BB6F1F" w:rsidP="00AC68FF">
      <w:r w:rsidRPr="00A87409">
        <w:rPr>
          <w:b/>
        </w:rPr>
        <w:t>Roads</w:t>
      </w:r>
      <w:r w:rsidRPr="008843C6">
        <w:t xml:space="preserve"> include road pavement and road works in progress. All land under roads is included under the category of </w:t>
      </w:r>
      <w:r>
        <w:t>‘</w:t>
      </w:r>
      <w:r w:rsidRPr="008843C6">
        <w:t>land</w:t>
      </w:r>
      <w:r>
        <w:t>’</w:t>
      </w:r>
      <w:r w:rsidRPr="008843C6">
        <w:t>.</w:t>
      </w:r>
    </w:p>
    <w:p w:rsidR="00BB6F1F" w:rsidRPr="008843C6" w:rsidRDefault="00BB6F1F" w:rsidP="00AC68FF">
      <w:r w:rsidRPr="00A87409">
        <w:rPr>
          <w:b/>
        </w:rPr>
        <w:t>Road infrastructure</w:t>
      </w:r>
      <w:r w:rsidRPr="008843C6">
        <w:t xml:space="preserve"> mainly includes sound barriers, bridges and traffic signal control systems.</w:t>
      </w:r>
    </w:p>
    <w:p w:rsidR="00BB6F1F" w:rsidRPr="008843C6" w:rsidRDefault="00BB6F1F" w:rsidP="00AC68FF">
      <w:r w:rsidRPr="00A87409">
        <w:rPr>
          <w:b/>
        </w:rPr>
        <w:lastRenderedPageBreak/>
        <w:t>Taxation revenue</w:t>
      </w:r>
      <w:r w:rsidRPr="00D2308C">
        <w:t xml:space="preserve"> represents revenue received from the State</w:t>
      </w:r>
      <w:r>
        <w:t>’</w:t>
      </w:r>
      <w:r w:rsidRPr="00D2308C">
        <w:t>s taxpayers and includes: payroll tax, land tax, duties levied principally on conveyances and land transfers, gambling taxes levied mainly on private lotteries, electronic gaming machines, casino operations and racing, insurance duty relating to compulsory third party, life and non</w:t>
      </w:r>
      <w:r>
        <w:noBreakHyphen/>
      </w:r>
      <w:r w:rsidRPr="00D2308C">
        <w:t>life policies, insurance company contributions to fire brigades, Fire Services Property Levy, motor vehicle taxes, including registration fees and duty on registrations and transfers, levies (including the environmental levy) on statutory corporations in other sectors of government</w:t>
      </w:r>
      <w:r>
        <w:t>,</w:t>
      </w:r>
      <w:r w:rsidRPr="00D2308C">
        <w:t xml:space="preserve"> and other taxes, including landfill levies, licence and concession fees.</w:t>
      </w:r>
    </w:p>
    <w:p w:rsidR="00BB6F1F" w:rsidRDefault="00BB6F1F" w:rsidP="00AC68FF">
      <w:r w:rsidRPr="00C34757">
        <w:rPr>
          <w:b/>
        </w:rPr>
        <w:t xml:space="preserve">Transactions </w:t>
      </w:r>
      <w:r>
        <w:t>are those economic flows that are considered to arise as a result of policy decisions, usually interactions between two entities by mutual agreement, and also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cash or in kind (e.g. assets provided/given free of charge or for nominal consideration). In simple terms, transactions arise from the policy decisions of the Government.</w:t>
      </w:r>
    </w:p>
    <w:p w:rsidR="00BB6F1F" w:rsidRDefault="00BB6F1F" w:rsidP="00AC68FF"/>
    <w:p w:rsidR="00BB6F1F" w:rsidRDefault="00BB6F1F" w:rsidP="00AC68FF">
      <w:pPr>
        <w:sectPr w:rsidR="00BB6F1F" w:rsidSect="00AC68FF">
          <w:headerReference w:type="even" r:id="rId158"/>
          <w:headerReference w:type="default" r:id="rId159"/>
          <w:type w:val="continuous"/>
          <w:pgSz w:w="11907" w:h="16839" w:code="9"/>
          <w:pgMar w:top="1134" w:right="1134" w:bottom="1134" w:left="1134" w:header="624" w:footer="567" w:gutter="0"/>
          <w:cols w:num="2" w:space="567"/>
          <w:docGrid w:linePitch="360"/>
        </w:sectPr>
      </w:pPr>
    </w:p>
    <w:p w:rsidR="00BB6F1F" w:rsidRDefault="00BB6F1F" w:rsidP="00AC68FF"/>
    <w:p w:rsidR="00BB6F1F" w:rsidRDefault="00BB6F1F">
      <w:pPr>
        <w:keepLines w:val="0"/>
      </w:pPr>
    </w:p>
    <w:p w:rsidR="00BB6F1F" w:rsidRDefault="00BB6F1F">
      <w:pPr>
        <w:keepLines w:val="0"/>
      </w:pPr>
      <w:r>
        <w:br w:type="page"/>
      </w:r>
    </w:p>
    <w:p w:rsidR="00BB6F1F" w:rsidRDefault="00BB6F1F">
      <w:pPr>
        <w:keepLines w:val="0"/>
      </w:pPr>
      <w:r>
        <w:lastRenderedPageBreak/>
        <w:br w:type="page"/>
      </w:r>
    </w:p>
    <w:bookmarkEnd w:id="88"/>
    <w:p w:rsidR="00BB6F1F" w:rsidRDefault="00BB6F1F">
      <w:pPr>
        <w:keepLines w:val="0"/>
        <w:sectPr w:rsidR="00BB6F1F" w:rsidSect="00AC68FF">
          <w:headerReference w:type="even" r:id="rId160"/>
          <w:headerReference w:type="default" r:id="rId161"/>
          <w:footerReference w:type="even" r:id="rId162"/>
          <w:footerReference w:type="default" r:id="rId163"/>
          <w:type w:val="continuous"/>
          <w:pgSz w:w="11907" w:h="16839" w:code="9"/>
          <w:pgMar w:top="1134" w:right="1134" w:bottom="1134" w:left="1134" w:header="624" w:footer="567" w:gutter="0"/>
          <w:cols w:sep="1" w:space="567"/>
          <w:docGrid w:linePitch="360"/>
        </w:sectPr>
      </w:pPr>
    </w:p>
    <w:p w:rsidR="00BB6F1F" w:rsidRPr="00BC5BCC" w:rsidRDefault="00BB6F1F" w:rsidP="00BC5BCC">
      <w:pPr>
        <w:pStyle w:val="Chapterheading"/>
      </w:pPr>
      <w:bookmarkStart w:id="106" w:name="_Toc492985881"/>
      <w:r w:rsidRPr="00BC5BCC">
        <w:lastRenderedPageBreak/>
        <w:t>Chapter 5 – Supplementary uniform presentation framework tables</w:t>
      </w:r>
      <w:bookmarkEnd w:id="106"/>
    </w:p>
    <w:p w:rsidR="00BB6F1F" w:rsidRPr="00BC5BCC" w:rsidRDefault="00BB6F1F" w:rsidP="00BC5BCC">
      <w:pPr>
        <w:pStyle w:val="Chapterheading"/>
        <w:sectPr w:rsidR="00BB6F1F" w:rsidRPr="00BC5BCC" w:rsidSect="00AC68FF">
          <w:headerReference w:type="default" r:id="rId164"/>
          <w:footerReference w:type="even" r:id="rId165"/>
          <w:footerReference w:type="default" r:id="rId166"/>
          <w:type w:val="continuous"/>
          <w:pgSz w:w="11907" w:h="16839" w:code="9"/>
          <w:pgMar w:top="1134" w:right="1134" w:bottom="1134" w:left="1134" w:header="624" w:footer="567" w:gutter="0"/>
          <w:cols w:sep="1" w:space="567"/>
          <w:docGrid w:linePitch="360"/>
        </w:sectPr>
      </w:pPr>
    </w:p>
    <w:p w:rsidR="00BB6F1F" w:rsidRDefault="00BB6F1F" w:rsidP="00AC68FF">
      <w:pPr>
        <w:pStyle w:val="Heading10"/>
        <w:spacing w:before="0"/>
      </w:pPr>
      <w:r>
        <w:lastRenderedPageBreak/>
        <w:t>THE ACCRUAL GOVERNMENT FINANCE STATISTICS PRESENTATION</w:t>
      </w:r>
    </w:p>
    <w:p w:rsidR="00BB6F1F" w:rsidRDefault="00BB6F1F" w:rsidP="00AC68FF">
      <w:r>
        <w:t>The Government Finance Statistics (GFS) system employed by the Australian Bureau of Statistics (ABS) is designed to provide statistics relating to the finances of the Australian public sector. The statistics show the consolidated transactions and balances of the various institutional sectors of government from an economic viewpoint, providing details of the revenue, expenses, payments, receipts, assets and liabilities. It includes only those transactions and balances over which a government exercises control under its legislative or policy framework and excludes from the calculation of net operating balance both revaluations (realised and unrealised gains or losses) arising from a change in market prices, and other changes in the volume of assets that result from discoveries, depletion and destruction of assets. These gains and losses are classified as other economic flows.</w:t>
      </w:r>
    </w:p>
    <w:p w:rsidR="00BB6F1F" w:rsidRDefault="00BB6F1F" w:rsidP="00AC68FF">
      <w:pPr>
        <w:pStyle w:val="Heading10"/>
        <w:spacing w:before="0"/>
      </w:pPr>
      <w:r>
        <w:lastRenderedPageBreak/>
        <w:t>GENERALLY ACCEPTED ACCOUNTING PRINCIPLES/GOVERNMENT FINANCE STATISTICS HARMONISATION</w:t>
      </w:r>
    </w:p>
    <w:p w:rsidR="00BB6F1F" w:rsidRDefault="00BB6F1F" w:rsidP="00AC68FF">
      <w:r>
        <w:t xml:space="preserve">In October 2007, the Australian Accounting Standards Board issued a new standard AASB 1049 </w:t>
      </w:r>
      <w:r w:rsidRPr="00BC3470">
        <w:rPr>
          <w:i/>
        </w:rPr>
        <w:t>Whole of Government and General Government Sector Financial Reporting</w:t>
      </w:r>
      <w:r>
        <w:t xml:space="preserve">, applicable from 1 July 2008. The objective as set out by the Financial Reporting Council in December 2002 is ‘to achieve an Australian accounting standard for a single set of government reports which are auditable, comparable between jurisdictions, and in which the outcome statements as directly comparable with the relevant budget statements’. This standard incorporates the major elements of the GFS framework, including the presentation formats and key fiscal aggregates, into a standard based on generally accepted accounting principles (GAAP). </w:t>
      </w:r>
    </w:p>
    <w:p w:rsidR="00BB6F1F" w:rsidRDefault="00BB6F1F" w:rsidP="00AC68FF">
      <w:r>
        <w:t>The current Uniform Presentation Framework (UPF) was agreed by the Australian Loan Council in March 2008, based on AASB 1049, and similarly applicable from the reporting period commencing 1 July 2008. In addition to the audited Annual Financial Report presented in Chapter 4, the following statements are also required to be presented under the UPF.</w:t>
      </w:r>
    </w:p>
    <w:p w:rsidR="00BB6F1F" w:rsidRDefault="00BB6F1F" w:rsidP="00A171DC"/>
    <w:p w:rsidR="00BB6F1F" w:rsidRDefault="00BB6F1F" w:rsidP="00A171DC"/>
    <w:p w:rsidR="00BB6F1F" w:rsidRDefault="00BB6F1F" w:rsidP="00A171DC">
      <w:r>
        <w:br w:type="page"/>
      </w:r>
    </w:p>
    <w:p w:rsidR="00BB6F1F" w:rsidRDefault="00BB6F1F">
      <w:pPr>
        <w:keepLines w:val="0"/>
        <w:sectPr w:rsidR="00BB6F1F" w:rsidSect="00AC68FF">
          <w:type w:val="continuous"/>
          <w:pgSz w:w="11907" w:h="16839" w:code="9"/>
          <w:pgMar w:top="1134" w:right="1134" w:bottom="1134" w:left="1134" w:header="624" w:footer="567" w:gutter="0"/>
          <w:cols w:num="2" w:space="567"/>
          <w:docGrid w:linePitch="360"/>
        </w:sectPr>
      </w:pPr>
    </w:p>
    <w:p w:rsidR="00BB6F1F" w:rsidRPr="003E3043" w:rsidRDefault="00BB6F1F" w:rsidP="00AC68FF">
      <w:pPr>
        <w:pStyle w:val="Heading10"/>
        <w:spacing w:before="0"/>
      </w:pPr>
      <w:r w:rsidRPr="003E3043">
        <w:lastRenderedPageBreak/>
        <w:t>Financial statements for the non-financial public sector</w:t>
      </w:r>
    </w:p>
    <w:p w:rsidR="00BB6F1F" w:rsidRPr="00AF64A6" w:rsidRDefault="00BB6F1F" w:rsidP="00AC68FF">
      <w:pPr>
        <w:pStyle w:val="TableHeading"/>
        <w:rPr>
          <w:bCs/>
          <w:lang w:val="en-US"/>
        </w:rPr>
      </w:pPr>
      <w:r>
        <w:t>Table 5.1:</w:t>
      </w:r>
      <w:r>
        <w:tab/>
        <w:t>Non-financial public sector operating statement for the financial year ended 30 June</w:t>
      </w:r>
      <w:r>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822"/>
        <w:gridCol w:w="992"/>
      </w:tblGrid>
      <w:tr w:rsidR="00BB6F1F" w:rsidRPr="00AF64A6"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rsidR="00BB6F1F" w:rsidRPr="00AF64A6" w:rsidRDefault="00BB6F1F" w:rsidP="00AC68FF">
            <w:pPr>
              <w:autoSpaceDE w:val="0"/>
              <w:autoSpaceDN w:val="0"/>
              <w:adjustRightInd w:val="0"/>
              <w:rPr>
                <w:rFonts w:eastAsiaTheme="minorEastAsia" w:cs="Calibri"/>
                <w:iCs/>
                <w:color w:val="FFFFFF"/>
                <w:lang w:eastAsia="en-AU"/>
              </w:rPr>
            </w:pPr>
            <w:r w:rsidRPr="00AF64A6">
              <w:rPr>
                <w:rFonts w:eastAsiaTheme="minorEastAsia" w:cs="Calibri"/>
                <w:iCs/>
                <w:color w:val="FFFFFF"/>
                <w:lang w:eastAsia="en-AU"/>
              </w:rPr>
              <w:t xml:space="preserve"> </w:t>
            </w:r>
          </w:p>
        </w:tc>
        <w:tc>
          <w:tcPr>
            <w:tcW w:w="822" w:type="dxa"/>
            <w:tcBorders>
              <w:top w:val="nil"/>
              <w:left w:val="nil"/>
              <w:bottom w:val="nil"/>
              <w:right w:val="nil"/>
            </w:tcBorders>
            <w:shd w:val="solid" w:color="000000" w:fill="auto"/>
          </w:tcPr>
          <w:p w:rsidR="00BB6F1F" w:rsidRPr="00AF64A6"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AF64A6">
              <w:rPr>
                <w:rFonts w:eastAsiaTheme="minorEastAsia" w:cs="Calibri"/>
                <w:iCs/>
                <w:color w:val="FFFFFF"/>
                <w:szCs w:val="18"/>
                <w:lang w:eastAsia="en-AU"/>
              </w:rPr>
              <w:t>2017</w:t>
            </w:r>
          </w:p>
        </w:tc>
        <w:tc>
          <w:tcPr>
            <w:tcW w:w="992" w:type="dxa"/>
            <w:tcBorders>
              <w:top w:val="nil"/>
              <w:left w:val="nil"/>
              <w:bottom w:val="nil"/>
              <w:right w:val="nil"/>
            </w:tcBorders>
            <w:shd w:val="solid" w:color="000000" w:fill="auto"/>
          </w:tcPr>
          <w:p w:rsidR="00BB6F1F" w:rsidRPr="00AF64A6"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AF64A6">
              <w:rPr>
                <w:rFonts w:eastAsiaTheme="minorEastAsia" w:cs="Calibri"/>
                <w:iCs/>
                <w:color w:val="FFFFFF"/>
                <w:szCs w:val="18"/>
                <w:lang w:eastAsia="en-AU"/>
              </w:rPr>
              <w:t>2016</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Revenue from transactions</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Taxation revenue</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21 908</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19 460</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Interest</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337</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361</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Pr>
                <w:rFonts w:eastAsiaTheme="minorEastAsia" w:cs="Calibri"/>
                <w:color w:val="000000"/>
                <w:szCs w:val="16"/>
                <w:lang w:eastAsia="en-AU"/>
              </w:rPr>
              <w:t xml:space="preserve">Dividends, </w:t>
            </w:r>
            <w:r w:rsidRPr="00AF64A6">
              <w:rPr>
                <w:rFonts w:eastAsiaTheme="minorEastAsia" w:cs="Calibri"/>
                <w:color w:val="000000"/>
                <w:szCs w:val="16"/>
                <w:lang w:eastAsia="en-AU"/>
              </w:rPr>
              <w:t>income tax equivalent and rate equivalent revenue</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316</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301</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Sales of goods and services</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10 880</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10 869</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Grant revenue</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27 525</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25 402</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single" w:sz="6" w:space="0" w:color="000000"/>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Other revenue</w:t>
            </w:r>
          </w:p>
        </w:tc>
        <w:tc>
          <w:tcPr>
            <w:tcW w:w="822" w:type="dxa"/>
            <w:tcBorders>
              <w:top w:val="nil"/>
              <w:left w:val="nil"/>
              <w:bottom w:val="single" w:sz="6"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3 388</w:t>
            </w:r>
          </w:p>
        </w:tc>
        <w:tc>
          <w:tcPr>
            <w:tcW w:w="992" w:type="dxa"/>
            <w:tcBorders>
              <w:top w:val="nil"/>
              <w:left w:val="nil"/>
              <w:bottom w:val="single" w:sz="6"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3 814</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Total revenue from transactions</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AF64A6">
              <w:rPr>
                <w:rFonts w:eastAsiaTheme="minorEastAsia" w:cs="Calibri"/>
                <w:b/>
                <w:bCs/>
                <w:color w:val="000000"/>
                <w:szCs w:val="18"/>
                <w:lang w:eastAsia="en-AU"/>
              </w:rPr>
              <w:t>64 352</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AF64A6">
              <w:rPr>
                <w:rFonts w:eastAsiaTheme="minorEastAsia" w:cs="Calibri"/>
                <w:b/>
                <w:bCs/>
                <w:color w:val="000000"/>
                <w:szCs w:val="18"/>
                <w:lang w:eastAsia="en-AU"/>
              </w:rPr>
              <w:t>60 206</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Expenses from transactions</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Employee expenses</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22 643</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21 101</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Net superannuation interest expense</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693</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880</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Other superannuation</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2 449</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2 230</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Depreciation</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4 824</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4 658</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Interest expense</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2 479</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2 659</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Grant expense</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7 611</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5 649</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Other operating expenses</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21 507</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20 349</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Total expenses from transactions</w:t>
            </w:r>
          </w:p>
        </w:tc>
        <w:tc>
          <w:tcPr>
            <w:tcW w:w="822" w:type="dxa"/>
            <w:tcBorders>
              <w:top w:val="single" w:sz="6" w:space="0" w:color="000000"/>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AF64A6">
              <w:rPr>
                <w:rFonts w:eastAsiaTheme="minorEastAsia" w:cs="Calibri"/>
                <w:b/>
                <w:bCs/>
                <w:color w:val="000000"/>
                <w:szCs w:val="18"/>
                <w:lang w:eastAsia="en-AU"/>
              </w:rPr>
              <w:t>62 207</w:t>
            </w:r>
          </w:p>
        </w:tc>
        <w:tc>
          <w:tcPr>
            <w:tcW w:w="992" w:type="dxa"/>
            <w:tcBorders>
              <w:top w:val="single" w:sz="6" w:space="0" w:color="000000"/>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AF64A6">
              <w:rPr>
                <w:rFonts w:eastAsiaTheme="minorEastAsia" w:cs="Calibri"/>
                <w:b/>
                <w:bCs/>
                <w:color w:val="000000"/>
                <w:szCs w:val="18"/>
                <w:lang w:eastAsia="en-AU"/>
              </w:rPr>
              <w:t>57 526</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single" w:sz="12" w:space="0" w:color="000000"/>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Net result from transactions – net operating balance</w:t>
            </w:r>
          </w:p>
        </w:tc>
        <w:tc>
          <w:tcPr>
            <w:tcW w:w="822" w:type="dxa"/>
            <w:tcBorders>
              <w:top w:val="single" w:sz="6" w:space="0" w:color="000000"/>
              <w:left w:val="nil"/>
              <w:bottom w:val="single" w:sz="12"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AF64A6">
              <w:rPr>
                <w:rFonts w:eastAsiaTheme="minorEastAsia" w:cs="Calibri"/>
                <w:b/>
                <w:bCs/>
                <w:color w:val="000000"/>
                <w:szCs w:val="18"/>
                <w:lang w:eastAsia="en-AU"/>
              </w:rPr>
              <w:t>2 146</w:t>
            </w:r>
          </w:p>
        </w:tc>
        <w:tc>
          <w:tcPr>
            <w:tcW w:w="992" w:type="dxa"/>
            <w:tcBorders>
              <w:top w:val="single" w:sz="6" w:space="0" w:color="000000"/>
              <w:left w:val="nil"/>
              <w:bottom w:val="single" w:sz="12"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AF64A6">
              <w:rPr>
                <w:rFonts w:eastAsiaTheme="minorEastAsia" w:cs="Calibri"/>
                <w:b/>
                <w:bCs/>
                <w:color w:val="000000"/>
                <w:szCs w:val="18"/>
                <w:lang w:eastAsia="en-AU"/>
              </w:rPr>
              <w:t>2 680</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Other economic flows included in net result</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Net gain/(loss) on disposal of non-financial assets</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(148)</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Net gain/(loss) on financial assets or liabilities at fair value</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86</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Share of net profit/(loss) from associates/joint venture entities</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50</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(73)</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Other gains/(losses) from other economic flows</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(476)</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(872)</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Total other economic flows included in net result</w:t>
            </w:r>
          </w:p>
        </w:tc>
        <w:tc>
          <w:tcPr>
            <w:tcW w:w="822" w:type="dxa"/>
            <w:tcBorders>
              <w:top w:val="single" w:sz="6" w:space="0" w:color="000000"/>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(399)</w:t>
            </w:r>
          </w:p>
        </w:tc>
        <w:tc>
          <w:tcPr>
            <w:tcW w:w="992" w:type="dxa"/>
            <w:tcBorders>
              <w:top w:val="single" w:sz="6" w:space="0" w:color="000000"/>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(1 007)</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single" w:sz="6" w:space="0" w:color="000000"/>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Net result</w:t>
            </w:r>
          </w:p>
        </w:tc>
        <w:tc>
          <w:tcPr>
            <w:tcW w:w="822" w:type="dxa"/>
            <w:tcBorders>
              <w:top w:val="single" w:sz="6" w:space="0" w:color="000000"/>
              <w:left w:val="nil"/>
              <w:bottom w:val="single" w:sz="6"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AF64A6">
              <w:rPr>
                <w:rFonts w:eastAsiaTheme="minorEastAsia" w:cs="Calibri"/>
                <w:b/>
                <w:bCs/>
                <w:color w:val="000000"/>
                <w:szCs w:val="18"/>
                <w:lang w:eastAsia="en-AU"/>
              </w:rPr>
              <w:t>1 747</w:t>
            </w:r>
          </w:p>
        </w:tc>
        <w:tc>
          <w:tcPr>
            <w:tcW w:w="992" w:type="dxa"/>
            <w:tcBorders>
              <w:top w:val="single" w:sz="6" w:space="0" w:color="000000"/>
              <w:left w:val="nil"/>
              <w:bottom w:val="single" w:sz="6"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AF64A6">
              <w:rPr>
                <w:rFonts w:eastAsiaTheme="minorEastAsia" w:cs="Calibri"/>
                <w:b/>
                <w:bCs/>
                <w:color w:val="000000"/>
                <w:szCs w:val="18"/>
                <w:lang w:eastAsia="en-AU"/>
              </w:rPr>
              <w:t>1 673</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Other economic flows – other comprehensive income</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Items that will not be reclassified to net result</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Changes in non-financial assets revaluation surplus</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8 792</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17 514</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proofErr w:type="spellStart"/>
            <w:r w:rsidRPr="00AF64A6">
              <w:rPr>
                <w:rFonts w:eastAsiaTheme="minorEastAsia" w:cs="Calibri"/>
                <w:color w:val="000000"/>
                <w:szCs w:val="16"/>
                <w:lang w:eastAsia="en-AU"/>
              </w:rPr>
              <w:t>Remeasurement</w:t>
            </w:r>
            <w:proofErr w:type="spellEnd"/>
            <w:r w:rsidRPr="00AF64A6">
              <w:rPr>
                <w:rFonts w:eastAsiaTheme="minorEastAsia" w:cs="Calibri"/>
                <w:color w:val="000000"/>
                <w:szCs w:val="16"/>
                <w:lang w:eastAsia="en-AU"/>
              </w:rPr>
              <w:t xml:space="preserve"> of superannuation defined benefits plans</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4 389</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(3 246)</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Other movements in equity</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106</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(193)</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Items that may be reclassified subsequently to net result</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Net gain/(loss) on financial assets at fair value</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(110)</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Net gain/(loss) on equity investments in other sector entities at proportional share of the carrying amount of net assets</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906</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(421)</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Total other economic flows – other comprehensive income</w:t>
            </w:r>
          </w:p>
        </w:tc>
        <w:tc>
          <w:tcPr>
            <w:tcW w:w="822" w:type="dxa"/>
            <w:tcBorders>
              <w:top w:val="single" w:sz="6" w:space="0" w:color="000000"/>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AF64A6">
              <w:rPr>
                <w:rFonts w:eastAsiaTheme="minorEastAsia" w:cs="Calibri"/>
                <w:b/>
                <w:bCs/>
                <w:color w:val="000000"/>
                <w:szCs w:val="18"/>
                <w:lang w:eastAsia="en-AU"/>
              </w:rPr>
              <w:t>14 223</w:t>
            </w:r>
          </w:p>
        </w:tc>
        <w:tc>
          <w:tcPr>
            <w:tcW w:w="992" w:type="dxa"/>
            <w:tcBorders>
              <w:top w:val="single" w:sz="6" w:space="0" w:color="000000"/>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AF64A6">
              <w:rPr>
                <w:rFonts w:eastAsiaTheme="minorEastAsia" w:cs="Calibri"/>
                <w:b/>
                <w:bCs/>
                <w:color w:val="000000"/>
                <w:szCs w:val="18"/>
                <w:lang w:eastAsia="en-AU"/>
              </w:rPr>
              <w:t>13 544</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single" w:sz="12" w:space="0" w:color="000000"/>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Comprehensive result – total change in net worth</w:t>
            </w:r>
          </w:p>
        </w:tc>
        <w:tc>
          <w:tcPr>
            <w:tcW w:w="822" w:type="dxa"/>
            <w:tcBorders>
              <w:top w:val="single" w:sz="6" w:space="0" w:color="000000"/>
              <w:left w:val="nil"/>
              <w:bottom w:val="single" w:sz="12"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AF64A6">
              <w:rPr>
                <w:rFonts w:eastAsiaTheme="minorEastAsia" w:cs="Calibri"/>
                <w:b/>
                <w:bCs/>
                <w:color w:val="000000"/>
                <w:szCs w:val="18"/>
                <w:lang w:eastAsia="en-AU"/>
              </w:rPr>
              <w:t>15 970</w:t>
            </w:r>
          </w:p>
        </w:tc>
        <w:tc>
          <w:tcPr>
            <w:tcW w:w="992" w:type="dxa"/>
            <w:tcBorders>
              <w:top w:val="single" w:sz="6" w:space="0" w:color="000000"/>
              <w:left w:val="nil"/>
              <w:bottom w:val="single" w:sz="12"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AF64A6">
              <w:rPr>
                <w:rFonts w:eastAsiaTheme="minorEastAsia" w:cs="Calibri"/>
                <w:b/>
                <w:bCs/>
                <w:color w:val="000000"/>
                <w:szCs w:val="18"/>
                <w:lang w:eastAsia="en-AU"/>
              </w:rPr>
              <w:t>15 218</w:t>
            </w:r>
          </w:p>
        </w:tc>
      </w:tr>
      <w:tr w:rsidR="00BB6F1F" w:rsidRPr="00AF64A6"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lang w:eastAsia="en-AU"/>
              </w:rPr>
            </w:pPr>
            <w:r w:rsidRPr="00AF64A6">
              <w:rPr>
                <w:rFonts w:eastAsiaTheme="minorEastAsia" w:cs="Calibri"/>
                <w:color w:val="000000"/>
                <w:lang w:eastAsia="en-AU"/>
              </w:rPr>
              <w:t xml:space="preserve"> </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AF64A6">
              <w:rPr>
                <w:rFonts w:eastAsiaTheme="minorEastAsia" w:cs="Calibri"/>
                <w:color w:val="000000"/>
                <w:lang w:eastAsia="en-AU"/>
              </w:rPr>
              <w:t xml:space="preserve"> </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AF64A6">
              <w:rPr>
                <w:rFonts w:eastAsiaTheme="minorEastAsia" w:cs="Calibri"/>
                <w:color w:val="00000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FISCAL AGGREGRATES</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Net operating balance</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AF64A6">
              <w:rPr>
                <w:rFonts w:eastAsiaTheme="minorEastAsia" w:cs="Calibri"/>
                <w:b/>
                <w:bCs/>
                <w:color w:val="000000"/>
                <w:szCs w:val="16"/>
                <w:lang w:eastAsia="en-AU"/>
              </w:rPr>
              <w:t>2 146</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AF64A6">
              <w:rPr>
                <w:rFonts w:eastAsiaTheme="minorEastAsia" w:cs="Calibri"/>
                <w:b/>
                <w:bCs/>
                <w:color w:val="000000"/>
                <w:szCs w:val="16"/>
                <w:lang w:eastAsia="en-AU"/>
              </w:rPr>
              <w:t>2 680</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Net acquisition of non-financial assets from transactions</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Purchases of non-financial assets (including change in inventories)</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AF64A6">
              <w:rPr>
                <w:rFonts w:eastAsiaTheme="minorEastAsia" w:cs="Calibri"/>
                <w:color w:val="000000"/>
                <w:szCs w:val="16"/>
                <w:lang w:eastAsia="en-AU"/>
              </w:rPr>
              <w:t>9 039</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AF64A6">
              <w:rPr>
                <w:rFonts w:eastAsiaTheme="minorEastAsia" w:cs="Calibri"/>
                <w:color w:val="000000"/>
                <w:szCs w:val="16"/>
                <w:lang w:eastAsia="en-AU"/>
              </w:rPr>
              <w:t>6 835</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Less: sales of non-financial assets</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(475)</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(453)</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Less: depreciation</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(4 824)</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(4 658)</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Plus: other movements in non-financial assets</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451</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AF64A6">
              <w:rPr>
                <w:rFonts w:eastAsiaTheme="minorEastAsia" w:cs="Calibri"/>
                <w:color w:val="000000"/>
                <w:szCs w:val="16"/>
                <w:lang w:eastAsia="en-AU"/>
              </w:rPr>
              <w:t>1 202</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Less: net acquisition of non-financial assets from transactions</w:t>
            </w:r>
          </w:p>
        </w:tc>
        <w:tc>
          <w:tcPr>
            <w:tcW w:w="82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AF64A6">
              <w:rPr>
                <w:rFonts w:eastAsiaTheme="minorEastAsia" w:cs="Calibri"/>
                <w:b/>
                <w:bCs/>
                <w:color w:val="000000"/>
                <w:szCs w:val="16"/>
                <w:lang w:eastAsia="en-AU"/>
              </w:rPr>
              <w:t>4 191</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AF64A6">
              <w:rPr>
                <w:rFonts w:eastAsiaTheme="minorEastAsia" w:cs="Calibri"/>
                <w:b/>
                <w:bCs/>
                <w:color w:val="000000"/>
                <w:szCs w:val="16"/>
                <w:lang w:eastAsia="en-AU"/>
              </w:rPr>
              <w:t>2 926</w:t>
            </w:r>
          </w:p>
        </w:tc>
      </w:tr>
      <w:tr w:rsidR="00BB6F1F" w:rsidRPr="00AF64A6"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bottom w:val="single" w:sz="12" w:space="0" w:color="000000"/>
            </w:tcBorders>
          </w:tcPr>
          <w:p w:rsidR="00BB6F1F" w:rsidRPr="00AF64A6" w:rsidRDefault="00BB6F1F" w:rsidP="00AC68FF">
            <w:pPr>
              <w:keepLines w:val="0"/>
              <w:autoSpaceDE w:val="0"/>
              <w:autoSpaceDN w:val="0"/>
              <w:adjustRightInd w:val="0"/>
              <w:rPr>
                <w:rFonts w:eastAsiaTheme="minorEastAsia" w:cs="Calibri"/>
                <w:bCs/>
                <w:color w:val="000000"/>
                <w:szCs w:val="16"/>
                <w:lang w:eastAsia="en-AU"/>
              </w:rPr>
            </w:pPr>
            <w:r w:rsidRPr="00AF64A6">
              <w:rPr>
                <w:rFonts w:eastAsiaTheme="minorEastAsia" w:cs="Calibri"/>
                <w:bCs/>
                <w:color w:val="000000"/>
                <w:szCs w:val="16"/>
                <w:lang w:eastAsia="en-AU"/>
              </w:rPr>
              <w:t>Net lending/(borrowing)</w:t>
            </w:r>
          </w:p>
        </w:tc>
        <w:tc>
          <w:tcPr>
            <w:tcW w:w="822" w:type="dxa"/>
            <w:tcBorders>
              <w:top w:val="single" w:sz="6" w:space="0" w:color="000000"/>
              <w:bottom w:val="single" w:sz="12" w:space="0" w:color="000000"/>
            </w:tcBorders>
          </w:tcPr>
          <w:p w:rsidR="00BB6F1F" w:rsidRPr="00AF64A6"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(2 045)</w:t>
            </w:r>
          </w:p>
        </w:tc>
        <w:tc>
          <w:tcPr>
            <w:tcW w:w="992" w:type="dxa"/>
            <w:tcBorders>
              <w:top w:val="single" w:sz="6" w:space="0" w:color="000000"/>
              <w:bottom w:val="single" w:sz="12" w:space="0" w:color="000000"/>
            </w:tcBorders>
          </w:tcPr>
          <w:p w:rsidR="00BB6F1F" w:rsidRPr="00AF64A6"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(246)</w:t>
            </w:r>
          </w:p>
        </w:tc>
      </w:tr>
    </w:tbl>
    <w:p w:rsidR="00BB6F1F" w:rsidRDefault="00BB6F1F" w:rsidP="00AC68FF">
      <w:pPr>
        <w:pStyle w:val="Source"/>
      </w:pPr>
      <w:r>
        <w:t>Source: Department of Treasury and Finance</w:t>
      </w:r>
    </w:p>
    <w:p w:rsidR="00BB6F1F" w:rsidRDefault="00BB6F1F">
      <w:pPr>
        <w:keepLines w:val="0"/>
        <w:rPr>
          <w:rFonts w:asciiTheme="majorHAnsi" w:hAnsiTheme="majorHAnsi"/>
          <w:b/>
          <w:sz w:val="20"/>
          <w:szCs w:val="20"/>
        </w:rPr>
      </w:pPr>
      <w:r>
        <w:br w:type="page"/>
      </w:r>
    </w:p>
    <w:p w:rsidR="00BB6F1F" w:rsidRPr="00AF64A6" w:rsidRDefault="00BB6F1F" w:rsidP="00DE36DF">
      <w:pPr>
        <w:pStyle w:val="TableHeading"/>
        <w:spacing w:before="0"/>
        <w:rPr>
          <w:bCs/>
          <w:lang w:val="en-US"/>
        </w:rPr>
      </w:pPr>
      <w:r>
        <w:lastRenderedPageBreak/>
        <w:t>Table 5.2:</w:t>
      </w:r>
      <w:r>
        <w:tab/>
        <w:t>Non-financial public sector balance sheet for the financial year ended 30 June</w:t>
      </w:r>
      <w:r>
        <w:tab/>
        <w:t>($ million)</w:t>
      </w:r>
    </w:p>
    <w:tbl>
      <w:tblPr>
        <w:tblStyle w:val="DTFTable"/>
        <w:tblW w:w="9636" w:type="dxa"/>
        <w:tblInd w:w="45" w:type="dxa"/>
        <w:tblLayout w:type="fixed"/>
        <w:tblCellMar>
          <w:left w:w="45" w:type="dxa"/>
          <w:right w:w="45" w:type="dxa"/>
        </w:tblCellMar>
        <w:tblLook w:val="06E0" w:firstRow="1" w:lastRow="1" w:firstColumn="1" w:lastColumn="0" w:noHBand="1" w:noVBand="1"/>
      </w:tblPr>
      <w:tblGrid>
        <w:gridCol w:w="7824"/>
        <w:gridCol w:w="820"/>
        <w:gridCol w:w="992"/>
      </w:tblGrid>
      <w:tr w:rsidR="00BB6F1F" w:rsidRPr="00AF64A6"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rsidR="00BB6F1F" w:rsidRPr="00AF64A6" w:rsidRDefault="00BB6F1F" w:rsidP="00AC68FF">
            <w:pPr>
              <w:autoSpaceDE w:val="0"/>
              <w:autoSpaceDN w:val="0"/>
              <w:adjustRightInd w:val="0"/>
              <w:rPr>
                <w:rFonts w:eastAsiaTheme="minorEastAsia" w:cs="Calibri"/>
                <w:iCs/>
                <w:color w:val="FFFFFF"/>
                <w:lang w:eastAsia="en-AU"/>
              </w:rPr>
            </w:pPr>
            <w:r w:rsidRPr="00AF64A6">
              <w:rPr>
                <w:rFonts w:eastAsiaTheme="minorEastAsia" w:cs="Calibri"/>
                <w:iCs/>
                <w:color w:val="FFFFFF"/>
                <w:lang w:eastAsia="en-AU"/>
              </w:rPr>
              <w:t xml:space="preserve"> </w:t>
            </w:r>
          </w:p>
        </w:tc>
        <w:tc>
          <w:tcPr>
            <w:tcW w:w="820" w:type="dxa"/>
            <w:tcBorders>
              <w:top w:val="nil"/>
              <w:left w:val="nil"/>
              <w:bottom w:val="nil"/>
              <w:right w:val="nil"/>
            </w:tcBorders>
            <w:shd w:val="solid" w:color="000000" w:fill="auto"/>
          </w:tcPr>
          <w:p w:rsidR="00BB6F1F" w:rsidRPr="00AF64A6"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AF64A6">
              <w:rPr>
                <w:rFonts w:eastAsiaTheme="minorEastAsia" w:cs="Calibri"/>
                <w:iCs/>
                <w:color w:val="FFFFFF"/>
                <w:szCs w:val="16"/>
                <w:lang w:eastAsia="en-AU"/>
              </w:rPr>
              <w:t>2017</w:t>
            </w:r>
          </w:p>
        </w:tc>
        <w:tc>
          <w:tcPr>
            <w:tcW w:w="992" w:type="dxa"/>
            <w:tcBorders>
              <w:top w:val="nil"/>
              <w:left w:val="nil"/>
              <w:bottom w:val="nil"/>
              <w:right w:val="nil"/>
            </w:tcBorders>
            <w:shd w:val="solid" w:color="000000" w:fill="auto"/>
          </w:tcPr>
          <w:p w:rsidR="00BB6F1F" w:rsidRPr="00AF64A6"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AF64A6">
              <w:rPr>
                <w:rFonts w:eastAsiaTheme="minorEastAsia" w:cs="Calibri"/>
                <w:iCs/>
                <w:color w:val="FFFFFF"/>
                <w:szCs w:val="16"/>
                <w:lang w:eastAsia="en-AU"/>
              </w:rPr>
              <w:t>2016</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b/>
                <w:bCs/>
                <w:color w:val="000000"/>
                <w:szCs w:val="16"/>
                <w:lang w:eastAsia="en-AU"/>
              </w:rPr>
            </w:pPr>
            <w:r w:rsidRPr="00AF64A6">
              <w:rPr>
                <w:rFonts w:eastAsiaTheme="minorEastAsia" w:cs="Arial"/>
                <w:b/>
                <w:bCs/>
                <w:color w:val="000000"/>
                <w:szCs w:val="16"/>
                <w:lang w:eastAsia="en-AU"/>
              </w:rPr>
              <w:t>Assets</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b/>
                <w:bCs/>
                <w:color w:val="000000"/>
                <w:szCs w:val="16"/>
                <w:lang w:eastAsia="en-AU"/>
              </w:rPr>
            </w:pPr>
            <w:r w:rsidRPr="00AF64A6">
              <w:rPr>
                <w:rFonts w:eastAsiaTheme="minorEastAsia" w:cs="Arial"/>
                <w:b/>
                <w:bCs/>
                <w:color w:val="000000"/>
                <w:szCs w:val="16"/>
                <w:lang w:eastAsia="en-AU"/>
              </w:rPr>
              <w:t>Financial assets</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color w:val="000000"/>
                <w:szCs w:val="16"/>
                <w:lang w:eastAsia="en-AU"/>
              </w:rPr>
            </w:pPr>
            <w:r w:rsidRPr="00AF64A6">
              <w:rPr>
                <w:rFonts w:eastAsiaTheme="minorEastAsia" w:cs="Arial"/>
                <w:color w:val="000000"/>
                <w:szCs w:val="16"/>
                <w:lang w:eastAsia="en-AU"/>
              </w:rPr>
              <w:t>Cash and deposits</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6 684</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5 574</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color w:val="000000"/>
                <w:szCs w:val="16"/>
                <w:lang w:eastAsia="en-AU"/>
              </w:rPr>
            </w:pPr>
            <w:r w:rsidRPr="00AF64A6">
              <w:rPr>
                <w:rFonts w:eastAsiaTheme="minorEastAsia" w:cs="Arial"/>
                <w:color w:val="000000"/>
                <w:szCs w:val="16"/>
                <w:lang w:eastAsia="en-AU"/>
              </w:rPr>
              <w:t>Advances paid</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280</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153</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color w:val="000000"/>
                <w:szCs w:val="16"/>
                <w:lang w:eastAsia="en-AU"/>
              </w:rPr>
            </w:pPr>
            <w:r w:rsidRPr="00AF64A6">
              <w:rPr>
                <w:rFonts w:eastAsiaTheme="minorEastAsia" w:cs="Arial"/>
                <w:color w:val="000000"/>
                <w:szCs w:val="16"/>
                <w:lang w:eastAsia="en-AU"/>
              </w:rPr>
              <w:t>Receivables</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6 803</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6 412</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color w:val="000000"/>
                <w:szCs w:val="16"/>
                <w:lang w:eastAsia="en-AU"/>
              </w:rPr>
            </w:pPr>
            <w:r w:rsidRPr="00AF64A6">
              <w:rPr>
                <w:rFonts w:eastAsiaTheme="minorEastAsia" w:cs="Arial"/>
                <w:color w:val="000000"/>
                <w:szCs w:val="16"/>
                <w:lang w:eastAsia="en-AU"/>
              </w:rPr>
              <w:t>Investments, loans and placements</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4 791</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3 906</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color w:val="000000"/>
                <w:szCs w:val="16"/>
                <w:lang w:eastAsia="en-AU"/>
              </w:rPr>
            </w:pPr>
            <w:r w:rsidRPr="00AF64A6">
              <w:rPr>
                <w:rFonts w:eastAsiaTheme="minorEastAsia" w:cs="Arial"/>
                <w:color w:val="000000"/>
                <w:szCs w:val="16"/>
                <w:lang w:eastAsia="en-AU"/>
              </w:rPr>
              <w:t>Investments accounted for using the equity method</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2 187</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1 918</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color w:val="000000"/>
                <w:szCs w:val="16"/>
                <w:lang w:eastAsia="en-AU"/>
              </w:rPr>
            </w:pPr>
            <w:r w:rsidRPr="00AF64A6">
              <w:rPr>
                <w:rFonts w:eastAsiaTheme="minorEastAsia" w:cs="Arial"/>
                <w:color w:val="000000"/>
                <w:szCs w:val="16"/>
                <w:lang w:eastAsia="en-AU"/>
              </w:rPr>
              <w:t>Investments in other sector entities</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3 386</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2 481</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single" w:sz="6" w:space="0" w:color="000000"/>
              <w:right w:val="nil"/>
            </w:tcBorders>
          </w:tcPr>
          <w:p w:rsidR="00BB6F1F" w:rsidRPr="00AF64A6" w:rsidRDefault="00BB6F1F" w:rsidP="00AC68FF">
            <w:pPr>
              <w:keepLines w:val="0"/>
              <w:autoSpaceDE w:val="0"/>
              <w:autoSpaceDN w:val="0"/>
              <w:adjustRightInd w:val="0"/>
              <w:rPr>
                <w:rFonts w:eastAsiaTheme="minorEastAsia" w:cs="Arial"/>
                <w:b/>
                <w:bCs/>
                <w:color w:val="000000"/>
                <w:szCs w:val="16"/>
                <w:lang w:eastAsia="en-AU"/>
              </w:rPr>
            </w:pPr>
            <w:r w:rsidRPr="00AF64A6">
              <w:rPr>
                <w:rFonts w:eastAsiaTheme="minorEastAsia" w:cs="Arial"/>
                <w:b/>
                <w:bCs/>
                <w:color w:val="000000"/>
                <w:szCs w:val="16"/>
                <w:lang w:eastAsia="en-AU"/>
              </w:rPr>
              <w:t>Total financial assets</w:t>
            </w:r>
          </w:p>
        </w:tc>
        <w:tc>
          <w:tcPr>
            <w:tcW w:w="820" w:type="dxa"/>
            <w:tcBorders>
              <w:top w:val="single" w:sz="6" w:space="0" w:color="000000"/>
              <w:left w:val="nil"/>
              <w:bottom w:val="single" w:sz="6"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AF64A6">
              <w:rPr>
                <w:rFonts w:eastAsiaTheme="minorEastAsia" w:cs="Arial"/>
                <w:b/>
                <w:bCs/>
                <w:color w:val="000000"/>
                <w:szCs w:val="16"/>
                <w:lang w:eastAsia="en-AU"/>
              </w:rPr>
              <w:t>24 131</w:t>
            </w:r>
          </w:p>
        </w:tc>
        <w:tc>
          <w:tcPr>
            <w:tcW w:w="992" w:type="dxa"/>
            <w:tcBorders>
              <w:top w:val="single" w:sz="6" w:space="0" w:color="000000"/>
              <w:left w:val="nil"/>
              <w:bottom w:val="single" w:sz="6"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AF64A6">
              <w:rPr>
                <w:rFonts w:eastAsiaTheme="minorEastAsia" w:cs="Arial"/>
                <w:b/>
                <w:bCs/>
                <w:color w:val="000000"/>
                <w:szCs w:val="16"/>
                <w:lang w:eastAsia="en-AU"/>
              </w:rPr>
              <w:t>20 444</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b/>
                <w:bCs/>
                <w:color w:val="000000"/>
                <w:szCs w:val="16"/>
                <w:lang w:eastAsia="en-AU"/>
              </w:rPr>
            </w:pPr>
            <w:r w:rsidRPr="00AF64A6">
              <w:rPr>
                <w:rFonts w:eastAsiaTheme="minorEastAsia" w:cs="Arial"/>
                <w:b/>
                <w:bCs/>
                <w:color w:val="000000"/>
                <w:szCs w:val="16"/>
                <w:lang w:eastAsia="en-AU"/>
              </w:rPr>
              <w:t>Non-financial assets</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color w:val="000000"/>
                <w:szCs w:val="16"/>
                <w:lang w:eastAsia="en-AU"/>
              </w:rPr>
            </w:pPr>
            <w:r w:rsidRPr="00AF64A6">
              <w:rPr>
                <w:rFonts w:eastAsiaTheme="minorEastAsia" w:cs="Arial"/>
                <w:color w:val="000000"/>
                <w:szCs w:val="16"/>
                <w:lang w:eastAsia="en-AU"/>
              </w:rPr>
              <w:t>Inventories</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671</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709</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color w:val="000000"/>
                <w:szCs w:val="16"/>
                <w:lang w:eastAsia="en-AU"/>
              </w:rPr>
            </w:pPr>
            <w:r w:rsidRPr="00AF64A6">
              <w:rPr>
                <w:rFonts w:eastAsiaTheme="minorEastAsia" w:cs="Arial"/>
                <w:color w:val="000000"/>
                <w:szCs w:val="16"/>
                <w:lang w:eastAsia="en-AU"/>
              </w:rPr>
              <w:t>Non-financial assets held for sale</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432</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200</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color w:val="000000"/>
                <w:szCs w:val="16"/>
                <w:lang w:eastAsia="en-AU"/>
              </w:rPr>
            </w:pPr>
            <w:r w:rsidRPr="00AF64A6">
              <w:rPr>
                <w:rFonts w:eastAsiaTheme="minorEastAsia" w:cs="Arial"/>
                <w:color w:val="000000"/>
                <w:szCs w:val="16"/>
                <w:lang w:eastAsia="en-AU"/>
              </w:rPr>
              <w:t>Land, buildings, infrastructure, plant and equipment</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238 806</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226 481</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color w:val="000000"/>
                <w:szCs w:val="16"/>
                <w:vertAlign w:val="superscript"/>
                <w:lang w:eastAsia="en-AU"/>
              </w:rPr>
            </w:pPr>
            <w:r w:rsidRPr="00AF64A6">
              <w:rPr>
                <w:rFonts w:eastAsiaTheme="minorEastAsia" w:cs="Arial"/>
                <w:color w:val="000000"/>
                <w:szCs w:val="16"/>
                <w:lang w:eastAsia="en-AU"/>
              </w:rPr>
              <w:t xml:space="preserve">Other non-financial assets </w:t>
            </w:r>
            <w:r w:rsidRPr="00AF64A6">
              <w:rPr>
                <w:rFonts w:eastAsiaTheme="minorEastAsia" w:cs="Arial"/>
                <w:color w:val="000000"/>
                <w:szCs w:val="16"/>
                <w:vertAlign w:val="superscript"/>
                <w:lang w:eastAsia="en-AU"/>
              </w:rPr>
              <w:t>(a)</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2 504</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2 294</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single" w:sz="6" w:space="0" w:color="000000"/>
              <w:right w:val="nil"/>
            </w:tcBorders>
          </w:tcPr>
          <w:p w:rsidR="00BB6F1F" w:rsidRPr="00AF64A6" w:rsidRDefault="00BB6F1F" w:rsidP="00AC68FF">
            <w:pPr>
              <w:keepLines w:val="0"/>
              <w:autoSpaceDE w:val="0"/>
              <w:autoSpaceDN w:val="0"/>
              <w:adjustRightInd w:val="0"/>
              <w:rPr>
                <w:rFonts w:eastAsiaTheme="minorEastAsia" w:cs="Arial"/>
                <w:b/>
                <w:bCs/>
                <w:color w:val="000000"/>
                <w:szCs w:val="16"/>
                <w:vertAlign w:val="superscript"/>
                <w:lang w:eastAsia="en-AU"/>
              </w:rPr>
            </w:pPr>
            <w:r w:rsidRPr="00AF64A6">
              <w:rPr>
                <w:rFonts w:eastAsiaTheme="minorEastAsia" w:cs="Arial"/>
                <w:b/>
                <w:bCs/>
                <w:color w:val="000000"/>
                <w:szCs w:val="16"/>
                <w:lang w:eastAsia="en-AU"/>
              </w:rPr>
              <w:t xml:space="preserve">Total non-financial assets </w:t>
            </w:r>
            <w:r w:rsidRPr="00AF64A6">
              <w:rPr>
                <w:rFonts w:eastAsiaTheme="minorEastAsia" w:cs="Arial"/>
                <w:b/>
                <w:bCs/>
                <w:color w:val="000000"/>
                <w:szCs w:val="16"/>
                <w:vertAlign w:val="superscript"/>
                <w:lang w:eastAsia="en-AU"/>
              </w:rPr>
              <w:t>(a)</w:t>
            </w:r>
          </w:p>
        </w:tc>
        <w:tc>
          <w:tcPr>
            <w:tcW w:w="820" w:type="dxa"/>
            <w:tcBorders>
              <w:top w:val="single" w:sz="6" w:space="0" w:color="000000"/>
              <w:left w:val="nil"/>
              <w:bottom w:val="single" w:sz="6"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AF64A6">
              <w:rPr>
                <w:rFonts w:eastAsiaTheme="minorEastAsia" w:cs="Arial"/>
                <w:b/>
                <w:bCs/>
                <w:color w:val="000000"/>
                <w:szCs w:val="16"/>
                <w:lang w:eastAsia="en-AU"/>
              </w:rPr>
              <w:t>242 414</w:t>
            </w:r>
          </w:p>
        </w:tc>
        <w:tc>
          <w:tcPr>
            <w:tcW w:w="992" w:type="dxa"/>
            <w:tcBorders>
              <w:top w:val="single" w:sz="6" w:space="0" w:color="000000"/>
              <w:left w:val="nil"/>
              <w:bottom w:val="single" w:sz="6"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AF64A6">
              <w:rPr>
                <w:rFonts w:eastAsiaTheme="minorEastAsia" w:cs="Arial"/>
                <w:b/>
                <w:bCs/>
                <w:color w:val="000000"/>
                <w:szCs w:val="16"/>
                <w:lang w:eastAsia="en-AU"/>
              </w:rPr>
              <w:t>229 685</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b/>
                <w:bCs/>
                <w:color w:val="000000"/>
                <w:szCs w:val="16"/>
                <w:vertAlign w:val="superscript"/>
                <w:lang w:eastAsia="en-AU"/>
              </w:rPr>
            </w:pPr>
            <w:r w:rsidRPr="00AF64A6">
              <w:rPr>
                <w:rFonts w:eastAsiaTheme="minorEastAsia" w:cs="Arial"/>
                <w:b/>
                <w:bCs/>
                <w:color w:val="000000"/>
                <w:szCs w:val="16"/>
                <w:lang w:eastAsia="en-AU"/>
              </w:rPr>
              <w:t xml:space="preserve">Total assets </w:t>
            </w:r>
            <w:r w:rsidRPr="00AF64A6">
              <w:rPr>
                <w:rFonts w:eastAsiaTheme="minorEastAsia" w:cs="Arial"/>
                <w:b/>
                <w:bCs/>
                <w:color w:val="000000"/>
                <w:szCs w:val="16"/>
                <w:vertAlign w:val="superscript"/>
                <w:lang w:eastAsia="en-AU"/>
              </w:rPr>
              <w:t>(a)</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AF64A6">
              <w:rPr>
                <w:rFonts w:eastAsiaTheme="minorEastAsia" w:cs="Arial"/>
                <w:b/>
                <w:bCs/>
                <w:color w:val="000000"/>
                <w:szCs w:val="16"/>
                <w:lang w:eastAsia="en-AU"/>
              </w:rPr>
              <w:t>266 545</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AF64A6">
              <w:rPr>
                <w:rFonts w:eastAsiaTheme="minorEastAsia" w:cs="Arial"/>
                <w:b/>
                <w:bCs/>
                <w:color w:val="000000"/>
                <w:szCs w:val="16"/>
                <w:lang w:eastAsia="en-AU"/>
              </w:rPr>
              <w:t>250 128</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b/>
                <w:bCs/>
                <w:color w:val="000000"/>
                <w:szCs w:val="16"/>
                <w:lang w:eastAsia="en-AU"/>
              </w:rPr>
            </w:pPr>
            <w:r w:rsidRPr="00AF64A6">
              <w:rPr>
                <w:rFonts w:eastAsiaTheme="minorEastAsia" w:cs="Arial"/>
                <w:b/>
                <w:bCs/>
                <w:color w:val="000000"/>
                <w:szCs w:val="16"/>
                <w:lang w:eastAsia="en-AU"/>
              </w:rPr>
              <w:t>Liabilities</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color w:val="000000"/>
                <w:szCs w:val="16"/>
                <w:lang w:eastAsia="en-AU"/>
              </w:rPr>
            </w:pPr>
            <w:r w:rsidRPr="00AF64A6">
              <w:rPr>
                <w:rFonts w:eastAsiaTheme="minorEastAsia" w:cs="Arial"/>
                <w:color w:val="000000"/>
                <w:szCs w:val="16"/>
                <w:lang w:eastAsia="en-AU"/>
              </w:rPr>
              <w:t xml:space="preserve">Deposits held and advances received </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997</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802</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color w:val="000000"/>
                <w:szCs w:val="16"/>
                <w:lang w:eastAsia="en-AU"/>
              </w:rPr>
            </w:pPr>
            <w:r w:rsidRPr="00AF64A6">
              <w:rPr>
                <w:rFonts w:eastAsiaTheme="minorEastAsia" w:cs="Arial"/>
                <w:color w:val="000000"/>
                <w:szCs w:val="16"/>
                <w:lang w:eastAsia="en-AU"/>
              </w:rPr>
              <w:t>Payables</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15 584</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6 865</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color w:val="000000"/>
                <w:szCs w:val="16"/>
                <w:lang w:eastAsia="en-AU"/>
              </w:rPr>
            </w:pPr>
            <w:r w:rsidRPr="00AF64A6">
              <w:rPr>
                <w:rFonts w:eastAsiaTheme="minorEastAsia" w:cs="Arial"/>
                <w:color w:val="000000"/>
                <w:szCs w:val="16"/>
                <w:lang w:eastAsia="en-AU"/>
              </w:rPr>
              <w:t xml:space="preserve">Borrowings </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40 607</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45 409</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color w:val="000000"/>
                <w:szCs w:val="16"/>
                <w:lang w:eastAsia="en-AU"/>
              </w:rPr>
            </w:pPr>
            <w:r w:rsidRPr="00AF64A6">
              <w:rPr>
                <w:rFonts w:eastAsiaTheme="minorEastAsia" w:cs="Arial"/>
                <w:color w:val="000000"/>
                <w:szCs w:val="16"/>
                <w:lang w:eastAsia="en-AU"/>
              </w:rPr>
              <w:t>Employee benefits</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6 928</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6 551</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color w:val="000000"/>
                <w:szCs w:val="16"/>
                <w:lang w:eastAsia="en-AU"/>
              </w:rPr>
            </w:pPr>
            <w:r w:rsidRPr="00AF64A6">
              <w:rPr>
                <w:rFonts w:eastAsiaTheme="minorEastAsia" w:cs="Arial"/>
                <w:color w:val="000000"/>
                <w:szCs w:val="16"/>
                <w:lang w:eastAsia="en-AU"/>
              </w:rPr>
              <w:t>Superannuation</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24 938</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29 354</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color w:val="000000"/>
                <w:szCs w:val="16"/>
                <w:lang w:eastAsia="en-AU"/>
              </w:rPr>
            </w:pPr>
            <w:r w:rsidRPr="00AF64A6">
              <w:rPr>
                <w:rFonts w:eastAsiaTheme="minorEastAsia" w:cs="Arial"/>
                <w:color w:val="000000"/>
                <w:szCs w:val="16"/>
                <w:lang w:eastAsia="en-AU"/>
              </w:rPr>
              <w:t>Other provisions</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1 471</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1 047</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nil"/>
              <w:right w:val="nil"/>
            </w:tcBorders>
          </w:tcPr>
          <w:p w:rsidR="00BB6F1F" w:rsidRPr="00AF64A6" w:rsidRDefault="00BB6F1F" w:rsidP="00AC68FF">
            <w:pPr>
              <w:keepLines w:val="0"/>
              <w:autoSpaceDE w:val="0"/>
              <w:autoSpaceDN w:val="0"/>
              <w:adjustRightInd w:val="0"/>
              <w:rPr>
                <w:rFonts w:eastAsiaTheme="minorEastAsia" w:cs="Arial"/>
                <w:b/>
                <w:bCs/>
                <w:color w:val="000000"/>
                <w:szCs w:val="16"/>
                <w:lang w:eastAsia="en-AU"/>
              </w:rPr>
            </w:pPr>
            <w:r w:rsidRPr="00AF64A6">
              <w:rPr>
                <w:rFonts w:eastAsiaTheme="minorEastAsia" w:cs="Arial"/>
                <w:b/>
                <w:bCs/>
                <w:color w:val="000000"/>
                <w:szCs w:val="16"/>
                <w:lang w:eastAsia="en-AU"/>
              </w:rPr>
              <w:t>Total liabilities</w:t>
            </w:r>
          </w:p>
        </w:tc>
        <w:tc>
          <w:tcPr>
            <w:tcW w:w="820" w:type="dxa"/>
            <w:tcBorders>
              <w:top w:val="single" w:sz="6" w:space="0" w:color="000000"/>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AF64A6">
              <w:rPr>
                <w:rFonts w:eastAsiaTheme="minorEastAsia" w:cs="Arial"/>
                <w:b/>
                <w:bCs/>
                <w:color w:val="000000"/>
                <w:szCs w:val="16"/>
                <w:lang w:eastAsia="en-AU"/>
              </w:rPr>
              <w:t>90 525</w:t>
            </w:r>
          </w:p>
        </w:tc>
        <w:tc>
          <w:tcPr>
            <w:tcW w:w="992" w:type="dxa"/>
            <w:tcBorders>
              <w:top w:val="single" w:sz="6" w:space="0" w:color="000000"/>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AF64A6">
              <w:rPr>
                <w:rFonts w:eastAsiaTheme="minorEastAsia" w:cs="Arial"/>
                <w:b/>
                <w:bCs/>
                <w:color w:val="000000"/>
                <w:szCs w:val="16"/>
                <w:lang w:eastAsia="en-AU"/>
              </w:rPr>
              <w:t>90 029</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single" w:sz="12" w:space="0" w:color="000000"/>
              <w:right w:val="nil"/>
            </w:tcBorders>
          </w:tcPr>
          <w:p w:rsidR="00BB6F1F" w:rsidRPr="00AF64A6" w:rsidRDefault="00BB6F1F" w:rsidP="00AC68FF">
            <w:pPr>
              <w:keepLines w:val="0"/>
              <w:autoSpaceDE w:val="0"/>
              <w:autoSpaceDN w:val="0"/>
              <w:adjustRightInd w:val="0"/>
              <w:rPr>
                <w:rFonts w:eastAsiaTheme="minorEastAsia" w:cs="Arial"/>
                <w:b/>
                <w:bCs/>
                <w:color w:val="000000"/>
                <w:szCs w:val="16"/>
                <w:vertAlign w:val="superscript"/>
                <w:lang w:eastAsia="en-AU"/>
              </w:rPr>
            </w:pPr>
            <w:r w:rsidRPr="00AF64A6">
              <w:rPr>
                <w:rFonts w:eastAsiaTheme="minorEastAsia" w:cs="Arial"/>
                <w:b/>
                <w:bCs/>
                <w:color w:val="000000"/>
                <w:szCs w:val="16"/>
                <w:lang w:eastAsia="en-AU"/>
              </w:rPr>
              <w:t xml:space="preserve">Net assets </w:t>
            </w:r>
            <w:r w:rsidRPr="00AF64A6">
              <w:rPr>
                <w:rFonts w:eastAsiaTheme="minorEastAsia" w:cs="Arial"/>
                <w:b/>
                <w:bCs/>
                <w:color w:val="000000"/>
                <w:szCs w:val="16"/>
                <w:vertAlign w:val="superscript"/>
                <w:lang w:eastAsia="en-AU"/>
              </w:rPr>
              <w:t>(a)</w:t>
            </w:r>
          </w:p>
        </w:tc>
        <w:tc>
          <w:tcPr>
            <w:tcW w:w="820" w:type="dxa"/>
            <w:tcBorders>
              <w:top w:val="single" w:sz="6" w:space="0" w:color="000000"/>
              <w:left w:val="nil"/>
              <w:bottom w:val="single" w:sz="12"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AF64A6">
              <w:rPr>
                <w:rFonts w:eastAsiaTheme="minorEastAsia" w:cs="Arial"/>
                <w:b/>
                <w:bCs/>
                <w:color w:val="000000"/>
                <w:szCs w:val="16"/>
                <w:lang w:eastAsia="en-AU"/>
              </w:rPr>
              <w:t>176 019</w:t>
            </w:r>
          </w:p>
        </w:tc>
        <w:tc>
          <w:tcPr>
            <w:tcW w:w="992" w:type="dxa"/>
            <w:tcBorders>
              <w:top w:val="single" w:sz="6" w:space="0" w:color="000000"/>
              <w:left w:val="nil"/>
              <w:bottom w:val="single" w:sz="12"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AF64A6">
              <w:rPr>
                <w:rFonts w:eastAsiaTheme="minorEastAsia" w:cs="Arial"/>
                <w:b/>
                <w:bCs/>
                <w:color w:val="000000"/>
                <w:szCs w:val="16"/>
                <w:lang w:eastAsia="en-AU"/>
              </w:rPr>
              <w:t>160 099</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color w:val="000000"/>
                <w:szCs w:val="16"/>
                <w:vertAlign w:val="superscript"/>
                <w:lang w:eastAsia="en-AU"/>
              </w:rPr>
            </w:pPr>
            <w:r w:rsidRPr="00AF64A6">
              <w:rPr>
                <w:rFonts w:eastAsiaTheme="minorEastAsia" w:cs="Arial"/>
                <w:color w:val="000000"/>
                <w:szCs w:val="16"/>
                <w:lang w:eastAsia="en-AU"/>
              </w:rPr>
              <w:t xml:space="preserve">Accumulated surplus/(deficit) </w:t>
            </w:r>
            <w:r w:rsidRPr="00AF64A6">
              <w:rPr>
                <w:rFonts w:eastAsiaTheme="minorEastAsia" w:cs="Arial"/>
                <w:color w:val="000000"/>
                <w:szCs w:val="16"/>
                <w:vertAlign w:val="superscript"/>
                <w:lang w:eastAsia="en-AU"/>
              </w:rPr>
              <w:t>(a)</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75 239</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61 264</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color w:val="000000"/>
                <w:szCs w:val="16"/>
                <w:lang w:eastAsia="en-AU"/>
              </w:rPr>
            </w:pPr>
            <w:r w:rsidRPr="00AF64A6">
              <w:rPr>
                <w:rFonts w:eastAsiaTheme="minorEastAsia" w:cs="Arial"/>
                <w:color w:val="000000"/>
                <w:szCs w:val="16"/>
                <w:lang w:eastAsia="en-AU"/>
              </w:rPr>
              <w:t>Reserves</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100 780</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98 785</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color w:val="000000"/>
                <w:szCs w:val="16"/>
                <w:lang w:eastAsia="en-AU"/>
              </w:rPr>
            </w:pPr>
            <w:r w:rsidRPr="00AF64A6">
              <w:rPr>
                <w:rFonts w:eastAsiaTheme="minorEastAsia" w:cs="Arial"/>
                <w:color w:val="000000"/>
                <w:szCs w:val="16"/>
                <w:lang w:eastAsia="en-AU"/>
              </w:rPr>
              <w:t>Non-controlling interest</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50</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single" w:sz="12" w:space="0" w:color="000000"/>
              <w:right w:val="nil"/>
            </w:tcBorders>
          </w:tcPr>
          <w:p w:rsidR="00BB6F1F" w:rsidRPr="00AF64A6" w:rsidRDefault="00BB6F1F" w:rsidP="00AC68FF">
            <w:pPr>
              <w:keepLines w:val="0"/>
              <w:autoSpaceDE w:val="0"/>
              <w:autoSpaceDN w:val="0"/>
              <w:adjustRightInd w:val="0"/>
              <w:rPr>
                <w:rFonts w:eastAsiaTheme="minorEastAsia" w:cs="Arial"/>
                <w:b/>
                <w:bCs/>
                <w:color w:val="000000"/>
                <w:szCs w:val="16"/>
                <w:vertAlign w:val="superscript"/>
                <w:lang w:eastAsia="en-AU"/>
              </w:rPr>
            </w:pPr>
            <w:r w:rsidRPr="00AF64A6">
              <w:rPr>
                <w:rFonts w:eastAsiaTheme="minorEastAsia" w:cs="Arial"/>
                <w:b/>
                <w:bCs/>
                <w:color w:val="000000"/>
                <w:szCs w:val="16"/>
                <w:lang w:eastAsia="en-AU"/>
              </w:rPr>
              <w:t xml:space="preserve">Net worth </w:t>
            </w:r>
            <w:r w:rsidRPr="00AF64A6">
              <w:rPr>
                <w:rFonts w:eastAsiaTheme="minorEastAsia" w:cs="Arial"/>
                <w:b/>
                <w:bCs/>
                <w:color w:val="000000"/>
                <w:szCs w:val="16"/>
                <w:vertAlign w:val="superscript"/>
                <w:lang w:eastAsia="en-AU"/>
              </w:rPr>
              <w:t>(a)</w:t>
            </w:r>
          </w:p>
        </w:tc>
        <w:tc>
          <w:tcPr>
            <w:tcW w:w="820" w:type="dxa"/>
            <w:tcBorders>
              <w:top w:val="single" w:sz="6" w:space="0" w:color="000000"/>
              <w:left w:val="nil"/>
              <w:bottom w:val="single" w:sz="12"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AF64A6">
              <w:rPr>
                <w:rFonts w:eastAsiaTheme="minorEastAsia" w:cs="Arial"/>
                <w:b/>
                <w:bCs/>
                <w:color w:val="000000"/>
                <w:szCs w:val="16"/>
                <w:lang w:eastAsia="en-AU"/>
              </w:rPr>
              <w:t>176 019</w:t>
            </w:r>
          </w:p>
        </w:tc>
        <w:tc>
          <w:tcPr>
            <w:tcW w:w="992" w:type="dxa"/>
            <w:tcBorders>
              <w:top w:val="single" w:sz="6" w:space="0" w:color="000000"/>
              <w:left w:val="nil"/>
              <w:bottom w:val="single" w:sz="12"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AF64A6">
              <w:rPr>
                <w:rFonts w:eastAsiaTheme="minorEastAsia" w:cs="Arial"/>
                <w:b/>
                <w:bCs/>
                <w:color w:val="000000"/>
                <w:szCs w:val="16"/>
                <w:lang w:eastAsia="en-AU"/>
              </w:rPr>
              <w:t>160 099</w:t>
            </w:r>
          </w:p>
        </w:tc>
      </w:tr>
      <w:tr w:rsidR="00BB6F1F" w:rsidRPr="00AF64A6"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lang w:eastAsia="en-AU"/>
              </w:rPr>
            </w:pPr>
            <w:r w:rsidRPr="00AF64A6">
              <w:rPr>
                <w:rFonts w:eastAsiaTheme="minorEastAsia" w:cs="Calibri"/>
                <w:color w:val="000000"/>
                <w:lang w:eastAsia="en-AU"/>
              </w:rPr>
              <w:t xml:space="preserve"> </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AF64A6">
              <w:rPr>
                <w:rFonts w:eastAsiaTheme="minorEastAsia" w:cs="Calibri"/>
                <w:color w:val="000000"/>
                <w:lang w:eastAsia="en-AU"/>
              </w:rPr>
              <w:t xml:space="preserve"> </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AF64A6">
              <w:rPr>
                <w:rFonts w:eastAsiaTheme="minorEastAsia" w:cs="Calibri"/>
                <w:color w:val="00000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b/>
                <w:bCs/>
                <w:color w:val="000000"/>
                <w:szCs w:val="16"/>
                <w:lang w:eastAsia="en-AU"/>
              </w:rPr>
            </w:pPr>
            <w:r w:rsidRPr="00AF64A6">
              <w:rPr>
                <w:rFonts w:eastAsiaTheme="minorEastAsia" w:cs="Arial"/>
                <w:b/>
                <w:bCs/>
                <w:color w:val="000000"/>
                <w:szCs w:val="16"/>
                <w:lang w:eastAsia="en-AU"/>
              </w:rPr>
              <w:t>FISCAL AGGREGATES</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color w:val="000000"/>
                <w:szCs w:val="16"/>
                <w:lang w:eastAsia="en-AU"/>
              </w:rPr>
            </w:pPr>
            <w:r w:rsidRPr="00AF64A6">
              <w:rPr>
                <w:rFonts w:eastAsiaTheme="minorEastAsia" w:cs="Arial"/>
                <w:color w:val="000000"/>
                <w:szCs w:val="16"/>
                <w:lang w:eastAsia="en-AU"/>
              </w:rPr>
              <w:t>Net financial worth</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(66 395)</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(69 585)</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Arial"/>
                <w:color w:val="000000"/>
                <w:szCs w:val="16"/>
                <w:lang w:eastAsia="en-AU"/>
              </w:rPr>
            </w:pPr>
            <w:r w:rsidRPr="00AF64A6">
              <w:rPr>
                <w:rFonts w:eastAsiaTheme="minorEastAsia" w:cs="Arial"/>
                <w:color w:val="000000"/>
                <w:szCs w:val="16"/>
                <w:lang w:eastAsia="en-AU"/>
              </w:rPr>
              <w:t>Net financial liabilities</w:t>
            </w:r>
          </w:p>
        </w:tc>
        <w:tc>
          <w:tcPr>
            <w:tcW w:w="820"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69 781</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AF64A6">
              <w:rPr>
                <w:rFonts w:eastAsiaTheme="minorEastAsia" w:cs="Arial"/>
                <w:color w:val="000000"/>
                <w:szCs w:val="16"/>
                <w:lang w:eastAsia="en-AU"/>
              </w:rPr>
              <w:t>72 066</w:t>
            </w:r>
          </w:p>
        </w:tc>
      </w:tr>
      <w:tr w:rsidR="00BB6F1F" w:rsidRPr="00AF64A6"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nil"/>
              <w:bottom w:val="single" w:sz="12" w:space="0" w:color="000000"/>
            </w:tcBorders>
          </w:tcPr>
          <w:p w:rsidR="00BB6F1F" w:rsidRPr="00323E32" w:rsidRDefault="00BB6F1F" w:rsidP="00AC68FF">
            <w:pPr>
              <w:keepLines w:val="0"/>
              <w:autoSpaceDE w:val="0"/>
              <w:autoSpaceDN w:val="0"/>
              <w:adjustRightInd w:val="0"/>
              <w:rPr>
                <w:rFonts w:eastAsiaTheme="minorEastAsia" w:cs="Arial"/>
                <w:b w:val="0"/>
                <w:color w:val="000000"/>
                <w:szCs w:val="16"/>
                <w:lang w:eastAsia="en-AU"/>
              </w:rPr>
            </w:pPr>
            <w:r w:rsidRPr="00323E32">
              <w:rPr>
                <w:rFonts w:eastAsiaTheme="minorEastAsia" w:cs="Arial"/>
                <w:b w:val="0"/>
                <w:color w:val="000000"/>
                <w:szCs w:val="16"/>
                <w:lang w:eastAsia="en-AU"/>
              </w:rPr>
              <w:t>Net debt</w:t>
            </w:r>
          </w:p>
        </w:tc>
        <w:tc>
          <w:tcPr>
            <w:tcW w:w="820" w:type="dxa"/>
            <w:tcBorders>
              <w:top w:val="nil"/>
              <w:bottom w:val="single" w:sz="12" w:space="0" w:color="000000"/>
            </w:tcBorders>
          </w:tcPr>
          <w:p w:rsidR="00BB6F1F" w:rsidRPr="00323E3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Arial"/>
                <w:b w:val="0"/>
                <w:color w:val="000000"/>
                <w:szCs w:val="16"/>
                <w:lang w:eastAsia="en-AU"/>
              </w:rPr>
            </w:pPr>
            <w:r w:rsidRPr="00323E32">
              <w:rPr>
                <w:rFonts w:eastAsiaTheme="minorEastAsia" w:cs="Arial"/>
                <w:b w:val="0"/>
                <w:color w:val="000000"/>
                <w:szCs w:val="16"/>
                <w:lang w:eastAsia="en-AU"/>
              </w:rPr>
              <w:t>29 849</w:t>
            </w:r>
          </w:p>
        </w:tc>
        <w:tc>
          <w:tcPr>
            <w:tcW w:w="992" w:type="dxa"/>
            <w:tcBorders>
              <w:top w:val="nil"/>
              <w:bottom w:val="single" w:sz="12" w:space="0" w:color="000000"/>
            </w:tcBorders>
          </w:tcPr>
          <w:p w:rsidR="00BB6F1F" w:rsidRPr="00323E32"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Arial"/>
                <w:b w:val="0"/>
                <w:color w:val="000000"/>
                <w:szCs w:val="16"/>
                <w:lang w:eastAsia="en-AU"/>
              </w:rPr>
            </w:pPr>
            <w:r w:rsidRPr="00323E32">
              <w:rPr>
                <w:rFonts w:eastAsiaTheme="minorEastAsia" w:cs="Arial"/>
                <w:b w:val="0"/>
                <w:color w:val="000000"/>
                <w:szCs w:val="16"/>
                <w:lang w:eastAsia="en-AU"/>
              </w:rPr>
              <w:t>36 578</w:t>
            </w:r>
          </w:p>
        </w:tc>
      </w:tr>
    </w:tbl>
    <w:p w:rsidR="00BB6F1F" w:rsidRDefault="00BB6F1F" w:rsidP="00AC68FF">
      <w:pPr>
        <w:pStyle w:val="Source"/>
      </w:pPr>
      <w:r>
        <w:t>Source: Department of Treasury and Finance</w:t>
      </w:r>
    </w:p>
    <w:p w:rsidR="00BB6F1F" w:rsidRDefault="00BB6F1F" w:rsidP="00AC68FF">
      <w:pPr>
        <w:pStyle w:val="Note"/>
      </w:pPr>
      <w:r>
        <w:t>Note:</w:t>
      </w:r>
    </w:p>
    <w:p w:rsidR="00BB6F1F" w:rsidRDefault="00BB6F1F" w:rsidP="00AC68FF">
      <w:pPr>
        <w:pStyle w:val="Note"/>
        <w:rPr>
          <w:b/>
          <w:sz w:val="20"/>
          <w:szCs w:val="20"/>
        </w:rPr>
      </w:pPr>
      <w:r>
        <w:t>(a</w:t>
      </w:r>
      <w:r w:rsidRPr="004E06C4">
        <w:t>)</w:t>
      </w:r>
      <w:r w:rsidRPr="004E06C4">
        <w:tab/>
      </w:r>
      <w:r w:rsidRPr="00181405">
        <w:t xml:space="preserve">June 2016 comparative figures have been restated to reflect an adjustment to the Department of Environment, Land, Water and Planning's intangible produced assets and </w:t>
      </w:r>
      <w:r>
        <w:t xml:space="preserve">opening </w:t>
      </w:r>
      <w:r w:rsidRPr="00181405">
        <w:t xml:space="preserve">accumulated </w:t>
      </w:r>
      <w:r>
        <w:t>surplus/(deficit)</w:t>
      </w:r>
      <w:r w:rsidRPr="00181405">
        <w:t xml:space="preserve"> balances due to the </w:t>
      </w:r>
      <w:r>
        <w:t xml:space="preserve">first-time </w:t>
      </w:r>
      <w:r w:rsidRPr="00181405">
        <w:t xml:space="preserve">recognition of Renewable Energy Certificates. </w:t>
      </w:r>
      <w:r>
        <w:br w:type="page"/>
      </w:r>
    </w:p>
    <w:p w:rsidR="00BB6F1F" w:rsidRPr="00AF64A6" w:rsidRDefault="00BB6F1F" w:rsidP="00AC68FF">
      <w:pPr>
        <w:pStyle w:val="TableHeading"/>
        <w:rPr>
          <w:bCs/>
          <w:lang w:val="en-US"/>
        </w:rPr>
      </w:pPr>
      <w:r>
        <w:lastRenderedPageBreak/>
        <w:t>Table 5.3:</w:t>
      </w:r>
      <w:r>
        <w:tab/>
        <w:t>Non-financial public sector cash flow statement for the financial year ended 30 June</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228"/>
        <w:gridCol w:w="1417"/>
        <w:gridCol w:w="992"/>
      </w:tblGrid>
      <w:tr w:rsidR="00BB6F1F" w:rsidRPr="00AF64A6"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shd w:val="solid" w:color="000000" w:fill="auto"/>
          </w:tcPr>
          <w:p w:rsidR="00BB6F1F" w:rsidRPr="00AF64A6" w:rsidRDefault="00BB6F1F" w:rsidP="00AC68FF">
            <w:pPr>
              <w:autoSpaceDE w:val="0"/>
              <w:autoSpaceDN w:val="0"/>
              <w:adjustRightInd w:val="0"/>
              <w:rPr>
                <w:rFonts w:eastAsiaTheme="minorEastAsia" w:cs="Calibri"/>
                <w:iCs/>
                <w:color w:val="FFFFFF"/>
                <w:lang w:eastAsia="en-AU"/>
              </w:rPr>
            </w:pPr>
            <w:r w:rsidRPr="00AF64A6">
              <w:rPr>
                <w:rFonts w:eastAsiaTheme="minorEastAsia" w:cs="Calibri"/>
                <w:iCs/>
                <w:color w:val="FFFFFF"/>
                <w:lang w:eastAsia="en-AU"/>
              </w:rPr>
              <w:t xml:space="preserve"> </w:t>
            </w:r>
          </w:p>
        </w:tc>
        <w:tc>
          <w:tcPr>
            <w:tcW w:w="1417" w:type="dxa"/>
            <w:tcBorders>
              <w:top w:val="nil"/>
              <w:left w:val="nil"/>
              <w:bottom w:val="nil"/>
              <w:right w:val="nil"/>
            </w:tcBorders>
            <w:shd w:val="solid" w:color="000000" w:fill="auto"/>
          </w:tcPr>
          <w:p w:rsidR="00BB6F1F" w:rsidRPr="00AF64A6"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AF64A6">
              <w:rPr>
                <w:rFonts w:eastAsiaTheme="minorEastAsia" w:cs="Calibri"/>
                <w:iCs/>
                <w:color w:val="FFFFFF"/>
                <w:szCs w:val="18"/>
                <w:lang w:eastAsia="en-AU"/>
              </w:rPr>
              <w:t>2017</w:t>
            </w:r>
          </w:p>
        </w:tc>
        <w:tc>
          <w:tcPr>
            <w:tcW w:w="992" w:type="dxa"/>
            <w:tcBorders>
              <w:top w:val="nil"/>
              <w:left w:val="nil"/>
              <w:bottom w:val="nil"/>
              <w:right w:val="nil"/>
            </w:tcBorders>
            <w:shd w:val="solid" w:color="000000" w:fill="auto"/>
          </w:tcPr>
          <w:p w:rsidR="00BB6F1F" w:rsidRPr="00AF64A6"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AF64A6">
              <w:rPr>
                <w:rFonts w:eastAsiaTheme="minorEastAsia" w:cs="Calibri"/>
                <w:iCs/>
                <w:color w:val="FFFFFF"/>
                <w:szCs w:val="18"/>
                <w:lang w:eastAsia="en-AU"/>
              </w:rPr>
              <w:t>2016</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Cash flows from operating activities</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 xml:space="preserve">Receipts </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Taxes received</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21 421</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19 339</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Grants</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27 525</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25 364</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vertAlign w:val="superscript"/>
                <w:lang w:eastAsia="en-AU"/>
              </w:rPr>
            </w:pPr>
            <w:r w:rsidRPr="00AF64A6">
              <w:rPr>
                <w:rFonts w:eastAsiaTheme="minorEastAsia" w:cs="Calibri"/>
                <w:color w:val="000000"/>
                <w:szCs w:val="16"/>
                <w:lang w:eastAsia="en-AU"/>
              </w:rPr>
              <w:t xml:space="preserve">Sales of goods and services </w:t>
            </w:r>
            <w:r w:rsidRPr="00AF64A6">
              <w:rPr>
                <w:rFonts w:eastAsiaTheme="minorEastAsia" w:cs="Calibri"/>
                <w:color w:val="000000"/>
                <w:szCs w:val="16"/>
                <w:vertAlign w:val="superscript"/>
                <w:lang w:eastAsia="en-AU"/>
              </w:rPr>
              <w:t>(a)</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20 951</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12 056</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 xml:space="preserve">Interest received </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336</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365</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Dividends and income tax equivalent and rate equivalent receipts</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307</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424</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single" w:sz="6" w:space="0" w:color="000000"/>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Other receipts</w:t>
            </w:r>
          </w:p>
        </w:tc>
        <w:tc>
          <w:tcPr>
            <w:tcW w:w="1417" w:type="dxa"/>
            <w:tcBorders>
              <w:top w:val="nil"/>
              <w:left w:val="nil"/>
              <w:bottom w:val="single" w:sz="6"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2 368</w:t>
            </w:r>
          </w:p>
        </w:tc>
        <w:tc>
          <w:tcPr>
            <w:tcW w:w="992" w:type="dxa"/>
            <w:tcBorders>
              <w:top w:val="nil"/>
              <w:left w:val="nil"/>
              <w:bottom w:val="single" w:sz="6"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2 567</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Total receipts</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AF64A6">
              <w:rPr>
                <w:rFonts w:eastAsiaTheme="minorEastAsia" w:cs="Calibri"/>
                <w:b/>
                <w:bCs/>
                <w:color w:val="000000"/>
                <w:szCs w:val="18"/>
                <w:lang w:eastAsia="en-AU"/>
              </w:rPr>
              <w:t>72 908</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AF64A6">
              <w:rPr>
                <w:rFonts w:eastAsiaTheme="minorEastAsia" w:cs="Calibri"/>
                <w:b/>
                <w:bCs/>
                <w:color w:val="000000"/>
                <w:szCs w:val="18"/>
                <w:lang w:eastAsia="en-AU"/>
              </w:rPr>
              <w:t>60 115</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 xml:space="preserve">Payments </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Payments for employees</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(22 103)</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(20 684)</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Superannuation</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(3 169)</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(2 990)</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Interest paid</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(2 452)</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(2 625)</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Grants and subsidies</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(7 060)</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(5 616)</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vertAlign w:val="superscript"/>
                <w:lang w:eastAsia="en-AU"/>
              </w:rPr>
            </w:pPr>
            <w:r w:rsidRPr="00AF64A6">
              <w:rPr>
                <w:rFonts w:eastAsiaTheme="minorEastAsia" w:cs="Calibri"/>
                <w:color w:val="000000"/>
                <w:szCs w:val="16"/>
                <w:lang w:eastAsia="en-AU"/>
              </w:rPr>
              <w:t xml:space="preserve">Goods and services </w:t>
            </w:r>
            <w:r w:rsidRPr="00AF64A6">
              <w:rPr>
                <w:rFonts w:eastAsiaTheme="minorEastAsia" w:cs="Calibri"/>
                <w:color w:val="000000"/>
                <w:szCs w:val="16"/>
                <w:vertAlign w:val="superscript"/>
                <w:lang w:eastAsia="en-AU"/>
              </w:rPr>
              <w:t>(a)</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(21 651)</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(20 680)</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Other payments</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(739)</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(468)</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single" w:sz="6" w:space="0" w:color="000000"/>
              <w:left w:val="nil"/>
              <w:bottom w:val="single" w:sz="6" w:space="0" w:color="000000"/>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Total payments</w:t>
            </w:r>
          </w:p>
        </w:tc>
        <w:tc>
          <w:tcPr>
            <w:tcW w:w="1417" w:type="dxa"/>
            <w:tcBorders>
              <w:top w:val="single" w:sz="6" w:space="0" w:color="000000"/>
              <w:left w:val="nil"/>
              <w:bottom w:val="single" w:sz="6"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(57 174)</w:t>
            </w:r>
          </w:p>
        </w:tc>
        <w:tc>
          <w:tcPr>
            <w:tcW w:w="992" w:type="dxa"/>
            <w:tcBorders>
              <w:top w:val="single" w:sz="6" w:space="0" w:color="000000"/>
              <w:left w:val="nil"/>
              <w:bottom w:val="single" w:sz="6"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(53 064)</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Net cash flows from operating activities</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AF64A6">
              <w:rPr>
                <w:rFonts w:eastAsiaTheme="minorEastAsia" w:cs="Calibri"/>
                <w:b/>
                <w:bCs/>
                <w:color w:val="000000"/>
                <w:szCs w:val="18"/>
                <w:lang w:eastAsia="en-AU"/>
              </w:rPr>
              <w:t>15 734</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AF64A6">
              <w:rPr>
                <w:rFonts w:eastAsiaTheme="minorEastAsia" w:cs="Calibri"/>
                <w:b/>
                <w:bCs/>
                <w:color w:val="000000"/>
                <w:szCs w:val="18"/>
                <w:lang w:eastAsia="en-AU"/>
              </w:rPr>
              <w:t>7 051</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Cash flows from investing activities</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Purchases of non-financial assets</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(9 041)</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(6 801)</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single" w:sz="6" w:space="0" w:color="000000"/>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Sales of non-financial assets</w:t>
            </w:r>
          </w:p>
        </w:tc>
        <w:tc>
          <w:tcPr>
            <w:tcW w:w="1417" w:type="dxa"/>
            <w:tcBorders>
              <w:top w:val="nil"/>
              <w:left w:val="nil"/>
              <w:bottom w:val="single" w:sz="6"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475</w:t>
            </w:r>
          </w:p>
        </w:tc>
        <w:tc>
          <w:tcPr>
            <w:tcW w:w="992" w:type="dxa"/>
            <w:tcBorders>
              <w:top w:val="nil"/>
              <w:left w:val="nil"/>
              <w:bottom w:val="single" w:sz="6"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453</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Cash flows from investments in non-financial assets</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(8 566)</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(6 348)</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single" w:sz="6" w:space="0" w:color="000000"/>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Net cash flows from investments in financial assets for policy purposes</w:t>
            </w:r>
          </w:p>
        </w:tc>
        <w:tc>
          <w:tcPr>
            <w:tcW w:w="1417" w:type="dxa"/>
            <w:tcBorders>
              <w:top w:val="nil"/>
              <w:left w:val="nil"/>
              <w:bottom w:val="single" w:sz="6"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(62)</w:t>
            </w:r>
          </w:p>
        </w:tc>
        <w:tc>
          <w:tcPr>
            <w:tcW w:w="992" w:type="dxa"/>
            <w:tcBorders>
              <w:top w:val="nil"/>
              <w:left w:val="nil"/>
              <w:bottom w:val="single" w:sz="6"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345</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Sub-total</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(8 628)</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(6 003)</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single" w:sz="6" w:space="0" w:color="000000"/>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Net cash flows from investments in financial assets for liquidity management purposes</w:t>
            </w:r>
          </w:p>
        </w:tc>
        <w:tc>
          <w:tcPr>
            <w:tcW w:w="1417" w:type="dxa"/>
            <w:tcBorders>
              <w:top w:val="nil"/>
              <w:left w:val="nil"/>
              <w:bottom w:val="single" w:sz="6"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(911)</w:t>
            </w:r>
          </w:p>
        </w:tc>
        <w:tc>
          <w:tcPr>
            <w:tcW w:w="992" w:type="dxa"/>
            <w:tcBorders>
              <w:top w:val="nil"/>
              <w:left w:val="nil"/>
              <w:bottom w:val="single" w:sz="6"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567</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Net cash flows from investing activities</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(9 539)</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(5 436)</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Cash flows from financing activities</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Advances received (net)</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107</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Net borrowings</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(5 281)</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(1 457)</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Deposits received (net)</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87</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42</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single" w:sz="6" w:space="0" w:color="000000"/>
              <w:left w:val="nil"/>
              <w:bottom w:val="single" w:sz="6" w:space="0" w:color="000000"/>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Net cash flows from financing activities</w:t>
            </w:r>
          </w:p>
        </w:tc>
        <w:tc>
          <w:tcPr>
            <w:tcW w:w="1417" w:type="dxa"/>
            <w:tcBorders>
              <w:top w:val="single" w:sz="6" w:space="0" w:color="000000"/>
              <w:left w:val="nil"/>
              <w:bottom w:val="single" w:sz="6"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(5 087)</w:t>
            </w:r>
          </w:p>
        </w:tc>
        <w:tc>
          <w:tcPr>
            <w:tcW w:w="992" w:type="dxa"/>
            <w:tcBorders>
              <w:top w:val="single" w:sz="6" w:space="0" w:color="000000"/>
              <w:left w:val="nil"/>
              <w:bottom w:val="single" w:sz="6"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(1 414)</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 xml:space="preserve">Net increase/(decrease) in cash and cash equivalents </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AF64A6">
              <w:rPr>
                <w:rFonts w:eastAsiaTheme="minorEastAsia" w:cs="Calibri"/>
                <w:b/>
                <w:bCs/>
                <w:color w:val="000000"/>
                <w:szCs w:val="18"/>
                <w:lang w:eastAsia="en-AU"/>
              </w:rPr>
              <w:t>1 108</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201</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Cash and c</w:t>
            </w:r>
            <w:r>
              <w:rPr>
                <w:rFonts w:eastAsiaTheme="minorEastAsia" w:cs="Calibri"/>
                <w:color w:val="000000"/>
                <w:szCs w:val="16"/>
                <w:lang w:eastAsia="en-AU"/>
              </w:rPr>
              <w:t xml:space="preserve">ash equivalents at beginning of the </w:t>
            </w:r>
            <w:r w:rsidRPr="00AF64A6">
              <w:rPr>
                <w:rFonts w:eastAsiaTheme="minorEastAsia" w:cs="Calibri"/>
                <w:color w:val="000000"/>
                <w:szCs w:val="16"/>
                <w:lang w:eastAsia="en-AU"/>
              </w:rPr>
              <w:t>reporting period</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5 574</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5 374</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single" w:sz="6" w:space="0" w:color="000000"/>
              <w:left w:val="nil"/>
              <w:bottom w:val="single" w:sz="12" w:space="0" w:color="000000"/>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Cash and cash equivale</w:t>
            </w:r>
            <w:r>
              <w:rPr>
                <w:rFonts w:eastAsiaTheme="minorEastAsia" w:cs="Calibri"/>
                <w:b/>
                <w:bCs/>
                <w:color w:val="000000"/>
                <w:szCs w:val="16"/>
                <w:lang w:eastAsia="en-AU"/>
              </w:rPr>
              <w:t xml:space="preserve">nts at end of the reporting period </w:t>
            </w:r>
            <w:r w:rsidRPr="006C3100">
              <w:rPr>
                <w:rFonts w:eastAsiaTheme="minorEastAsia" w:cs="Calibri"/>
                <w:b/>
                <w:bCs/>
                <w:color w:val="000000"/>
                <w:szCs w:val="16"/>
                <w:vertAlign w:val="superscript"/>
                <w:lang w:eastAsia="en-AU"/>
              </w:rPr>
              <w:t>(b)</w:t>
            </w:r>
          </w:p>
        </w:tc>
        <w:tc>
          <w:tcPr>
            <w:tcW w:w="1417" w:type="dxa"/>
            <w:tcBorders>
              <w:top w:val="single" w:sz="6" w:space="0" w:color="000000"/>
              <w:left w:val="nil"/>
              <w:bottom w:val="single" w:sz="12"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AF64A6">
              <w:rPr>
                <w:rFonts w:eastAsiaTheme="minorEastAsia" w:cs="Calibri"/>
                <w:b/>
                <w:bCs/>
                <w:color w:val="000000"/>
                <w:szCs w:val="18"/>
                <w:lang w:eastAsia="en-AU"/>
              </w:rPr>
              <w:t>6 683</w:t>
            </w:r>
          </w:p>
        </w:tc>
        <w:tc>
          <w:tcPr>
            <w:tcW w:w="992" w:type="dxa"/>
            <w:tcBorders>
              <w:top w:val="single" w:sz="6" w:space="0" w:color="000000"/>
              <w:left w:val="nil"/>
              <w:bottom w:val="single" w:sz="12"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AF64A6">
              <w:rPr>
                <w:rFonts w:eastAsiaTheme="minorEastAsia" w:cs="Calibri"/>
                <w:b/>
                <w:bCs/>
                <w:color w:val="000000"/>
                <w:szCs w:val="18"/>
                <w:lang w:eastAsia="en-AU"/>
              </w:rPr>
              <w:t>5 574</w:t>
            </w:r>
          </w:p>
        </w:tc>
      </w:tr>
      <w:tr w:rsidR="00BB6F1F" w:rsidRPr="00AF64A6"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lang w:eastAsia="en-AU"/>
              </w:rPr>
            </w:pPr>
            <w:r w:rsidRPr="00AF64A6">
              <w:rPr>
                <w:rFonts w:eastAsiaTheme="minorEastAsia" w:cs="Calibri"/>
                <w:color w:val="000000"/>
                <w:lang w:eastAsia="en-AU"/>
              </w:rPr>
              <w:t xml:space="preserve"> </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AF64A6">
              <w:rPr>
                <w:rFonts w:eastAsiaTheme="minorEastAsia" w:cs="Calibri"/>
                <w:color w:val="000000"/>
                <w:lang w:eastAsia="en-AU"/>
              </w:rPr>
              <w:t xml:space="preserve"> </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AF64A6">
              <w:rPr>
                <w:rFonts w:eastAsiaTheme="minorEastAsia" w:cs="Calibri"/>
                <w:color w:val="00000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6"/>
                <w:lang w:eastAsia="en-AU"/>
              </w:rPr>
            </w:pPr>
            <w:r w:rsidRPr="00AF64A6">
              <w:rPr>
                <w:rFonts w:eastAsiaTheme="minorEastAsia" w:cs="Calibri"/>
                <w:b/>
                <w:bCs/>
                <w:color w:val="000000"/>
                <w:szCs w:val="16"/>
                <w:lang w:eastAsia="en-AU"/>
              </w:rPr>
              <w:t>FISCAL AGGREGATES</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Net cash flows from operating activities</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15 734</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AF64A6">
              <w:rPr>
                <w:rFonts w:eastAsiaTheme="minorEastAsia" w:cs="Calibri"/>
                <w:color w:val="000000"/>
                <w:szCs w:val="18"/>
                <w:lang w:eastAsia="en-AU"/>
              </w:rPr>
              <w:t>7 051</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6"/>
                <w:lang w:eastAsia="en-AU"/>
              </w:rPr>
            </w:pPr>
            <w:r w:rsidRPr="00AF64A6">
              <w:rPr>
                <w:rFonts w:eastAsiaTheme="minorEastAsia" w:cs="Calibri"/>
                <w:color w:val="000000"/>
                <w:szCs w:val="16"/>
                <w:lang w:eastAsia="en-AU"/>
              </w:rPr>
              <w:t>Net cash flows from investments in non-financial assets</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(8 566)</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(6 348)</w:t>
            </w:r>
          </w:p>
        </w:tc>
      </w:tr>
      <w:tr w:rsidR="00BB6F1F" w:rsidRPr="00AF64A6" w:rsidTr="00CE0E2F">
        <w:trPr>
          <w:cnfStyle w:val="010000000000" w:firstRow="0" w:lastRow="1" w:firstColumn="0" w:lastColumn="0" w:oddVBand="0" w:evenVBand="0" w:oddHBand="0"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228" w:type="dxa"/>
            <w:tcBorders>
              <w:top w:val="single" w:sz="6" w:space="0" w:color="000000"/>
              <w:bottom w:val="single" w:sz="12" w:space="0" w:color="000000"/>
            </w:tcBorders>
          </w:tcPr>
          <w:p w:rsidR="00BB6F1F" w:rsidRPr="00AF64A6" w:rsidRDefault="00BB6F1F" w:rsidP="00AC68FF">
            <w:pPr>
              <w:keepLines w:val="0"/>
              <w:autoSpaceDE w:val="0"/>
              <w:autoSpaceDN w:val="0"/>
              <w:adjustRightInd w:val="0"/>
              <w:rPr>
                <w:rFonts w:eastAsiaTheme="minorEastAsia" w:cs="Calibri"/>
                <w:bCs/>
                <w:color w:val="000000"/>
                <w:szCs w:val="16"/>
                <w:lang w:eastAsia="en-AU"/>
              </w:rPr>
            </w:pPr>
            <w:r w:rsidRPr="00AF64A6">
              <w:rPr>
                <w:rFonts w:eastAsiaTheme="minorEastAsia" w:cs="Calibri"/>
                <w:bCs/>
                <w:color w:val="000000"/>
                <w:szCs w:val="16"/>
                <w:lang w:eastAsia="en-AU"/>
              </w:rPr>
              <w:t>Cash surplus/(deficit)</w:t>
            </w:r>
          </w:p>
        </w:tc>
        <w:tc>
          <w:tcPr>
            <w:tcW w:w="1417" w:type="dxa"/>
            <w:tcBorders>
              <w:top w:val="single" w:sz="6" w:space="0" w:color="000000"/>
              <w:bottom w:val="single" w:sz="12" w:space="0" w:color="000000"/>
            </w:tcBorders>
          </w:tcPr>
          <w:p w:rsidR="00BB6F1F" w:rsidRPr="00AF64A6"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AF64A6">
              <w:rPr>
                <w:rFonts w:eastAsiaTheme="minorEastAsia" w:cs="Calibri"/>
                <w:bCs/>
                <w:color w:val="000000"/>
                <w:szCs w:val="18"/>
                <w:lang w:eastAsia="en-AU"/>
              </w:rPr>
              <w:t>7 168</w:t>
            </w:r>
          </w:p>
        </w:tc>
        <w:tc>
          <w:tcPr>
            <w:tcW w:w="992" w:type="dxa"/>
            <w:tcBorders>
              <w:top w:val="single" w:sz="6" w:space="0" w:color="000000"/>
              <w:bottom w:val="single" w:sz="12" w:space="0" w:color="000000"/>
            </w:tcBorders>
          </w:tcPr>
          <w:p w:rsidR="00BB6F1F" w:rsidRPr="00AF64A6"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702</w:t>
            </w:r>
          </w:p>
        </w:tc>
      </w:tr>
    </w:tbl>
    <w:p w:rsidR="00BB6F1F" w:rsidRDefault="00BB6F1F" w:rsidP="00AC68FF">
      <w:pPr>
        <w:pStyle w:val="Source"/>
      </w:pPr>
      <w:r>
        <w:t>Source: Department of Treasury and Finance</w:t>
      </w:r>
    </w:p>
    <w:p w:rsidR="00BB6F1F" w:rsidRDefault="00BB6F1F" w:rsidP="00AC68FF">
      <w:pPr>
        <w:pStyle w:val="Note"/>
      </w:pPr>
      <w:r>
        <w:t>Notes:</w:t>
      </w:r>
    </w:p>
    <w:p w:rsidR="00BB6F1F" w:rsidRDefault="00BB6F1F" w:rsidP="00AC68FF">
      <w:pPr>
        <w:pStyle w:val="Note"/>
      </w:pPr>
      <w:r>
        <w:t>(a)</w:t>
      </w:r>
      <w:r>
        <w:tab/>
        <w:t>These items are inclusive of goods and services tax.</w:t>
      </w:r>
    </w:p>
    <w:p w:rsidR="00BB6F1F" w:rsidRDefault="00BB6F1F" w:rsidP="00AC68FF">
      <w:pPr>
        <w:pStyle w:val="Note"/>
      </w:pPr>
      <w:r>
        <w:t>(b)</w:t>
      </w:r>
      <w:r>
        <w:tab/>
      </w:r>
      <w:r w:rsidRPr="00D42175">
        <w:t>Cash and cash equivalents at the end of the reporting period does not equal cash and deposits on the balance sheet. This is due to overdrafts being included in the cash flow statement balances.</w:t>
      </w:r>
    </w:p>
    <w:p w:rsidR="00BB6F1F" w:rsidRDefault="00BB6F1F" w:rsidP="00AC68FF">
      <w:pPr>
        <w:pStyle w:val="Note"/>
      </w:pPr>
    </w:p>
    <w:p w:rsidR="00BB6F1F" w:rsidRDefault="00BB6F1F" w:rsidP="00AC68FF"/>
    <w:p w:rsidR="00BB6F1F" w:rsidRDefault="00BB6F1F" w:rsidP="00AC68FF">
      <w:pPr>
        <w:sectPr w:rsidR="00BB6F1F" w:rsidSect="00AC68FF">
          <w:headerReference w:type="even" r:id="rId167"/>
          <w:headerReference w:type="default" r:id="rId168"/>
          <w:footerReference w:type="even" r:id="rId169"/>
          <w:type w:val="continuous"/>
          <w:pgSz w:w="11907" w:h="16839" w:code="9"/>
          <w:pgMar w:top="1134" w:right="1134" w:bottom="1134" w:left="1134" w:header="624" w:footer="567" w:gutter="0"/>
          <w:cols w:sep="1" w:space="567"/>
          <w:docGrid w:linePitch="360"/>
        </w:sectPr>
      </w:pPr>
    </w:p>
    <w:p w:rsidR="00BB6F1F" w:rsidRPr="00AF64A6" w:rsidRDefault="00BB6F1F" w:rsidP="00AC68FF">
      <w:pPr>
        <w:pStyle w:val="TableHeading"/>
        <w:spacing w:before="0"/>
        <w:rPr>
          <w:bCs/>
          <w:lang w:val="en-US"/>
        </w:rPr>
      </w:pPr>
      <w:r>
        <w:lastRenderedPageBreak/>
        <w:t>Table 5.4:</w:t>
      </w:r>
      <w:r>
        <w:tab/>
        <w:t>Non-financial public sector statement of changes in equity</w:t>
      </w:r>
      <w:r>
        <w:tab/>
      </w:r>
      <w:r>
        <w:tab/>
        <w:t>($ million)</w:t>
      </w:r>
    </w:p>
    <w:tbl>
      <w:tblPr>
        <w:tblStyle w:val="DTFTable"/>
        <w:tblW w:w="14570" w:type="dxa"/>
        <w:tblInd w:w="45" w:type="dxa"/>
        <w:tblLayout w:type="fixed"/>
        <w:tblCellMar>
          <w:left w:w="45" w:type="dxa"/>
          <w:right w:w="45" w:type="dxa"/>
        </w:tblCellMar>
        <w:tblLook w:val="06E0" w:firstRow="1" w:lastRow="1" w:firstColumn="1" w:lastColumn="0" w:noHBand="1" w:noVBand="1"/>
      </w:tblPr>
      <w:tblGrid>
        <w:gridCol w:w="4394"/>
        <w:gridCol w:w="1695"/>
        <w:gridCol w:w="1565"/>
        <w:gridCol w:w="1984"/>
        <w:gridCol w:w="2409"/>
        <w:gridCol w:w="1417"/>
        <w:gridCol w:w="1106"/>
      </w:tblGrid>
      <w:tr w:rsidR="00BB6F1F" w:rsidRPr="00AF64A6"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shd w:val="solid" w:color="000000" w:fill="auto"/>
          </w:tcPr>
          <w:p w:rsidR="00BB6F1F" w:rsidRPr="00AF64A6" w:rsidRDefault="00BB6F1F" w:rsidP="00AC68FF">
            <w:pPr>
              <w:autoSpaceDE w:val="0"/>
              <w:autoSpaceDN w:val="0"/>
              <w:adjustRightInd w:val="0"/>
              <w:rPr>
                <w:rFonts w:eastAsiaTheme="minorEastAsia" w:cs="Calibri"/>
                <w:iCs/>
                <w:color w:val="FFFFFF"/>
                <w:lang w:eastAsia="en-AU"/>
              </w:rPr>
            </w:pPr>
            <w:r w:rsidRPr="00AF64A6">
              <w:rPr>
                <w:rFonts w:eastAsiaTheme="minorEastAsia" w:cs="Calibri"/>
                <w:iCs/>
                <w:color w:val="FFFFFF"/>
                <w:lang w:eastAsia="en-AU"/>
              </w:rPr>
              <w:t xml:space="preserve"> </w:t>
            </w:r>
          </w:p>
        </w:tc>
        <w:tc>
          <w:tcPr>
            <w:tcW w:w="1695" w:type="dxa"/>
            <w:tcBorders>
              <w:top w:val="nil"/>
              <w:left w:val="nil"/>
              <w:bottom w:val="nil"/>
              <w:right w:val="nil"/>
            </w:tcBorders>
            <w:shd w:val="solid" w:color="000000" w:fill="auto"/>
          </w:tcPr>
          <w:p w:rsidR="00BB6F1F" w:rsidRPr="00AF64A6"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AF64A6">
              <w:rPr>
                <w:rFonts w:eastAsiaTheme="minorEastAsia" w:cs="Calibri"/>
                <w:iCs/>
                <w:color w:val="FFFFFF"/>
                <w:szCs w:val="21"/>
                <w:lang w:eastAsia="en-AU"/>
              </w:rPr>
              <w:t xml:space="preserve">Accumulated surplus/(deficit) </w:t>
            </w:r>
          </w:p>
        </w:tc>
        <w:tc>
          <w:tcPr>
            <w:tcW w:w="1565" w:type="dxa"/>
            <w:tcBorders>
              <w:top w:val="nil"/>
              <w:left w:val="nil"/>
              <w:bottom w:val="nil"/>
              <w:right w:val="nil"/>
            </w:tcBorders>
            <w:shd w:val="solid" w:color="000000" w:fill="auto"/>
          </w:tcPr>
          <w:p w:rsidR="00BB6F1F" w:rsidRPr="00AF64A6"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AF64A6">
              <w:rPr>
                <w:rFonts w:eastAsiaTheme="minorEastAsia" w:cs="Calibri"/>
                <w:iCs/>
                <w:color w:val="FFFFFF"/>
                <w:szCs w:val="21"/>
                <w:lang w:eastAsia="en-AU"/>
              </w:rPr>
              <w:t>Non-controlling Interest</w:t>
            </w:r>
          </w:p>
        </w:tc>
        <w:tc>
          <w:tcPr>
            <w:tcW w:w="1984" w:type="dxa"/>
            <w:tcBorders>
              <w:top w:val="nil"/>
              <w:left w:val="nil"/>
              <w:bottom w:val="nil"/>
              <w:right w:val="nil"/>
            </w:tcBorders>
            <w:shd w:val="solid" w:color="000000" w:fill="auto"/>
          </w:tcPr>
          <w:p w:rsidR="00BB6F1F" w:rsidRPr="00AF64A6"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AF64A6">
              <w:rPr>
                <w:rFonts w:eastAsiaTheme="minorEastAsia" w:cs="Calibri"/>
                <w:iCs/>
                <w:color w:val="FFFFFF"/>
                <w:szCs w:val="21"/>
                <w:lang w:eastAsia="en-AU"/>
              </w:rPr>
              <w:t>Non-financial assets revaluation surplus</w:t>
            </w:r>
          </w:p>
        </w:tc>
        <w:tc>
          <w:tcPr>
            <w:tcW w:w="2409" w:type="dxa"/>
            <w:tcBorders>
              <w:top w:val="nil"/>
              <w:left w:val="nil"/>
              <w:bottom w:val="nil"/>
              <w:right w:val="nil"/>
            </w:tcBorders>
            <w:shd w:val="solid" w:color="000000" w:fill="auto"/>
          </w:tcPr>
          <w:p w:rsidR="00BB6F1F" w:rsidRPr="00AF64A6"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AF64A6">
              <w:rPr>
                <w:rFonts w:eastAsiaTheme="minorEastAsia" w:cs="Calibri"/>
                <w:iCs/>
                <w:color w:val="FFFFFF"/>
                <w:szCs w:val="21"/>
                <w:lang w:eastAsia="en-AU"/>
              </w:rPr>
              <w:t xml:space="preserve">Investment in other sector </w:t>
            </w:r>
            <w:r>
              <w:rPr>
                <w:rFonts w:eastAsiaTheme="minorEastAsia" w:cs="Calibri"/>
                <w:iCs/>
                <w:color w:val="FFFFFF"/>
                <w:szCs w:val="21"/>
                <w:lang w:eastAsia="en-AU"/>
              </w:rPr>
              <w:br/>
            </w:r>
            <w:r w:rsidRPr="00AF64A6">
              <w:rPr>
                <w:rFonts w:eastAsiaTheme="minorEastAsia" w:cs="Calibri"/>
                <w:iCs/>
                <w:color w:val="FFFFFF"/>
                <w:szCs w:val="21"/>
                <w:lang w:eastAsia="en-AU"/>
              </w:rPr>
              <w:t>entities revaluation surplus</w:t>
            </w:r>
          </w:p>
        </w:tc>
        <w:tc>
          <w:tcPr>
            <w:tcW w:w="1417" w:type="dxa"/>
            <w:tcBorders>
              <w:top w:val="nil"/>
              <w:left w:val="nil"/>
              <w:bottom w:val="nil"/>
              <w:right w:val="nil"/>
            </w:tcBorders>
            <w:shd w:val="solid" w:color="000000" w:fill="auto"/>
          </w:tcPr>
          <w:p w:rsidR="00BB6F1F" w:rsidRPr="00AF64A6"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AF64A6">
              <w:rPr>
                <w:rFonts w:eastAsiaTheme="minorEastAsia" w:cs="Calibri"/>
                <w:iCs/>
                <w:color w:val="FFFFFF"/>
                <w:szCs w:val="21"/>
                <w:lang w:eastAsia="en-AU"/>
              </w:rPr>
              <w:t>Other reserves</w:t>
            </w:r>
          </w:p>
        </w:tc>
        <w:tc>
          <w:tcPr>
            <w:tcW w:w="1106" w:type="dxa"/>
            <w:tcBorders>
              <w:top w:val="nil"/>
              <w:left w:val="nil"/>
              <w:bottom w:val="nil"/>
              <w:right w:val="nil"/>
            </w:tcBorders>
            <w:shd w:val="solid" w:color="000000" w:fill="auto"/>
          </w:tcPr>
          <w:p w:rsidR="00BB6F1F" w:rsidRPr="00AF64A6"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AF64A6">
              <w:rPr>
                <w:rFonts w:eastAsiaTheme="minorEastAsia" w:cs="Calibri"/>
                <w:iCs/>
                <w:color w:val="FFFFFF"/>
                <w:szCs w:val="21"/>
                <w:lang w:eastAsia="en-AU"/>
              </w:rPr>
              <w:t>Total</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21"/>
                <w:lang w:eastAsia="en-AU"/>
              </w:rPr>
            </w:pPr>
            <w:r w:rsidRPr="00AF64A6">
              <w:rPr>
                <w:rFonts w:eastAsiaTheme="minorEastAsia" w:cs="Calibri"/>
                <w:b/>
                <w:bCs/>
                <w:color w:val="000000"/>
                <w:szCs w:val="21"/>
                <w:lang w:eastAsia="en-AU"/>
              </w:rPr>
              <w:t>2017</w:t>
            </w:r>
          </w:p>
        </w:tc>
        <w:tc>
          <w:tcPr>
            <w:tcW w:w="1695"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AF64A6">
              <w:rPr>
                <w:rFonts w:eastAsiaTheme="minorEastAsia" w:cs="Calibri"/>
                <w:b/>
                <w:bCs/>
                <w:color w:val="000000"/>
                <w:szCs w:val="21"/>
                <w:lang w:eastAsia="en-AU"/>
              </w:rPr>
              <w:t xml:space="preserve"> </w:t>
            </w:r>
          </w:p>
        </w:tc>
        <w:tc>
          <w:tcPr>
            <w:tcW w:w="1565"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AF64A6">
              <w:rPr>
                <w:rFonts w:eastAsiaTheme="minorEastAsia" w:cs="Calibri"/>
                <w:b/>
                <w:bCs/>
                <w:color w:val="000000"/>
                <w:szCs w:val="21"/>
                <w:lang w:eastAsia="en-AU"/>
              </w:rPr>
              <w:t xml:space="preserve"> </w:t>
            </w:r>
          </w:p>
        </w:tc>
        <w:tc>
          <w:tcPr>
            <w:tcW w:w="1984"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2409"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AF64A6">
              <w:rPr>
                <w:rFonts w:eastAsiaTheme="minorEastAsia" w:cs="Calibri"/>
                <w:b/>
                <w:bCs/>
                <w:color w:val="000000"/>
                <w:szCs w:val="21"/>
                <w:lang w:eastAsia="en-AU"/>
              </w:rPr>
              <w:t xml:space="preserve"> </w:t>
            </w:r>
          </w:p>
        </w:tc>
        <w:tc>
          <w:tcPr>
            <w:tcW w:w="1106"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AF64A6">
              <w:rPr>
                <w:rFonts w:eastAsiaTheme="minorEastAsia" w:cs="Calibri"/>
                <w:b/>
                <w:bCs/>
                <w:color w:val="000000"/>
                <w:szCs w:val="21"/>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21"/>
                <w:vertAlign w:val="superscript"/>
                <w:lang w:eastAsia="en-AU"/>
              </w:rPr>
            </w:pPr>
            <w:r w:rsidRPr="00AF64A6">
              <w:rPr>
                <w:rFonts w:eastAsiaTheme="minorEastAsia" w:cs="Calibri"/>
                <w:color w:val="000000"/>
                <w:szCs w:val="21"/>
                <w:lang w:eastAsia="en-AU"/>
              </w:rPr>
              <w:t xml:space="preserve">Balance at 1 July 2016 </w:t>
            </w:r>
            <w:r w:rsidRPr="00AF64A6">
              <w:rPr>
                <w:rFonts w:eastAsiaTheme="minorEastAsia" w:cs="Calibri"/>
                <w:color w:val="000000"/>
                <w:szCs w:val="21"/>
                <w:vertAlign w:val="superscript"/>
                <w:lang w:eastAsia="en-AU"/>
              </w:rPr>
              <w:t>(a)</w:t>
            </w:r>
          </w:p>
        </w:tc>
        <w:tc>
          <w:tcPr>
            <w:tcW w:w="1695"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61 264</w:t>
            </w:r>
          </w:p>
        </w:tc>
        <w:tc>
          <w:tcPr>
            <w:tcW w:w="1565"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AF64A6">
              <w:rPr>
                <w:rFonts w:eastAsiaTheme="minorEastAsia" w:cs="Calibri"/>
                <w:color w:val="000000"/>
                <w:szCs w:val="21"/>
                <w:lang w:eastAsia="en-AU"/>
              </w:rPr>
              <w:t>50</w:t>
            </w:r>
          </w:p>
        </w:tc>
        <w:tc>
          <w:tcPr>
            <w:tcW w:w="1984"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94 963</w:t>
            </w:r>
          </w:p>
        </w:tc>
        <w:tc>
          <w:tcPr>
            <w:tcW w:w="2409"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2 819</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1 002</w:t>
            </w:r>
          </w:p>
        </w:tc>
        <w:tc>
          <w:tcPr>
            <w:tcW w:w="1106"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160 099</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20"/>
                <w:lang w:eastAsia="en-AU"/>
              </w:rPr>
            </w:pPr>
            <w:r w:rsidRPr="00AF64A6">
              <w:rPr>
                <w:rFonts w:eastAsiaTheme="minorEastAsia" w:cs="Calibri"/>
                <w:color w:val="000000"/>
                <w:szCs w:val="21"/>
                <w:lang w:eastAsia="en-AU"/>
              </w:rPr>
              <w:t xml:space="preserve">Net result for </w:t>
            </w:r>
            <w:r w:rsidRPr="00AF64A6">
              <w:rPr>
                <w:rFonts w:eastAsiaTheme="minorEastAsia" w:cs="Calibri"/>
                <w:color w:val="000000"/>
                <w:szCs w:val="20"/>
                <w:lang w:eastAsia="en-AU"/>
              </w:rPr>
              <w:t>the year</w:t>
            </w:r>
          </w:p>
        </w:tc>
        <w:tc>
          <w:tcPr>
            <w:tcW w:w="1695"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1 747</w:t>
            </w:r>
          </w:p>
        </w:tc>
        <w:tc>
          <w:tcPr>
            <w:tcW w:w="1565"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984"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2409"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1 747</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21"/>
                <w:lang w:eastAsia="en-AU"/>
              </w:rPr>
            </w:pPr>
            <w:r w:rsidRPr="00AF64A6">
              <w:rPr>
                <w:rFonts w:eastAsiaTheme="minorEastAsia" w:cs="Calibri"/>
                <w:color w:val="000000"/>
                <w:szCs w:val="21"/>
                <w:lang w:eastAsia="en-AU"/>
              </w:rPr>
              <w:t>Other comprehensive income for the year</w:t>
            </w:r>
          </w:p>
        </w:tc>
        <w:tc>
          <w:tcPr>
            <w:tcW w:w="1695"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4 367</w:t>
            </w:r>
          </w:p>
        </w:tc>
        <w:tc>
          <w:tcPr>
            <w:tcW w:w="1565"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984"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8 792</w:t>
            </w:r>
          </w:p>
        </w:tc>
        <w:tc>
          <w:tcPr>
            <w:tcW w:w="2409"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AF64A6">
              <w:rPr>
                <w:rFonts w:eastAsiaTheme="minorEastAsia" w:cs="Calibri"/>
                <w:color w:val="000000"/>
                <w:szCs w:val="21"/>
                <w:lang w:eastAsia="en-AU"/>
              </w:rPr>
              <w:t>906</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AF64A6">
              <w:rPr>
                <w:rFonts w:eastAsiaTheme="minorEastAsia" w:cs="Calibri"/>
                <w:color w:val="000000"/>
                <w:szCs w:val="21"/>
                <w:lang w:eastAsia="en-AU"/>
              </w:rPr>
              <w:t>158</w:t>
            </w:r>
          </w:p>
        </w:tc>
        <w:tc>
          <w:tcPr>
            <w:tcW w:w="1106"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14 223</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21"/>
                <w:lang w:eastAsia="en-AU"/>
              </w:rPr>
            </w:pPr>
            <w:r w:rsidRPr="00AF64A6">
              <w:rPr>
                <w:rFonts w:eastAsiaTheme="minorEastAsia" w:cs="Calibri"/>
                <w:color w:val="000000"/>
                <w:szCs w:val="21"/>
                <w:lang w:eastAsia="en-AU"/>
              </w:rPr>
              <w:t>Transfer to/(from) accumulated surplus</w:t>
            </w:r>
          </w:p>
        </w:tc>
        <w:tc>
          <w:tcPr>
            <w:tcW w:w="1695"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7 861</w:t>
            </w:r>
          </w:p>
        </w:tc>
        <w:tc>
          <w:tcPr>
            <w:tcW w:w="1565"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984"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(7 861)</w:t>
            </w:r>
          </w:p>
        </w:tc>
        <w:tc>
          <w:tcPr>
            <w:tcW w:w="2409"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21"/>
                <w:lang w:eastAsia="en-AU"/>
              </w:rPr>
            </w:pPr>
            <w:r w:rsidRPr="00AF64A6">
              <w:rPr>
                <w:rFonts w:eastAsiaTheme="minorEastAsia" w:cs="Calibri"/>
                <w:color w:val="000000"/>
                <w:szCs w:val="21"/>
                <w:lang w:eastAsia="en-AU"/>
              </w:rPr>
              <w:t>Transactions with owners in their capacity as owners</w:t>
            </w:r>
          </w:p>
        </w:tc>
        <w:tc>
          <w:tcPr>
            <w:tcW w:w="1695"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65"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(50)</w:t>
            </w:r>
          </w:p>
        </w:tc>
        <w:tc>
          <w:tcPr>
            <w:tcW w:w="1984"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2409"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(50)</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4394" w:type="dxa"/>
            <w:tcBorders>
              <w:top w:val="single" w:sz="6" w:space="0" w:color="000000"/>
              <w:left w:val="nil"/>
              <w:bottom w:val="single" w:sz="12" w:space="0" w:color="000000"/>
              <w:right w:val="nil"/>
            </w:tcBorders>
          </w:tcPr>
          <w:p w:rsidR="00BB6F1F" w:rsidRPr="00AF64A6" w:rsidRDefault="00BB6F1F" w:rsidP="00AC68FF">
            <w:pPr>
              <w:keepLines w:val="0"/>
              <w:autoSpaceDE w:val="0"/>
              <w:autoSpaceDN w:val="0"/>
              <w:adjustRightInd w:val="0"/>
              <w:rPr>
                <w:rFonts w:eastAsiaTheme="minorEastAsia" w:cs="Calibri"/>
                <w:b/>
                <w:bCs/>
                <w:color w:val="000000"/>
                <w:szCs w:val="21"/>
                <w:lang w:eastAsia="en-AU"/>
              </w:rPr>
            </w:pPr>
            <w:r w:rsidRPr="00AF64A6">
              <w:rPr>
                <w:rFonts w:eastAsiaTheme="minorEastAsia" w:cs="Calibri"/>
                <w:b/>
                <w:bCs/>
                <w:color w:val="000000"/>
                <w:szCs w:val="21"/>
                <w:lang w:eastAsia="en-AU"/>
              </w:rPr>
              <w:t>Total equity as at 30 June 2017</w:t>
            </w:r>
          </w:p>
        </w:tc>
        <w:tc>
          <w:tcPr>
            <w:tcW w:w="1695" w:type="dxa"/>
            <w:tcBorders>
              <w:top w:val="single" w:sz="6" w:space="0" w:color="000000"/>
              <w:left w:val="nil"/>
              <w:bottom w:val="single" w:sz="12"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75 239</w:t>
            </w:r>
          </w:p>
        </w:tc>
        <w:tc>
          <w:tcPr>
            <w:tcW w:w="1565" w:type="dxa"/>
            <w:tcBorders>
              <w:top w:val="single" w:sz="6" w:space="0" w:color="000000"/>
              <w:left w:val="nil"/>
              <w:bottom w:val="single" w:sz="12"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984" w:type="dxa"/>
            <w:tcBorders>
              <w:top w:val="single" w:sz="6" w:space="0" w:color="000000"/>
              <w:left w:val="nil"/>
              <w:bottom w:val="single" w:sz="12"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95 895</w:t>
            </w:r>
          </w:p>
        </w:tc>
        <w:tc>
          <w:tcPr>
            <w:tcW w:w="2409" w:type="dxa"/>
            <w:tcBorders>
              <w:top w:val="single" w:sz="6" w:space="0" w:color="000000"/>
              <w:left w:val="nil"/>
              <w:bottom w:val="single" w:sz="12"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3 725</w:t>
            </w:r>
          </w:p>
        </w:tc>
        <w:tc>
          <w:tcPr>
            <w:tcW w:w="1417" w:type="dxa"/>
            <w:tcBorders>
              <w:top w:val="single" w:sz="6" w:space="0" w:color="000000"/>
              <w:left w:val="nil"/>
              <w:bottom w:val="single" w:sz="12"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1 160</w:t>
            </w:r>
          </w:p>
        </w:tc>
        <w:tc>
          <w:tcPr>
            <w:tcW w:w="1106" w:type="dxa"/>
            <w:tcBorders>
              <w:top w:val="single" w:sz="6" w:space="0" w:color="000000"/>
              <w:left w:val="nil"/>
              <w:bottom w:val="single" w:sz="12"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176 019</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21"/>
                <w:lang w:eastAsia="en-AU"/>
              </w:rPr>
            </w:pPr>
            <w:r w:rsidRPr="00AF64A6">
              <w:rPr>
                <w:rFonts w:eastAsiaTheme="minorEastAsia" w:cs="Calibri"/>
                <w:b/>
                <w:bCs/>
                <w:color w:val="000000"/>
                <w:szCs w:val="21"/>
                <w:lang w:eastAsia="en-AU"/>
              </w:rPr>
              <w:t>2016</w:t>
            </w:r>
          </w:p>
        </w:tc>
        <w:tc>
          <w:tcPr>
            <w:tcW w:w="1695"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AF64A6">
              <w:rPr>
                <w:rFonts w:eastAsiaTheme="minorEastAsia" w:cs="Calibri"/>
                <w:b/>
                <w:bCs/>
                <w:color w:val="000000"/>
                <w:szCs w:val="21"/>
                <w:lang w:eastAsia="en-AU"/>
              </w:rPr>
              <w:t xml:space="preserve"> </w:t>
            </w:r>
          </w:p>
        </w:tc>
        <w:tc>
          <w:tcPr>
            <w:tcW w:w="1565"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AF64A6">
              <w:rPr>
                <w:rFonts w:eastAsiaTheme="minorEastAsia" w:cs="Calibri"/>
                <w:b/>
                <w:bCs/>
                <w:color w:val="000000"/>
                <w:szCs w:val="21"/>
                <w:lang w:eastAsia="en-AU"/>
              </w:rPr>
              <w:t xml:space="preserve"> </w:t>
            </w:r>
          </w:p>
        </w:tc>
        <w:tc>
          <w:tcPr>
            <w:tcW w:w="1984"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2409"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 xml:space="preserve"> </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AF64A6">
              <w:rPr>
                <w:rFonts w:eastAsiaTheme="minorEastAsia" w:cs="Calibri"/>
                <w:b/>
                <w:bCs/>
                <w:color w:val="000000"/>
                <w:szCs w:val="21"/>
                <w:lang w:eastAsia="en-AU"/>
              </w:rPr>
              <w:t xml:space="preserve"> </w:t>
            </w:r>
          </w:p>
        </w:tc>
        <w:tc>
          <w:tcPr>
            <w:tcW w:w="1106"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AF64A6">
              <w:rPr>
                <w:rFonts w:eastAsiaTheme="minorEastAsia" w:cs="Calibri"/>
                <w:b/>
                <w:bCs/>
                <w:color w:val="000000"/>
                <w:szCs w:val="21"/>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21"/>
                <w:vertAlign w:val="superscript"/>
                <w:lang w:eastAsia="en-AU"/>
              </w:rPr>
            </w:pPr>
            <w:r w:rsidRPr="00AF64A6">
              <w:rPr>
                <w:rFonts w:eastAsiaTheme="minorEastAsia" w:cs="Calibri"/>
                <w:color w:val="000000"/>
                <w:szCs w:val="21"/>
                <w:lang w:eastAsia="en-AU"/>
              </w:rPr>
              <w:t xml:space="preserve">Balance at 1 July 2015 </w:t>
            </w:r>
            <w:r w:rsidRPr="00AF64A6">
              <w:rPr>
                <w:rFonts w:eastAsiaTheme="minorEastAsia" w:cs="Calibri"/>
                <w:color w:val="000000"/>
                <w:szCs w:val="21"/>
                <w:vertAlign w:val="superscript"/>
                <w:lang w:eastAsia="en-AU"/>
              </w:rPr>
              <w:t>(a)</w:t>
            </w:r>
          </w:p>
        </w:tc>
        <w:tc>
          <w:tcPr>
            <w:tcW w:w="1695"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62 998</w:t>
            </w:r>
          </w:p>
        </w:tc>
        <w:tc>
          <w:tcPr>
            <w:tcW w:w="1565"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AF64A6">
              <w:rPr>
                <w:rFonts w:eastAsiaTheme="minorEastAsia" w:cs="Calibri"/>
                <w:color w:val="000000"/>
                <w:szCs w:val="21"/>
                <w:lang w:eastAsia="en-AU"/>
              </w:rPr>
              <w:t>50</w:t>
            </w:r>
          </w:p>
        </w:tc>
        <w:tc>
          <w:tcPr>
            <w:tcW w:w="1984"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77 427</w:t>
            </w:r>
          </w:p>
        </w:tc>
        <w:tc>
          <w:tcPr>
            <w:tcW w:w="2409"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3 240</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1 166</w:t>
            </w:r>
          </w:p>
        </w:tc>
        <w:tc>
          <w:tcPr>
            <w:tcW w:w="1106"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144 882</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20"/>
                <w:lang w:eastAsia="en-AU"/>
              </w:rPr>
            </w:pPr>
            <w:r w:rsidRPr="00AF64A6">
              <w:rPr>
                <w:rFonts w:eastAsiaTheme="minorEastAsia" w:cs="Calibri"/>
                <w:color w:val="000000"/>
                <w:szCs w:val="21"/>
                <w:lang w:eastAsia="en-AU"/>
              </w:rPr>
              <w:t xml:space="preserve">Net result for </w:t>
            </w:r>
            <w:r w:rsidRPr="00AF64A6">
              <w:rPr>
                <w:rFonts w:eastAsiaTheme="minorEastAsia" w:cs="Calibri"/>
                <w:color w:val="000000"/>
                <w:szCs w:val="20"/>
                <w:lang w:eastAsia="en-AU"/>
              </w:rPr>
              <w:t>the year</w:t>
            </w:r>
          </w:p>
        </w:tc>
        <w:tc>
          <w:tcPr>
            <w:tcW w:w="1695"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1 673</w:t>
            </w:r>
          </w:p>
        </w:tc>
        <w:tc>
          <w:tcPr>
            <w:tcW w:w="1565"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984"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2409"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1 673</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21"/>
                <w:lang w:eastAsia="en-AU"/>
              </w:rPr>
            </w:pPr>
            <w:r w:rsidRPr="00AF64A6">
              <w:rPr>
                <w:rFonts w:eastAsiaTheme="minorEastAsia" w:cs="Calibri"/>
                <w:color w:val="000000"/>
                <w:szCs w:val="21"/>
                <w:lang w:eastAsia="en-AU"/>
              </w:rPr>
              <w:t>Other comprehensive income for the year</w:t>
            </w:r>
          </w:p>
        </w:tc>
        <w:tc>
          <w:tcPr>
            <w:tcW w:w="1695"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(3 385)</w:t>
            </w:r>
          </w:p>
        </w:tc>
        <w:tc>
          <w:tcPr>
            <w:tcW w:w="1565"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984"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17 514</w:t>
            </w:r>
          </w:p>
        </w:tc>
        <w:tc>
          <w:tcPr>
            <w:tcW w:w="2409"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(421)</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(163)</w:t>
            </w:r>
          </w:p>
        </w:tc>
        <w:tc>
          <w:tcPr>
            <w:tcW w:w="1106"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13 544</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21"/>
                <w:lang w:eastAsia="en-AU"/>
              </w:rPr>
            </w:pPr>
            <w:r w:rsidRPr="00AF64A6">
              <w:rPr>
                <w:rFonts w:eastAsiaTheme="minorEastAsia" w:cs="Calibri"/>
                <w:color w:val="000000"/>
                <w:szCs w:val="21"/>
                <w:lang w:eastAsia="en-AU"/>
              </w:rPr>
              <w:t>Transfer to/(from) accumulated surplus</w:t>
            </w:r>
          </w:p>
        </w:tc>
        <w:tc>
          <w:tcPr>
            <w:tcW w:w="1695"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(22)</w:t>
            </w:r>
          </w:p>
        </w:tc>
        <w:tc>
          <w:tcPr>
            <w:tcW w:w="1565"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984"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AF64A6">
              <w:rPr>
                <w:rFonts w:eastAsiaTheme="minorEastAsia" w:cs="Calibri"/>
                <w:color w:val="000000"/>
                <w:szCs w:val="21"/>
                <w:lang w:eastAsia="en-AU"/>
              </w:rPr>
              <w:t>22</w:t>
            </w:r>
          </w:p>
        </w:tc>
        <w:tc>
          <w:tcPr>
            <w:tcW w:w="2409"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r>
      <w:tr w:rsidR="00BB6F1F" w:rsidRPr="00AF64A6"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Borders>
              <w:top w:val="single" w:sz="6" w:space="0" w:color="000000"/>
              <w:bottom w:val="single" w:sz="12" w:space="0" w:color="000000"/>
            </w:tcBorders>
          </w:tcPr>
          <w:p w:rsidR="00BB6F1F" w:rsidRPr="00AF64A6" w:rsidRDefault="00BB6F1F" w:rsidP="00AC68FF">
            <w:pPr>
              <w:keepLines w:val="0"/>
              <w:autoSpaceDE w:val="0"/>
              <w:autoSpaceDN w:val="0"/>
              <w:adjustRightInd w:val="0"/>
              <w:rPr>
                <w:rFonts w:eastAsiaTheme="minorEastAsia" w:cs="Calibri"/>
                <w:bCs/>
                <w:color w:val="000000"/>
                <w:szCs w:val="21"/>
                <w:vertAlign w:val="superscript"/>
                <w:lang w:eastAsia="en-AU"/>
              </w:rPr>
            </w:pPr>
            <w:r w:rsidRPr="00AF64A6">
              <w:rPr>
                <w:rFonts w:eastAsiaTheme="minorEastAsia" w:cs="Calibri"/>
                <w:bCs/>
                <w:color w:val="000000"/>
                <w:szCs w:val="21"/>
                <w:lang w:eastAsia="en-AU"/>
              </w:rPr>
              <w:t xml:space="preserve">Total equity as at 30 June 2016 </w:t>
            </w:r>
            <w:r w:rsidRPr="00AF64A6">
              <w:rPr>
                <w:rFonts w:eastAsiaTheme="minorEastAsia" w:cs="Calibri"/>
                <w:bCs/>
                <w:color w:val="000000"/>
                <w:szCs w:val="21"/>
                <w:vertAlign w:val="superscript"/>
                <w:lang w:eastAsia="en-AU"/>
              </w:rPr>
              <w:t>(a)</w:t>
            </w:r>
          </w:p>
        </w:tc>
        <w:tc>
          <w:tcPr>
            <w:tcW w:w="1695" w:type="dxa"/>
            <w:tcBorders>
              <w:top w:val="single" w:sz="6" w:space="0" w:color="000000"/>
              <w:bottom w:val="single" w:sz="12" w:space="0" w:color="000000"/>
            </w:tcBorders>
          </w:tcPr>
          <w:p w:rsidR="00BB6F1F" w:rsidRPr="00AF64A6"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61 264</w:t>
            </w:r>
          </w:p>
        </w:tc>
        <w:tc>
          <w:tcPr>
            <w:tcW w:w="1565" w:type="dxa"/>
            <w:tcBorders>
              <w:top w:val="single" w:sz="6" w:space="0" w:color="000000"/>
              <w:bottom w:val="single" w:sz="12" w:space="0" w:color="000000"/>
            </w:tcBorders>
          </w:tcPr>
          <w:p w:rsidR="00BB6F1F" w:rsidRPr="00AF64A6"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sidRPr="00AF64A6">
              <w:rPr>
                <w:rFonts w:eastAsiaTheme="minorEastAsia" w:cs="Calibri"/>
                <w:bCs/>
                <w:color w:val="000000"/>
                <w:szCs w:val="21"/>
                <w:lang w:eastAsia="en-AU"/>
              </w:rPr>
              <w:t>50</w:t>
            </w:r>
          </w:p>
        </w:tc>
        <w:tc>
          <w:tcPr>
            <w:tcW w:w="1984" w:type="dxa"/>
            <w:tcBorders>
              <w:top w:val="single" w:sz="6" w:space="0" w:color="000000"/>
              <w:bottom w:val="single" w:sz="12" w:space="0" w:color="000000"/>
            </w:tcBorders>
          </w:tcPr>
          <w:p w:rsidR="00BB6F1F" w:rsidRPr="00AF64A6"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94 963</w:t>
            </w:r>
          </w:p>
        </w:tc>
        <w:tc>
          <w:tcPr>
            <w:tcW w:w="2409" w:type="dxa"/>
            <w:tcBorders>
              <w:top w:val="single" w:sz="6" w:space="0" w:color="000000"/>
              <w:bottom w:val="single" w:sz="12" w:space="0" w:color="000000"/>
            </w:tcBorders>
          </w:tcPr>
          <w:p w:rsidR="00BB6F1F" w:rsidRPr="00AF64A6"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2 819</w:t>
            </w:r>
          </w:p>
        </w:tc>
        <w:tc>
          <w:tcPr>
            <w:tcW w:w="1417" w:type="dxa"/>
            <w:tcBorders>
              <w:top w:val="single" w:sz="6" w:space="0" w:color="000000"/>
              <w:bottom w:val="single" w:sz="12" w:space="0" w:color="000000"/>
            </w:tcBorders>
          </w:tcPr>
          <w:p w:rsidR="00BB6F1F" w:rsidRPr="00AF64A6"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1 002</w:t>
            </w:r>
          </w:p>
        </w:tc>
        <w:tc>
          <w:tcPr>
            <w:tcW w:w="1106" w:type="dxa"/>
            <w:tcBorders>
              <w:top w:val="single" w:sz="6" w:space="0" w:color="000000"/>
              <w:bottom w:val="single" w:sz="12" w:space="0" w:color="000000"/>
            </w:tcBorders>
          </w:tcPr>
          <w:p w:rsidR="00BB6F1F" w:rsidRPr="00AF64A6"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160 099</w:t>
            </w:r>
          </w:p>
        </w:tc>
      </w:tr>
    </w:tbl>
    <w:p w:rsidR="00BB6F1F" w:rsidRDefault="00BB6F1F" w:rsidP="00AC68FF">
      <w:pPr>
        <w:pStyle w:val="Source"/>
      </w:pPr>
      <w:r>
        <w:t>Source: Department of Treasury and Finance</w:t>
      </w:r>
    </w:p>
    <w:p w:rsidR="00BB6F1F" w:rsidRDefault="00BB6F1F" w:rsidP="00AC68FF">
      <w:pPr>
        <w:pStyle w:val="Note"/>
      </w:pPr>
      <w:r>
        <w:t>Note:</w:t>
      </w:r>
    </w:p>
    <w:p w:rsidR="00BB6F1F" w:rsidRDefault="00BB6F1F" w:rsidP="00AC68FF">
      <w:pPr>
        <w:pStyle w:val="Note"/>
      </w:pPr>
      <w:r>
        <w:t>(a)</w:t>
      </w:r>
      <w:r>
        <w:tab/>
        <w:t xml:space="preserve">The 1 July 2015 and 30 June 2016 comparative figures have been restated to reflect an adjustment to the </w:t>
      </w:r>
      <w:r w:rsidRPr="00181405">
        <w:t>Department of Environment, Land, Water and Planning's intangible produced assets and</w:t>
      </w:r>
      <w:r>
        <w:t xml:space="preserve"> opening accumulated surplus/(def</w:t>
      </w:r>
      <w:r w:rsidR="00BC5BCC">
        <w:t>icit) balances due to the first</w:t>
      </w:r>
      <w:r w:rsidR="00BC5BCC">
        <w:noBreakHyphen/>
      </w:r>
      <w:r>
        <w:t>time recognition of the Renewable Energy Certificates.</w:t>
      </w:r>
    </w:p>
    <w:p w:rsidR="00BB6F1F" w:rsidRDefault="00BB6F1F" w:rsidP="00BC5BCC"/>
    <w:p w:rsidR="00BB6F1F" w:rsidRPr="00AF64A6" w:rsidRDefault="00BB6F1F" w:rsidP="00AC68FF">
      <w:pPr>
        <w:pStyle w:val="TableHeading"/>
        <w:rPr>
          <w:bCs/>
          <w:lang w:val="en-US"/>
        </w:rPr>
      </w:pPr>
      <w:r>
        <w:t>Table 5.5:</w:t>
      </w:r>
      <w:r>
        <w:tab/>
        <w:t xml:space="preserve">Derivation of non-financial public sector GFS cash surplus/(deficit) </w:t>
      </w:r>
      <w:r>
        <w:tab/>
        <w:t>($ million)</w:t>
      </w:r>
    </w:p>
    <w:tbl>
      <w:tblPr>
        <w:tblStyle w:val="DTFTable"/>
        <w:tblW w:w="9639" w:type="dxa"/>
        <w:tblInd w:w="45" w:type="dxa"/>
        <w:tblLayout w:type="fixed"/>
        <w:tblCellMar>
          <w:left w:w="45" w:type="dxa"/>
          <w:right w:w="45" w:type="dxa"/>
        </w:tblCellMar>
        <w:tblLook w:val="06E0" w:firstRow="1" w:lastRow="1" w:firstColumn="1" w:lastColumn="0" w:noHBand="1" w:noVBand="1"/>
      </w:tblPr>
      <w:tblGrid>
        <w:gridCol w:w="6521"/>
        <w:gridCol w:w="1559"/>
        <w:gridCol w:w="1559"/>
      </w:tblGrid>
      <w:tr w:rsidR="00BB6F1F" w:rsidRPr="00AF64A6" w:rsidTr="00BC5B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21" w:type="dxa"/>
            <w:tcBorders>
              <w:top w:val="nil"/>
              <w:left w:val="nil"/>
              <w:bottom w:val="nil"/>
              <w:right w:val="nil"/>
            </w:tcBorders>
            <w:shd w:val="solid" w:color="000000" w:fill="auto"/>
          </w:tcPr>
          <w:p w:rsidR="00BB6F1F" w:rsidRPr="00AF64A6" w:rsidRDefault="00BB6F1F" w:rsidP="00AC68FF">
            <w:pPr>
              <w:autoSpaceDE w:val="0"/>
              <w:autoSpaceDN w:val="0"/>
              <w:adjustRightInd w:val="0"/>
              <w:rPr>
                <w:rFonts w:eastAsiaTheme="minorEastAsia" w:cs="Calibri"/>
                <w:iCs/>
                <w:color w:val="FFFFFF"/>
                <w:lang w:eastAsia="en-AU"/>
              </w:rPr>
            </w:pPr>
            <w:r w:rsidRPr="00AF64A6">
              <w:rPr>
                <w:rFonts w:eastAsiaTheme="minorEastAsia" w:cs="Calibri"/>
                <w:iCs/>
                <w:color w:val="FFFFFF"/>
                <w:lang w:eastAsia="en-AU"/>
              </w:rPr>
              <w:t xml:space="preserve"> </w:t>
            </w:r>
          </w:p>
        </w:tc>
        <w:tc>
          <w:tcPr>
            <w:tcW w:w="1559" w:type="dxa"/>
            <w:tcBorders>
              <w:top w:val="nil"/>
              <w:left w:val="nil"/>
              <w:bottom w:val="nil"/>
              <w:right w:val="nil"/>
            </w:tcBorders>
            <w:shd w:val="solid" w:color="000000" w:fill="auto"/>
          </w:tcPr>
          <w:p w:rsidR="00BB6F1F" w:rsidRPr="00AF64A6"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AF64A6">
              <w:rPr>
                <w:rFonts w:eastAsiaTheme="minorEastAsia" w:cs="Calibri"/>
                <w:iCs/>
                <w:color w:val="FFFFFF"/>
                <w:lang w:eastAsia="en-AU"/>
              </w:rPr>
              <w:t>2017</w:t>
            </w:r>
          </w:p>
        </w:tc>
        <w:tc>
          <w:tcPr>
            <w:tcW w:w="1559" w:type="dxa"/>
            <w:tcBorders>
              <w:top w:val="nil"/>
              <w:left w:val="nil"/>
              <w:bottom w:val="nil"/>
              <w:right w:val="nil"/>
            </w:tcBorders>
            <w:shd w:val="solid" w:color="000000" w:fill="auto"/>
          </w:tcPr>
          <w:p w:rsidR="00BB6F1F" w:rsidRPr="00AF64A6"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AF64A6">
              <w:rPr>
                <w:rFonts w:eastAsiaTheme="minorEastAsia" w:cs="Calibri"/>
                <w:iCs/>
                <w:color w:val="FFFFFF"/>
                <w:lang w:eastAsia="en-AU"/>
              </w:rPr>
              <w:t>2016</w:t>
            </w:r>
          </w:p>
        </w:tc>
      </w:tr>
      <w:tr w:rsidR="00BB6F1F" w:rsidRPr="00AF64A6" w:rsidTr="00BC5BCC">
        <w:tc>
          <w:tcPr>
            <w:cnfStyle w:val="001000000000" w:firstRow="0" w:lastRow="0" w:firstColumn="1" w:lastColumn="0" w:oddVBand="0" w:evenVBand="0" w:oddHBand="0" w:evenHBand="0" w:firstRowFirstColumn="0" w:firstRowLastColumn="0" w:lastRowFirstColumn="0" w:lastRowLastColumn="0"/>
            <w:tcW w:w="6521"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lang w:eastAsia="en-AU"/>
              </w:rPr>
            </w:pPr>
            <w:r w:rsidRPr="00AF64A6">
              <w:rPr>
                <w:rFonts w:eastAsiaTheme="minorEastAsia" w:cs="Calibri"/>
                <w:b/>
                <w:bCs/>
                <w:color w:val="000000"/>
                <w:lang w:eastAsia="en-AU"/>
              </w:rPr>
              <w:t>Cash surplus/(deficit)</w:t>
            </w:r>
          </w:p>
        </w:tc>
        <w:tc>
          <w:tcPr>
            <w:tcW w:w="1559"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AF64A6">
              <w:rPr>
                <w:rFonts w:eastAsiaTheme="minorEastAsia" w:cs="Calibri"/>
                <w:b/>
                <w:bCs/>
                <w:color w:val="000000"/>
                <w:lang w:eastAsia="en-AU"/>
              </w:rPr>
              <w:t>7 168</w:t>
            </w:r>
          </w:p>
        </w:tc>
        <w:tc>
          <w:tcPr>
            <w:tcW w:w="1559"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702</w:t>
            </w:r>
          </w:p>
        </w:tc>
      </w:tr>
      <w:tr w:rsidR="00BB6F1F" w:rsidRPr="00AF64A6" w:rsidTr="00BC5BCC">
        <w:tc>
          <w:tcPr>
            <w:cnfStyle w:val="001000000000" w:firstRow="0" w:lastRow="0" w:firstColumn="1" w:lastColumn="0" w:oddVBand="0" w:evenVBand="0" w:oddHBand="0" w:evenHBand="0" w:firstRowFirstColumn="0" w:firstRowLastColumn="0" w:lastRowFirstColumn="0" w:lastRowLastColumn="0"/>
            <w:tcW w:w="6521"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lang w:eastAsia="en-AU"/>
              </w:rPr>
            </w:pPr>
            <w:r w:rsidRPr="00AF64A6">
              <w:rPr>
                <w:rFonts w:eastAsiaTheme="minorEastAsia" w:cs="Calibri"/>
                <w:color w:val="000000"/>
                <w:lang w:eastAsia="en-AU"/>
              </w:rPr>
              <w:t>Acquisitions under finance leases and similar arrangements</w:t>
            </w:r>
          </w:p>
        </w:tc>
        <w:tc>
          <w:tcPr>
            <w:tcW w:w="1559" w:type="dxa"/>
            <w:tcBorders>
              <w:top w:val="nil"/>
              <w:left w:val="nil"/>
              <w:bottom w:val="nil"/>
              <w:right w:val="nil"/>
            </w:tcBorders>
            <w:shd w:val="solid" w:color="FFFFFF" w:fill="auto"/>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(544)</w:t>
            </w:r>
          </w:p>
        </w:tc>
        <w:tc>
          <w:tcPr>
            <w:tcW w:w="1559" w:type="dxa"/>
            <w:tcBorders>
              <w:top w:val="nil"/>
              <w:left w:val="nil"/>
              <w:bottom w:val="nil"/>
              <w:right w:val="nil"/>
            </w:tcBorders>
            <w:shd w:val="solid" w:color="FFFFFF" w:fill="auto"/>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AF64A6">
              <w:rPr>
                <w:rFonts w:eastAsiaTheme="minorEastAsia" w:cs="Calibri"/>
                <w:color w:val="000000"/>
                <w:lang w:eastAsia="en-AU"/>
              </w:rPr>
              <w:t>(1 050)</w:t>
            </w:r>
          </w:p>
        </w:tc>
      </w:tr>
      <w:tr w:rsidR="00BB6F1F" w:rsidRPr="00AF64A6" w:rsidTr="00BC5BCC">
        <w:tc>
          <w:tcPr>
            <w:cnfStyle w:val="001000000000" w:firstRow="0" w:lastRow="0" w:firstColumn="1" w:lastColumn="0" w:oddVBand="0" w:evenVBand="0" w:oddHBand="0" w:evenHBand="0" w:firstRowFirstColumn="0" w:firstRowLastColumn="0" w:lastRowFirstColumn="0" w:lastRowLastColumn="0"/>
            <w:tcW w:w="6521" w:type="dxa"/>
            <w:tcBorders>
              <w:top w:val="nil"/>
              <w:left w:val="nil"/>
              <w:bottom w:val="single" w:sz="6" w:space="0" w:color="auto"/>
              <w:right w:val="nil"/>
            </w:tcBorders>
          </w:tcPr>
          <w:p w:rsidR="00BB6F1F" w:rsidRPr="00AF64A6" w:rsidRDefault="00BB6F1F" w:rsidP="00AC68FF">
            <w:pPr>
              <w:keepLines w:val="0"/>
              <w:autoSpaceDE w:val="0"/>
              <w:autoSpaceDN w:val="0"/>
              <w:adjustRightInd w:val="0"/>
              <w:rPr>
                <w:rFonts w:eastAsiaTheme="minorEastAsia" w:cs="Calibri"/>
                <w:color w:val="000000"/>
                <w:vertAlign w:val="superscript"/>
                <w:lang w:eastAsia="en-AU"/>
              </w:rPr>
            </w:pPr>
            <w:r w:rsidRPr="00AF64A6">
              <w:rPr>
                <w:rFonts w:eastAsiaTheme="minorEastAsia" w:cs="Calibri"/>
                <w:color w:val="000000"/>
                <w:lang w:eastAsia="en-AU"/>
              </w:rPr>
              <w:t xml:space="preserve">Port of Melbourne lease transaction </w:t>
            </w:r>
            <w:r w:rsidRPr="00AF64A6">
              <w:rPr>
                <w:rFonts w:eastAsiaTheme="minorEastAsia" w:cs="Calibri"/>
                <w:color w:val="000000"/>
                <w:vertAlign w:val="superscript"/>
                <w:lang w:eastAsia="en-AU"/>
              </w:rPr>
              <w:t>(a)</w:t>
            </w:r>
          </w:p>
        </w:tc>
        <w:tc>
          <w:tcPr>
            <w:tcW w:w="1559" w:type="dxa"/>
            <w:tcBorders>
              <w:top w:val="nil"/>
              <w:left w:val="nil"/>
              <w:bottom w:val="nil"/>
              <w:right w:val="nil"/>
            </w:tcBorders>
            <w:shd w:val="solid" w:color="FFFFFF" w:fill="auto"/>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AF64A6">
              <w:rPr>
                <w:rFonts w:eastAsiaTheme="minorEastAsia" w:cs="Calibri"/>
                <w:color w:val="000000"/>
                <w:lang w:eastAsia="en-AU"/>
              </w:rPr>
              <w:t>(8 946)</w:t>
            </w:r>
          </w:p>
        </w:tc>
        <w:tc>
          <w:tcPr>
            <w:tcW w:w="1559" w:type="dxa"/>
            <w:tcBorders>
              <w:top w:val="nil"/>
              <w:left w:val="nil"/>
              <w:bottom w:val="nil"/>
              <w:right w:val="nil"/>
            </w:tcBorders>
            <w:shd w:val="solid" w:color="FFFFFF" w:fill="auto"/>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AF64A6">
              <w:rPr>
                <w:rFonts w:eastAsiaTheme="minorEastAsia" w:cs="Calibri"/>
                <w:color w:val="000000"/>
                <w:lang w:eastAsia="en-AU"/>
              </w:rPr>
              <w:t>..</w:t>
            </w:r>
          </w:p>
        </w:tc>
      </w:tr>
      <w:tr w:rsidR="00BB6F1F" w:rsidRPr="00AF64A6" w:rsidTr="00BC5BCC">
        <w:tc>
          <w:tcPr>
            <w:cnfStyle w:val="001000000000" w:firstRow="0" w:lastRow="0" w:firstColumn="1" w:lastColumn="0" w:oddVBand="0" w:evenVBand="0" w:oddHBand="0" w:evenHBand="0" w:firstRowFirstColumn="0" w:firstRowLastColumn="0" w:lastRowFirstColumn="0" w:lastRowLastColumn="0"/>
            <w:tcW w:w="6521" w:type="dxa"/>
            <w:tcBorders>
              <w:top w:val="single" w:sz="6" w:space="0" w:color="auto"/>
              <w:left w:val="nil"/>
              <w:bottom w:val="single" w:sz="6" w:space="0" w:color="auto"/>
              <w:right w:val="nil"/>
            </w:tcBorders>
          </w:tcPr>
          <w:p w:rsidR="00BB6F1F" w:rsidRPr="00AF64A6" w:rsidRDefault="00BB6F1F" w:rsidP="00AC68FF">
            <w:pPr>
              <w:keepLines w:val="0"/>
              <w:autoSpaceDE w:val="0"/>
              <w:autoSpaceDN w:val="0"/>
              <w:adjustRightInd w:val="0"/>
              <w:rPr>
                <w:rFonts w:eastAsiaTheme="minorEastAsia" w:cs="Calibri"/>
                <w:i/>
                <w:iCs/>
                <w:color w:val="000000"/>
                <w:lang w:eastAsia="en-AU"/>
              </w:rPr>
            </w:pPr>
            <w:r w:rsidRPr="00AF64A6">
              <w:rPr>
                <w:rFonts w:eastAsiaTheme="minorEastAsia" w:cs="Calibri"/>
                <w:i/>
                <w:iCs/>
                <w:color w:val="000000"/>
                <w:lang w:eastAsia="en-AU"/>
              </w:rPr>
              <w:t>Total convergence difference:</w:t>
            </w:r>
          </w:p>
        </w:tc>
        <w:tc>
          <w:tcPr>
            <w:tcW w:w="1559" w:type="dxa"/>
            <w:tcBorders>
              <w:top w:val="single" w:sz="6" w:space="0" w:color="auto"/>
              <w:left w:val="nil"/>
              <w:bottom w:val="single" w:sz="6"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AF64A6">
              <w:rPr>
                <w:rFonts w:eastAsiaTheme="minorEastAsia" w:cs="Calibri"/>
                <w:i/>
                <w:iCs/>
                <w:color w:val="000000"/>
                <w:lang w:eastAsia="en-AU"/>
              </w:rPr>
              <w:t>(9 490)</w:t>
            </w:r>
          </w:p>
        </w:tc>
        <w:tc>
          <w:tcPr>
            <w:tcW w:w="1559" w:type="dxa"/>
            <w:tcBorders>
              <w:top w:val="single" w:sz="6" w:space="0" w:color="auto"/>
              <w:left w:val="nil"/>
              <w:bottom w:val="single" w:sz="6" w:space="0" w:color="000000"/>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AF64A6">
              <w:rPr>
                <w:rFonts w:eastAsiaTheme="minorEastAsia" w:cs="Calibri"/>
                <w:i/>
                <w:iCs/>
                <w:color w:val="000000"/>
                <w:lang w:eastAsia="en-AU"/>
              </w:rPr>
              <w:t>(1 050)</w:t>
            </w:r>
          </w:p>
        </w:tc>
      </w:tr>
      <w:tr w:rsidR="00BB6F1F" w:rsidRPr="00AF64A6" w:rsidTr="00BC5BC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Borders>
              <w:top w:val="single" w:sz="6" w:space="0" w:color="000000"/>
              <w:bottom w:val="single" w:sz="12" w:space="0" w:color="000000"/>
            </w:tcBorders>
          </w:tcPr>
          <w:p w:rsidR="00BB6F1F" w:rsidRPr="00AF64A6" w:rsidRDefault="00BB6F1F" w:rsidP="00AC68FF">
            <w:pPr>
              <w:keepLines w:val="0"/>
              <w:autoSpaceDE w:val="0"/>
              <w:autoSpaceDN w:val="0"/>
              <w:adjustRightInd w:val="0"/>
              <w:rPr>
                <w:rFonts w:eastAsiaTheme="minorEastAsia" w:cs="Calibri"/>
                <w:bCs/>
                <w:color w:val="000000"/>
                <w:vertAlign w:val="superscript"/>
                <w:lang w:eastAsia="en-AU"/>
              </w:rPr>
            </w:pPr>
            <w:r w:rsidRPr="00AF64A6">
              <w:rPr>
                <w:rFonts w:eastAsiaTheme="minorEastAsia" w:cs="Calibri"/>
                <w:bCs/>
                <w:color w:val="000000"/>
                <w:lang w:eastAsia="en-AU"/>
              </w:rPr>
              <w:t xml:space="preserve">GFS cash surplus/(deficit) </w:t>
            </w:r>
            <w:r w:rsidRPr="00AF64A6">
              <w:rPr>
                <w:rFonts w:eastAsiaTheme="minorEastAsia" w:cs="Calibri"/>
                <w:bCs/>
                <w:color w:val="000000"/>
                <w:vertAlign w:val="superscript"/>
                <w:lang w:eastAsia="en-AU"/>
              </w:rPr>
              <w:t>(b)</w:t>
            </w:r>
          </w:p>
        </w:tc>
        <w:tc>
          <w:tcPr>
            <w:tcW w:w="1559" w:type="dxa"/>
            <w:tcBorders>
              <w:top w:val="single" w:sz="6" w:space="0" w:color="000000"/>
              <w:bottom w:val="single" w:sz="12" w:space="0" w:color="000000"/>
            </w:tcBorders>
          </w:tcPr>
          <w:p w:rsidR="00BB6F1F" w:rsidRPr="00AF64A6"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(2 322)</w:t>
            </w:r>
          </w:p>
        </w:tc>
        <w:tc>
          <w:tcPr>
            <w:tcW w:w="1559" w:type="dxa"/>
            <w:tcBorders>
              <w:top w:val="single" w:sz="6" w:space="0" w:color="000000"/>
              <w:bottom w:val="single" w:sz="12" w:space="0" w:color="000000"/>
            </w:tcBorders>
          </w:tcPr>
          <w:p w:rsidR="00BB6F1F" w:rsidRPr="00AF64A6"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(348)</w:t>
            </w:r>
          </w:p>
        </w:tc>
      </w:tr>
    </w:tbl>
    <w:p w:rsidR="00BB6F1F" w:rsidRDefault="00BB6F1F" w:rsidP="00AC68FF">
      <w:pPr>
        <w:pStyle w:val="Source"/>
      </w:pPr>
      <w:r>
        <w:t>Source: Department of Treasury and Finance</w:t>
      </w:r>
    </w:p>
    <w:p w:rsidR="00BB6F1F" w:rsidRDefault="00BB6F1F" w:rsidP="00AC68FF">
      <w:pPr>
        <w:pStyle w:val="Note"/>
      </w:pPr>
      <w:r>
        <w:t>Notes:</w:t>
      </w:r>
    </w:p>
    <w:p w:rsidR="00BB6F1F" w:rsidRDefault="00BB6F1F" w:rsidP="00AC68FF">
      <w:pPr>
        <w:pStyle w:val="Note"/>
      </w:pPr>
      <w:r>
        <w:t>(a)</w:t>
      </w:r>
      <w:r>
        <w:tab/>
        <w:t xml:space="preserve">The convergence difference for the Port of Melbourne lease transaction arises because GFS recognises the transaction as a sale of equity from the general government sector, </w:t>
      </w:r>
      <w:r w:rsidR="00BC5BCC">
        <w:br/>
      </w:r>
      <w:r>
        <w:t xml:space="preserve">whereas under Australian Accounting Standards the Port of Melbourne lease transaction has been treated as an operating lease with the leased assets remaining within the </w:t>
      </w:r>
      <w:r w:rsidR="00BC5BCC">
        <w:br/>
      </w:r>
      <w:r>
        <w:t>public non-financial corporations sector.</w:t>
      </w:r>
    </w:p>
    <w:p w:rsidR="00BB6F1F" w:rsidRDefault="00BB6F1F" w:rsidP="00AC68FF">
      <w:pPr>
        <w:pStyle w:val="Note"/>
      </w:pPr>
      <w:r>
        <w:t>(b)</w:t>
      </w:r>
      <w:r>
        <w:tab/>
        <w:t>Determined in accordance with the ABS GFS manual.</w:t>
      </w:r>
    </w:p>
    <w:p w:rsidR="00BB6F1F" w:rsidRDefault="00BB6F1F" w:rsidP="00AC68FF">
      <w:pPr>
        <w:pStyle w:val="Note"/>
      </w:pPr>
    </w:p>
    <w:p w:rsidR="00BB6F1F" w:rsidRDefault="00BB6F1F" w:rsidP="00AC68FF">
      <w:pPr>
        <w:sectPr w:rsidR="00BB6F1F" w:rsidSect="00AC68FF">
          <w:headerReference w:type="even" r:id="rId170"/>
          <w:headerReference w:type="default" r:id="rId171"/>
          <w:footerReference w:type="even" r:id="rId172"/>
          <w:footerReference w:type="default" r:id="rId173"/>
          <w:pgSz w:w="16839" w:h="11907" w:orient="landscape" w:code="9"/>
          <w:pgMar w:top="1134" w:right="1134" w:bottom="1134" w:left="1134" w:header="624" w:footer="567" w:gutter="0"/>
          <w:cols w:sep="1" w:space="567"/>
          <w:docGrid w:linePitch="360"/>
        </w:sectPr>
      </w:pPr>
    </w:p>
    <w:p w:rsidR="00BB6F1F" w:rsidRPr="00AF64A6" w:rsidRDefault="00BB6F1F" w:rsidP="00945F71">
      <w:pPr>
        <w:pStyle w:val="TableHeading"/>
        <w:spacing w:before="0"/>
        <w:rPr>
          <w:bCs/>
          <w:lang w:val="en-US"/>
        </w:rPr>
      </w:pPr>
      <w:r>
        <w:lastRenderedPageBreak/>
        <w:t>Table 5.6:</w:t>
      </w:r>
      <w:r>
        <w:tab/>
        <w:t xml:space="preserve">General government sector detailed expenses by function </w:t>
      </w:r>
      <w:r w:rsidRPr="00E1683F">
        <w:rPr>
          <w:vertAlign w:val="superscript"/>
        </w:rPr>
        <w:t>(a)</w:t>
      </w:r>
      <w:r>
        <w:tab/>
        <w:t>($ million)</w:t>
      </w:r>
    </w:p>
    <w:tbl>
      <w:tblPr>
        <w:tblStyle w:val="DTFTable"/>
        <w:tblW w:w="9638" w:type="dxa"/>
        <w:tblInd w:w="45" w:type="dxa"/>
        <w:tblLayout w:type="fixed"/>
        <w:tblCellMar>
          <w:left w:w="45" w:type="dxa"/>
          <w:right w:w="45" w:type="dxa"/>
        </w:tblCellMar>
        <w:tblLook w:val="06A0" w:firstRow="1" w:lastRow="0" w:firstColumn="1" w:lastColumn="0" w:noHBand="1" w:noVBand="1"/>
      </w:tblPr>
      <w:tblGrid>
        <w:gridCol w:w="7824"/>
        <w:gridCol w:w="907"/>
        <w:gridCol w:w="907"/>
      </w:tblGrid>
      <w:tr w:rsidR="00BB6F1F" w:rsidRPr="00AF64A6" w:rsidTr="00DE36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rsidR="00BB6F1F" w:rsidRPr="00AF64A6" w:rsidRDefault="00BB6F1F" w:rsidP="00AC68FF">
            <w:pPr>
              <w:autoSpaceDE w:val="0"/>
              <w:autoSpaceDN w:val="0"/>
              <w:adjustRightInd w:val="0"/>
              <w:rPr>
                <w:rFonts w:eastAsiaTheme="minorEastAsia" w:cs="Calibri"/>
                <w:iCs/>
                <w:color w:val="FFFFFF"/>
                <w:szCs w:val="20"/>
                <w:lang w:eastAsia="en-AU"/>
              </w:rPr>
            </w:pPr>
            <w:r w:rsidRPr="00AF64A6">
              <w:rPr>
                <w:rFonts w:eastAsiaTheme="minorEastAsia" w:cs="Calibri"/>
                <w:iCs/>
                <w:color w:val="FFFFFF"/>
                <w:szCs w:val="20"/>
                <w:lang w:eastAsia="en-AU"/>
              </w:rPr>
              <w:t>Output description (general purpose classification)</w:t>
            </w:r>
          </w:p>
        </w:tc>
        <w:tc>
          <w:tcPr>
            <w:tcW w:w="907" w:type="dxa"/>
            <w:tcBorders>
              <w:top w:val="nil"/>
              <w:left w:val="nil"/>
              <w:bottom w:val="nil"/>
              <w:right w:val="nil"/>
            </w:tcBorders>
            <w:shd w:val="solid" w:color="000000" w:fill="auto"/>
          </w:tcPr>
          <w:p w:rsidR="00BB6F1F" w:rsidRPr="00AF64A6"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AF64A6">
              <w:rPr>
                <w:rFonts w:eastAsiaTheme="minorEastAsia" w:cs="Calibri"/>
                <w:iCs/>
                <w:color w:val="FFFFFF"/>
                <w:szCs w:val="20"/>
                <w:lang w:eastAsia="en-AU"/>
              </w:rPr>
              <w:t>2017</w:t>
            </w:r>
          </w:p>
        </w:tc>
        <w:tc>
          <w:tcPr>
            <w:tcW w:w="907" w:type="dxa"/>
            <w:tcBorders>
              <w:top w:val="nil"/>
              <w:left w:val="nil"/>
              <w:bottom w:val="nil"/>
              <w:right w:val="nil"/>
            </w:tcBorders>
            <w:shd w:val="solid" w:color="000000" w:fill="auto"/>
          </w:tcPr>
          <w:p w:rsidR="00BB6F1F" w:rsidRPr="00AF64A6"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vertAlign w:val="superscript"/>
                <w:lang w:eastAsia="en-AU"/>
              </w:rPr>
            </w:pPr>
            <w:r w:rsidRPr="00AF64A6">
              <w:rPr>
                <w:rFonts w:eastAsiaTheme="minorEastAsia" w:cs="Calibri"/>
                <w:iCs/>
                <w:color w:val="FFFFFF"/>
                <w:szCs w:val="20"/>
                <w:lang w:eastAsia="en-AU"/>
              </w:rPr>
              <w:t xml:space="preserve">2016 </w:t>
            </w:r>
            <w:r w:rsidRPr="00AF64A6">
              <w:rPr>
                <w:rFonts w:eastAsiaTheme="minorEastAsia" w:cs="Calibri"/>
                <w:iCs/>
                <w:color w:val="FFFFFF"/>
                <w:szCs w:val="20"/>
                <w:vertAlign w:val="superscript"/>
                <w:lang w:eastAsia="en-AU"/>
              </w:rPr>
              <w:t>(b)</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8"/>
                <w:lang w:eastAsia="en-AU"/>
              </w:rPr>
            </w:pPr>
            <w:r w:rsidRPr="00AF64A6">
              <w:rPr>
                <w:rFonts w:eastAsiaTheme="minorEastAsia" w:cs="Calibri"/>
                <w:b/>
                <w:bCs/>
                <w:color w:val="000000"/>
                <w:szCs w:val="18"/>
                <w:lang w:eastAsia="en-AU"/>
              </w:rPr>
              <w:t xml:space="preserve">General public services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AF64A6">
              <w:rPr>
                <w:rFonts w:eastAsiaTheme="minorEastAsia" w:cs="Calibri"/>
                <w:b/>
                <w:bCs/>
                <w:color w:val="000000"/>
                <w:szCs w:val="20"/>
                <w:lang w:eastAsia="en-AU"/>
              </w:rPr>
              <w:t>2 615</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AF64A6">
              <w:rPr>
                <w:rFonts w:eastAsiaTheme="minorEastAsia" w:cs="Calibri"/>
                <w:b/>
                <w:bCs/>
                <w:color w:val="000000"/>
                <w:szCs w:val="20"/>
                <w:lang w:eastAsia="en-AU"/>
              </w:rPr>
              <w:t>2 662</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Other general public services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2 615</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2 662</w:t>
            </w:r>
          </w:p>
        </w:tc>
      </w:tr>
      <w:tr w:rsidR="00BB6F1F" w:rsidRPr="00AF64A6" w:rsidTr="00DE36DF">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FFFFFF"/>
                <w:szCs w:val="18"/>
                <w:lang w:eastAsia="en-AU"/>
              </w:rPr>
            </w:pPr>
            <w:r w:rsidRPr="00AF64A6">
              <w:rPr>
                <w:rFonts w:eastAsiaTheme="minorEastAsia" w:cs="Calibri"/>
                <w:color w:val="FFFFFF"/>
                <w:szCs w:val="18"/>
                <w:lang w:eastAsia="en-AU"/>
              </w:rPr>
              <w:t xml:space="preserve">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 xml:space="preserve"> </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8"/>
                <w:lang w:eastAsia="en-AU"/>
              </w:rPr>
            </w:pPr>
            <w:r w:rsidRPr="00AF64A6">
              <w:rPr>
                <w:rFonts w:eastAsiaTheme="minorEastAsia" w:cs="Calibri"/>
                <w:b/>
                <w:bCs/>
                <w:color w:val="000000"/>
                <w:szCs w:val="18"/>
                <w:lang w:eastAsia="en-AU"/>
              </w:rPr>
              <w:t>Public order and safety</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AF64A6">
              <w:rPr>
                <w:rFonts w:eastAsiaTheme="minorEastAsia" w:cs="Calibri"/>
                <w:b/>
                <w:bCs/>
                <w:color w:val="000000"/>
                <w:szCs w:val="20"/>
                <w:lang w:eastAsia="en-AU"/>
              </w:rPr>
              <w:t>6 740</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AF64A6">
              <w:rPr>
                <w:rFonts w:eastAsiaTheme="minorEastAsia" w:cs="Calibri"/>
                <w:b/>
                <w:bCs/>
                <w:color w:val="000000"/>
                <w:szCs w:val="20"/>
                <w:lang w:eastAsia="en-AU"/>
              </w:rPr>
              <w:t>6 269</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Police and fire protection services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4 450</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3 902</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Police services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3 197</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2 694</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Fire protection services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1 253</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1 208</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Law courts and legal services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703</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889</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Prisons and corrective services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1 228</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1 080</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Other public order and safety</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358</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398</w:t>
            </w:r>
          </w:p>
        </w:tc>
      </w:tr>
      <w:tr w:rsidR="00BB6F1F" w:rsidRPr="00AF64A6" w:rsidTr="00DE36DF">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FFFFFF"/>
                <w:szCs w:val="18"/>
                <w:lang w:eastAsia="en-AU"/>
              </w:rPr>
            </w:pPr>
            <w:r w:rsidRPr="00AF64A6">
              <w:rPr>
                <w:rFonts w:eastAsiaTheme="minorEastAsia" w:cs="Calibri"/>
                <w:color w:val="FFFFFF"/>
                <w:szCs w:val="18"/>
                <w:lang w:eastAsia="en-AU"/>
              </w:rPr>
              <w:t xml:space="preserve">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 xml:space="preserve"> </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8"/>
                <w:lang w:eastAsia="en-AU"/>
              </w:rPr>
            </w:pPr>
            <w:r w:rsidRPr="00AF64A6">
              <w:rPr>
                <w:rFonts w:eastAsiaTheme="minorEastAsia" w:cs="Calibri"/>
                <w:b/>
                <w:bCs/>
                <w:color w:val="000000"/>
                <w:szCs w:val="18"/>
                <w:lang w:eastAsia="en-AU"/>
              </w:rPr>
              <w:t>Education</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AF64A6">
              <w:rPr>
                <w:rFonts w:eastAsiaTheme="minorEastAsia" w:cs="Calibri"/>
                <w:b/>
                <w:bCs/>
                <w:color w:val="000000"/>
                <w:szCs w:val="20"/>
                <w:lang w:eastAsia="en-AU"/>
              </w:rPr>
              <w:t>14 185</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AF64A6">
              <w:rPr>
                <w:rFonts w:eastAsiaTheme="minorEastAsia" w:cs="Calibri"/>
                <w:b/>
                <w:bCs/>
                <w:color w:val="000000"/>
                <w:szCs w:val="20"/>
                <w:lang w:eastAsia="en-AU"/>
              </w:rPr>
              <w:t>13 424</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Primary and secondary education</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10 876</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10 274</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Primary education</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5 554</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5 439</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Secondary education</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5 282</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4 810</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 xml:space="preserve">Primary and secondary education NEC </w:t>
            </w:r>
            <w:r w:rsidR="00BB6F1F" w:rsidRPr="00AF64A6">
              <w:rPr>
                <w:rFonts w:eastAsiaTheme="minorEastAsia" w:cs="Calibri"/>
                <w:color w:val="000000"/>
                <w:szCs w:val="18"/>
                <w:vertAlign w:val="superscript"/>
                <w:lang w:eastAsia="en-AU"/>
              </w:rPr>
              <w:t>(c)</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Tertiary education</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2 046</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1 980</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Technical and further education</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2 046</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1 980</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Pre-school education and education not definable by level</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1 149</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1 060</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Pre-school education</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389</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351</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Special education</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759</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709</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 xml:space="preserve">Transportation of students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115</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110</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Transportation of non-urban school children</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82</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79</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Transportation of other students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33</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31</w:t>
            </w:r>
          </w:p>
        </w:tc>
      </w:tr>
      <w:tr w:rsidR="00BB6F1F" w:rsidRPr="00AF64A6" w:rsidTr="00DE36DF">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FFFFFF"/>
                <w:szCs w:val="18"/>
                <w:lang w:eastAsia="en-AU"/>
              </w:rPr>
            </w:pPr>
            <w:r w:rsidRPr="00AF64A6">
              <w:rPr>
                <w:rFonts w:eastAsiaTheme="minorEastAsia" w:cs="Calibri"/>
                <w:color w:val="FFFFFF"/>
                <w:szCs w:val="18"/>
                <w:lang w:eastAsia="en-AU"/>
              </w:rPr>
              <w:t xml:space="preserve">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 xml:space="preserve"> </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8"/>
                <w:lang w:eastAsia="en-AU"/>
              </w:rPr>
            </w:pPr>
            <w:r w:rsidRPr="00AF64A6">
              <w:rPr>
                <w:rFonts w:eastAsiaTheme="minorEastAsia" w:cs="Calibri"/>
                <w:b/>
                <w:bCs/>
                <w:color w:val="000000"/>
                <w:szCs w:val="18"/>
                <w:lang w:eastAsia="en-AU"/>
              </w:rPr>
              <w:t>Health</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AF64A6">
              <w:rPr>
                <w:rFonts w:eastAsiaTheme="minorEastAsia" w:cs="Calibri"/>
                <w:b/>
                <w:bCs/>
                <w:color w:val="000000"/>
                <w:szCs w:val="20"/>
                <w:lang w:eastAsia="en-AU"/>
              </w:rPr>
              <w:t>16 932</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AF64A6">
              <w:rPr>
                <w:rFonts w:eastAsiaTheme="minorEastAsia" w:cs="Calibri"/>
                <w:b/>
                <w:bCs/>
                <w:color w:val="000000"/>
                <w:szCs w:val="20"/>
                <w:lang w:eastAsia="en-AU"/>
              </w:rPr>
              <w:t>15 498</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Acute care institutions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13 219</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12 176</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 xml:space="preserve">   Admitted patient services in acute care institutions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11 557</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10 580</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 xml:space="preserve">   Non-admitted patient services in acute care institutions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1 662</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1 596</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Mental health institutions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r w:rsidRPr="00AF64A6">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r w:rsidRPr="00AF64A6">
              <w:rPr>
                <w:rFonts w:eastAsiaTheme="minorEastAsia" w:cs="Calibri"/>
                <w:color w:val="000000"/>
                <w:szCs w:val="20"/>
                <w:lang w:eastAsia="en-AU"/>
              </w:rPr>
              <w:t xml:space="preserve"> </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Nursing homes for the aged</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254</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258</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Community health services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3 088</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2 733</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 xml:space="preserve">   Community health services (excluding community mental health)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772</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675</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 xml:space="preserve">   Community mental health</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1 371</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1 266</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 xml:space="preserve">   Patient transport</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945</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791</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 xml:space="preserve">Public health services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322</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286</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Pharmaceuticals, medical aids and appliances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Health research</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48</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w:t>
            </w:r>
          </w:p>
        </w:tc>
      </w:tr>
      <w:tr w:rsidR="00BB6F1F" w:rsidRPr="00AF64A6" w:rsidTr="00DE36DF">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FFFFFF"/>
                <w:szCs w:val="18"/>
                <w:lang w:eastAsia="en-AU"/>
              </w:rPr>
            </w:pPr>
            <w:r w:rsidRPr="00AF64A6">
              <w:rPr>
                <w:rFonts w:eastAsiaTheme="minorEastAsia" w:cs="Calibri"/>
                <w:color w:val="FFFFFF"/>
                <w:szCs w:val="18"/>
                <w:lang w:eastAsia="en-AU"/>
              </w:rPr>
              <w:t xml:space="preserve">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 xml:space="preserve"> </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8"/>
                <w:lang w:eastAsia="en-AU"/>
              </w:rPr>
            </w:pPr>
            <w:r w:rsidRPr="00AF64A6">
              <w:rPr>
                <w:rFonts w:eastAsiaTheme="minorEastAsia" w:cs="Calibri"/>
                <w:b/>
                <w:bCs/>
                <w:color w:val="000000"/>
                <w:szCs w:val="18"/>
                <w:lang w:eastAsia="en-AU"/>
              </w:rPr>
              <w:t>Social security and welfare</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AF64A6">
              <w:rPr>
                <w:rFonts w:eastAsiaTheme="minorEastAsia" w:cs="Calibri"/>
                <w:b/>
                <w:bCs/>
                <w:color w:val="000000"/>
                <w:szCs w:val="20"/>
                <w:lang w:eastAsia="en-AU"/>
              </w:rPr>
              <w:t>4 242</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AF64A6">
              <w:rPr>
                <w:rFonts w:eastAsiaTheme="minorEastAsia" w:cs="Calibri"/>
                <w:b/>
                <w:bCs/>
                <w:color w:val="000000"/>
                <w:szCs w:val="20"/>
                <w:lang w:eastAsia="en-AU"/>
              </w:rPr>
              <w:t>4 372</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Welfare services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4 242</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4 372</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 xml:space="preserve">Family and child services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1 247</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1 123</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Welfare services for the aged</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481</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986</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Welfare services for people with a disability</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1 974</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1 705</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 xml:space="preserve">Welfare services NEC </w:t>
            </w:r>
            <w:r w:rsidR="00BB6F1F" w:rsidRPr="00AF64A6">
              <w:rPr>
                <w:rFonts w:eastAsiaTheme="minorEastAsia" w:cs="Calibri"/>
                <w:color w:val="000000"/>
                <w:szCs w:val="18"/>
                <w:vertAlign w:val="superscript"/>
                <w:lang w:eastAsia="en-AU"/>
              </w:rPr>
              <w:t>(c)</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540</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558</w:t>
            </w:r>
          </w:p>
        </w:tc>
      </w:tr>
      <w:tr w:rsidR="00BB6F1F" w:rsidRPr="00AF64A6" w:rsidTr="00DE36DF">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FFFFFF"/>
                <w:szCs w:val="18"/>
                <w:lang w:eastAsia="en-AU"/>
              </w:rPr>
            </w:pPr>
            <w:r w:rsidRPr="00AF64A6">
              <w:rPr>
                <w:rFonts w:eastAsiaTheme="minorEastAsia" w:cs="Calibri"/>
                <w:color w:val="FFFFFF"/>
                <w:szCs w:val="18"/>
                <w:lang w:eastAsia="en-AU"/>
              </w:rPr>
              <w:t xml:space="preserve">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 xml:space="preserve"> </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8"/>
                <w:lang w:eastAsia="en-AU"/>
              </w:rPr>
            </w:pPr>
            <w:r w:rsidRPr="00AF64A6">
              <w:rPr>
                <w:rFonts w:eastAsiaTheme="minorEastAsia" w:cs="Calibri"/>
                <w:b/>
                <w:bCs/>
                <w:color w:val="000000"/>
                <w:szCs w:val="18"/>
                <w:lang w:eastAsia="en-AU"/>
              </w:rPr>
              <w:t>Housing and community amenities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AF64A6">
              <w:rPr>
                <w:rFonts w:eastAsiaTheme="minorEastAsia" w:cs="Calibri"/>
                <w:b/>
                <w:bCs/>
                <w:color w:val="000000"/>
                <w:szCs w:val="20"/>
                <w:lang w:eastAsia="en-AU"/>
              </w:rPr>
              <w:t>3 346</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AF64A6">
              <w:rPr>
                <w:rFonts w:eastAsiaTheme="minorEastAsia" w:cs="Calibri"/>
                <w:b/>
                <w:bCs/>
                <w:color w:val="000000"/>
                <w:szCs w:val="20"/>
                <w:lang w:eastAsia="en-AU"/>
              </w:rPr>
              <w:t>2 610</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Housing and community development</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2 767</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2 015</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Housing</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606</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460</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Aboriginal community development</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Other community development</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2 136</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1 537</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Water supply</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138</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120</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Sanitation and protection of the environment</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432</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465</w:t>
            </w:r>
          </w:p>
        </w:tc>
      </w:tr>
      <w:tr w:rsidR="00BB6F1F" w:rsidRPr="00AF64A6" w:rsidTr="00DE36D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single" w:sz="6" w:space="0" w:color="auto"/>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Other community amenities</w:t>
            </w:r>
          </w:p>
        </w:tc>
        <w:tc>
          <w:tcPr>
            <w:tcW w:w="907" w:type="dxa"/>
            <w:tcBorders>
              <w:top w:val="nil"/>
              <w:left w:val="nil"/>
              <w:bottom w:val="single" w:sz="6" w:space="0" w:color="auto"/>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w:t>
            </w:r>
          </w:p>
        </w:tc>
        <w:tc>
          <w:tcPr>
            <w:tcW w:w="907" w:type="dxa"/>
            <w:tcBorders>
              <w:top w:val="nil"/>
              <w:left w:val="nil"/>
              <w:bottom w:val="single" w:sz="6" w:space="0" w:color="auto"/>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w:t>
            </w:r>
          </w:p>
        </w:tc>
      </w:tr>
    </w:tbl>
    <w:p w:rsidR="00DE36DF" w:rsidRDefault="00DE36DF"/>
    <w:p w:rsidR="00DE36DF" w:rsidRDefault="00DE36DF"/>
    <w:p w:rsidR="00DE36DF" w:rsidRPr="00AF64A6" w:rsidRDefault="00DE36DF" w:rsidP="00DE36DF">
      <w:pPr>
        <w:pStyle w:val="TableHeading"/>
        <w:spacing w:before="0"/>
        <w:rPr>
          <w:bCs/>
          <w:lang w:val="en-US"/>
        </w:rPr>
      </w:pPr>
      <w:r>
        <w:lastRenderedPageBreak/>
        <w:t>Table 5.6:</w:t>
      </w:r>
      <w:r>
        <w:tab/>
        <w:t xml:space="preserve">General government sector detailed expenses by function </w:t>
      </w:r>
      <w:r w:rsidRPr="00DE36DF">
        <w:rPr>
          <w:i/>
        </w:rPr>
        <w:t>(continued)</w:t>
      </w:r>
      <w:r>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DE36DF" w:rsidRPr="00AF64A6" w:rsidTr="00C14F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rsidR="00DE36DF" w:rsidRPr="00AF64A6" w:rsidRDefault="00DE36DF" w:rsidP="00C14F47">
            <w:pPr>
              <w:autoSpaceDE w:val="0"/>
              <w:autoSpaceDN w:val="0"/>
              <w:adjustRightInd w:val="0"/>
              <w:rPr>
                <w:rFonts w:eastAsiaTheme="minorEastAsia" w:cs="Calibri"/>
                <w:iCs/>
                <w:color w:val="FFFFFF"/>
                <w:szCs w:val="20"/>
                <w:lang w:eastAsia="en-AU"/>
              </w:rPr>
            </w:pPr>
            <w:r w:rsidRPr="00AF64A6">
              <w:rPr>
                <w:rFonts w:eastAsiaTheme="minorEastAsia" w:cs="Calibri"/>
                <w:iCs/>
                <w:color w:val="FFFFFF"/>
                <w:szCs w:val="20"/>
                <w:lang w:eastAsia="en-AU"/>
              </w:rPr>
              <w:t>Output description (general purpose classification)</w:t>
            </w:r>
          </w:p>
        </w:tc>
        <w:tc>
          <w:tcPr>
            <w:tcW w:w="907" w:type="dxa"/>
            <w:tcBorders>
              <w:top w:val="nil"/>
              <w:left w:val="nil"/>
              <w:bottom w:val="nil"/>
              <w:right w:val="nil"/>
            </w:tcBorders>
            <w:shd w:val="solid" w:color="000000" w:fill="auto"/>
          </w:tcPr>
          <w:p w:rsidR="00DE36DF" w:rsidRPr="00AF64A6" w:rsidRDefault="00DE36DF" w:rsidP="00C14F4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AF64A6">
              <w:rPr>
                <w:rFonts w:eastAsiaTheme="minorEastAsia" w:cs="Calibri"/>
                <w:iCs/>
                <w:color w:val="FFFFFF"/>
                <w:szCs w:val="20"/>
                <w:lang w:eastAsia="en-AU"/>
              </w:rPr>
              <w:t>2017</w:t>
            </w:r>
          </w:p>
        </w:tc>
        <w:tc>
          <w:tcPr>
            <w:tcW w:w="907" w:type="dxa"/>
            <w:tcBorders>
              <w:top w:val="nil"/>
              <w:left w:val="nil"/>
              <w:bottom w:val="nil"/>
              <w:right w:val="nil"/>
            </w:tcBorders>
            <w:shd w:val="solid" w:color="000000" w:fill="auto"/>
          </w:tcPr>
          <w:p w:rsidR="00DE36DF" w:rsidRPr="00AF64A6" w:rsidRDefault="00DE36DF" w:rsidP="00C14F4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vertAlign w:val="superscript"/>
                <w:lang w:eastAsia="en-AU"/>
              </w:rPr>
            </w:pPr>
            <w:r w:rsidRPr="00AF64A6">
              <w:rPr>
                <w:rFonts w:eastAsiaTheme="minorEastAsia" w:cs="Calibri"/>
                <w:iCs/>
                <w:color w:val="FFFFFF"/>
                <w:szCs w:val="20"/>
                <w:lang w:eastAsia="en-AU"/>
              </w:rPr>
              <w:t xml:space="preserve">2016 </w:t>
            </w:r>
            <w:r w:rsidRPr="00AF64A6">
              <w:rPr>
                <w:rFonts w:eastAsiaTheme="minorEastAsia" w:cs="Calibri"/>
                <w:iCs/>
                <w:color w:val="FFFFFF"/>
                <w:szCs w:val="20"/>
                <w:vertAlign w:val="superscript"/>
                <w:lang w:eastAsia="en-AU"/>
              </w:rPr>
              <w:t>(b)</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DE36DF">
            <w:pPr>
              <w:keepLines w:val="0"/>
              <w:autoSpaceDE w:val="0"/>
              <w:autoSpaceDN w:val="0"/>
              <w:adjustRightInd w:val="0"/>
              <w:rPr>
                <w:rFonts w:eastAsiaTheme="minorEastAsia" w:cs="Calibri"/>
                <w:b/>
                <w:bCs/>
                <w:color w:val="000000"/>
                <w:szCs w:val="18"/>
                <w:lang w:eastAsia="en-AU"/>
              </w:rPr>
            </w:pPr>
            <w:r w:rsidRPr="00AF64A6">
              <w:rPr>
                <w:rFonts w:eastAsiaTheme="minorEastAsia" w:cs="Calibri"/>
                <w:b/>
                <w:bCs/>
                <w:color w:val="000000"/>
                <w:szCs w:val="18"/>
                <w:lang w:eastAsia="en-AU"/>
              </w:rPr>
              <w:t>Recreation and culture</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778</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802</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Recreation facilities and services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325</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387</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945F71">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National parks and wildlife</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87</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88</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 xml:space="preserve">Recreation facilities and services NEC </w:t>
            </w:r>
            <w:r w:rsidR="00BB6F1F" w:rsidRPr="00AF64A6">
              <w:rPr>
                <w:rFonts w:eastAsiaTheme="minorEastAsia" w:cs="Calibri"/>
                <w:color w:val="000000"/>
                <w:szCs w:val="18"/>
                <w:vertAlign w:val="superscript"/>
                <w:lang w:eastAsia="en-AU"/>
              </w:rPr>
              <w:t>(c)</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238</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298</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Cultural facilities and services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453</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415</w:t>
            </w:r>
          </w:p>
        </w:tc>
      </w:tr>
      <w:tr w:rsidR="00BB6F1F" w:rsidRPr="00AF64A6"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FFFFFF"/>
                <w:szCs w:val="18"/>
                <w:lang w:eastAsia="en-AU"/>
              </w:rPr>
            </w:pPr>
            <w:r w:rsidRPr="00AF64A6">
              <w:rPr>
                <w:rFonts w:eastAsiaTheme="minorEastAsia" w:cs="Calibri"/>
                <w:color w:val="FFFFFF"/>
                <w:szCs w:val="18"/>
                <w:lang w:eastAsia="en-AU"/>
              </w:rPr>
              <w:t xml:space="preserve">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8"/>
                <w:lang w:eastAsia="en-AU"/>
              </w:rPr>
            </w:pPr>
            <w:r w:rsidRPr="00AF64A6">
              <w:rPr>
                <w:rFonts w:eastAsiaTheme="minorEastAsia" w:cs="Calibri"/>
                <w:b/>
                <w:bCs/>
                <w:color w:val="000000"/>
                <w:szCs w:val="18"/>
                <w:lang w:eastAsia="en-AU"/>
              </w:rPr>
              <w:t>Fuel and energy</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180</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128</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Electricity and other energy</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180</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128</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Electricity</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33</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 xml:space="preserve">Fuel and energy NEC </w:t>
            </w:r>
            <w:r w:rsidR="00BB6F1F" w:rsidRPr="00AF64A6">
              <w:rPr>
                <w:rFonts w:eastAsiaTheme="minorEastAsia" w:cs="Calibri"/>
                <w:color w:val="000000"/>
                <w:szCs w:val="18"/>
                <w:vertAlign w:val="superscript"/>
                <w:lang w:eastAsia="en-AU"/>
              </w:rPr>
              <w:t>(c)</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147</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95</w:t>
            </w:r>
          </w:p>
        </w:tc>
      </w:tr>
      <w:tr w:rsidR="00BB6F1F" w:rsidRPr="00AF64A6"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FFFFFF"/>
                <w:szCs w:val="18"/>
                <w:lang w:eastAsia="en-AU"/>
              </w:rPr>
            </w:pPr>
            <w:r w:rsidRPr="00AF64A6">
              <w:rPr>
                <w:rFonts w:eastAsiaTheme="minorEastAsia" w:cs="Calibri"/>
                <w:color w:val="FFFFFF"/>
                <w:szCs w:val="18"/>
                <w:lang w:eastAsia="en-AU"/>
              </w:rPr>
              <w:t xml:space="preserve">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8"/>
                <w:lang w:eastAsia="en-AU"/>
              </w:rPr>
            </w:pPr>
            <w:r w:rsidRPr="00AF64A6">
              <w:rPr>
                <w:rFonts w:eastAsiaTheme="minorEastAsia" w:cs="Calibri"/>
                <w:b/>
                <w:bCs/>
                <w:color w:val="000000"/>
                <w:szCs w:val="18"/>
                <w:lang w:eastAsia="en-AU"/>
              </w:rPr>
              <w:t>Agriculture, forestry, fishing and hunting</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387</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414</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Agriculture</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312</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313</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 xml:space="preserve">Forestry, fishing and hunting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76</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101</w:t>
            </w:r>
          </w:p>
        </w:tc>
      </w:tr>
      <w:tr w:rsidR="00BB6F1F" w:rsidRPr="00AF64A6"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FFFFFF"/>
                <w:szCs w:val="18"/>
                <w:lang w:eastAsia="en-AU"/>
              </w:rPr>
            </w:pPr>
            <w:r w:rsidRPr="00AF64A6">
              <w:rPr>
                <w:rFonts w:eastAsiaTheme="minorEastAsia" w:cs="Calibri"/>
                <w:color w:val="FFFFFF"/>
                <w:szCs w:val="18"/>
                <w:lang w:eastAsia="en-AU"/>
              </w:rPr>
              <w:t xml:space="preserve">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8"/>
                <w:lang w:eastAsia="en-AU"/>
              </w:rPr>
            </w:pPr>
            <w:r w:rsidRPr="00AF64A6">
              <w:rPr>
                <w:rFonts w:eastAsiaTheme="minorEastAsia" w:cs="Calibri"/>
                <w:b/>
                <w:bCs/>
                <w:color w:val="000000"/>
                <w:szCs w:val="18"/>
                <w:lang w:eastAsia="en-AU"/>
              </w:rPr>
              <w:t>Transport and communications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AF64A6">
              <w:rPr>
                <w:rFonts w:eastAsiaTheme="minorEastAsia" w:cs="Calibri"/>
                <w:b/>
                <w:bCs/>
                <w:color w:val="000000"/>
                <w:szCs w:val="20"/>
                <w:lang w:eastAsia="en-AU"/>
              </w:rPr>
              <w:t>7 008</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AF64A6">
              <w:rPr>
                <w:rFonts w:eastAsiaTheme="minorEastAsia" w:cs="Calibri"/>
                <w:b/>
                <w:bCs/>
                <w:color w:val="000000"/>
                <w:szCs w:val="20"/>
                <w:lang w:eastAsia="en-AU"/>
              </w:rPr>
              <w:t>6 245</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Road transport</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2 082</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1 661</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Road maintenance</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436</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416</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Road construction</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944</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871</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 xml:space="preserve">Road transport NEC </w:t>
            </w:r>
            <w:r w:rsidR="00BB6F1F" w:rsidRPr="00AF64A6">
              <w:rPr>
                <w:rFonts w:eastAsiaTheme="minorEastAsia" w:cs="Calibri"/>
                <w:color w:val="000000"/>
                <w:szCs w:val="18"/>
                <w:vertAlign w:val="superscript"/>
                <w:lang w:eastAsia="en-AU"/>
              </w:rPr>
              <w:t>(c)</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702</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373</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Rail transport</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4 732</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4 473</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 xml:space="preserve">Urban rail transport services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4 732</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4 473</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 xml:space="preserve">Non-urban rail transport passenger services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Other transport</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193</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111</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 xml:space="preserve">Other transport NEC </w:t>
            </w:r>
            <w:r w:rsidR="00BB6F1F" w:rsidRPr="00AF64A6">
              <w:rPr>
                <w:rFonts w:eastAsiaTheme="minorEastAsia" w:cs="Calibri"/>
                <w:color w:val="000000"/>
                <w:szCs w:val="18"/>
                <w:vertAlign w:val="superscript"/>
                <w:lang w:eastAsia="en-AU"/>
              </w:rPr>
              <w:t>(c)</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193</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111</w:t>
            </w:r>
          </w:p>
        </w:tc>
      </w:tr>
      <w:tr w:rsidR="00BB6F1F" w:rsidRPr="00AF64A6"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FFFFFF"/>
                <w:szCs w:val="18"/>
                <w:lang w:eastAsia="en-AU"/>
              </w:rPr>
            </w:pPr>
            <w:r w:rsidRPr="00AF64A6">
              <w:rPr>
                <w:rFonts w:eastAsiaTheme="minorEastAsia" w:cs="Calibri"/>
                <w:color w:val="FFFFFF"/>
                <w:szCs w:val="18"/>
                <w:lang w:eastAsia="en-AU"/>
              </w:rPr>
              <w:t xml:space="preserve">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8"/>
                <w:lang w:eastAsia="en-AU"/>
              </w:rPr>
            </w:pPr>
            <w:r w:rsidRPr="00AF64A6">
              <w:rPr>
                <w:rFonts w:eastAsiaTheme="minorEastAsia" w:cs="Calibri"/>
                <w:b/>
                <w:bCs/>
                <w:color w:val="000000"/>
                <w:szCs w:val="18"/>
                <w:lang w:eastAsia="en-AU"/>
              </w:rPr>
              <w:t>Other economic affairs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AF64A6">
              <w:rPr>
                <w:rFonts w:eastAsiaTheme="minorEastAsia" w:cs="Calibri"/>
                <w:b/>
                <w:bCs/>
                <w:color w:val="000000"/>
                <w:szCs w:val="20"/>
                <w:lang w:eastAsia="en-AU"/>
              </w:rPr>
              <w:t>1 205</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857</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Tourism and area promotion</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247</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223</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Labour and employment affairs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168</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135</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945F71" w:rsidP="00AC68FF">
            <w:pPr>
              <w:keepLines w:val="0"/>
              <w:autoSpaceDE w:val="0"/>
              <w:autoSpaceDN w:val="0"/>
              <w:adjustRightInd w:val="0"/>
              <w:rPr>
                <w:rFonts w:eastAsiaTheme="minorEastAsia" w:cs="Calibri"/>
                <w:color w:val="000000"/>
                <w:szCs w:val="18"/>
                <w:lang w:eastAsia="en-AU"/>
              </w:rPr>
            </w:pPr>
            <w:r>
              <w:rPr>
                <w:rFonts w:eastAsiaTheme="minorEastAsia" w:cs="Calibri"/>
                <w:color w:val="000000"/>
                <w:szCs w:val="18"/>
                <w:lang w:eastAsia="en-AU"/>
              </w:rPr>
              <w:t xml:space="preserve">   </w:t>
            </w:r>
            <w:r w:rsidR="00BB6F1F" w:rsidRPr="00AF64A6">
              <w:rPr>
                <w:rFonts w:eastAsiaTheme="minorEastAsia" w:cs="Calibri"/>
                <w:color w:val="000000"/>
                <w:szCs w:val="18"/>
                <w:lang w:eastAsia="en-AU"/>
              </w:rPr>
              <w:t>Other labour and employment affairs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168</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135</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 xml:space="preserve">Other economic affairs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790</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499</w:t>
            </w:r>
          </w:p>
        </w:tc>
      </w:tr>
      <w:tr w:rsidR="00BB6F1F" w:rsidRPr="00AF64A6"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FFFFFF"/>
                <w:szCs w:val="18"/>
                <w:lang w:eastAsia="en-AU"/>
              </w:rPr>
            </w:pPr>
            <w:r w:rsidRPr="00AF64A6">
              <w:rPr>
                <w:rFonts w:eastAsiaTheme="minorEastAsia" w:cs="Calibri"/>
                <w:color w:val="FFFFFF"/>
                <w:szCs w:val="18"/>
                <w:lang w:eastAsia="en-AU"/>
              </w:rPr>
              <w:t xml:space="preserve">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 xml:space="preserve"> </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 xml:space="preserve"> </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8"/>
                <w:lang w:eastAsia="en-AU"/>
              </w:rPr>
            </w:pPr>
            <w:r w:rsidRPr="00AF64A6">
              <w:rPr>
                <w:rFonts w:eastAsiaTheme="minorEastAsia" w:cs="Calibri"/>
                <w:b/>
                <w:bCs/>
                <w:color w:val="000000"/>
                <w:szCs w:val="18"/>
                <w:lang w:eastAsia="en-AU"/>
              </w:rPr>
              <w:t>Other purposes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AF64A6">
              <w:rPr>
                <w:rFonts w:eastAsiaTheme="minorEastAsia" w:cs="Calibri"/>
                <w:b/>
                <w:bCs/>
                <w:color w:val="000000"/>
                <w:szCs w:val="20"/>
                <w:lang w:eastAsia="en-AU"/>
              </w:rPr>
              <w:t>1 141</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AF64A6">
              <w:rPr>
                <w:rFonts w:eastAsiaTheme="minorEastAsia" w:cs="Calibri"/>
                <w:b/>
                <w:bCs/>
                <w:color w:val="000000"/>
                <w:szCs w:val="20"/>
                <w:lang w:eastAsia="en-AU"/>
              </w:rPr>
              <w:t>1 350</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Public debt transactions</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1 096</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1 310</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18"/>
                <w:lang w:eastAsia="en-AU"/>
              </w:rPr>
            </w:pPr>
            <w:r w:rsidRPr="00AF64A6">
              <w:rPr>
                <w:rFonts w:eastAsiaTheme="minorEastAsia" w:cs="Calibri"/>
                <w:color w:val="000000"/>
                <w:szCs w:val="18"/>
                <w:lang w:eastAsia="en-AU"/>
              </w:rPr>
              <w:t xml:space="preserve">Other purposes NEC </w:t>
            </w:r>
            <w:r w:rsidRPr="00AF64A6">
              <w:rPr>
                <w:rFonts w:eastAsiaTheme="minorEastAsia" w:cs="Calibri"/>
                <w:color w:val="000000"/>
                <w:szCs w:val="18"/>
                <w:vertAlign w:val="superscript"/>
                <w:lang w:eastAsia="en-AU"/>
              </w:rPr>
              <w:t>(c)</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40</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FFFFFF"/>
                <w:szCs w:val="18"/>
                <w:lang w:eastAsia="en-AU"/>
              </w:rPr>
            </w:pP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b/>
                <w:bCs/>
                <w:color w:val="000000"/>
                <w:szCs w:val="18"/>
                <w:lang w:eastAsia="en-AU"/>
              </w:rPr>
            </w:pPr>
            <w:r w:rsidRPr="00AF64A6">
              <w:rPr>
                <w:rFonts w:eastAsiaTheme="minorEastAsia" w:cs="Calibri"/>
                <w:b/>
                <w:bCs/>
                <w:color w:val="000000"/>
                <w:szCs w:val="18"/>
                <w:lang w:eastAsia="en-AU"/>
              </w:rPr>
              <w:t xml:space="preserve">Not allocated by purpose </w:t>
            </w:r>
            <w:r w:rsidRPr="00AF64A6">
              <w:rPr>
                <w:rFonts w:eastAsiaTheme="minorEastAsia" w:cs="Calibri"/>
                <w:b/>
                <w:bCs/>
                <w:color w:val="000000"/>
                <w:szCs w:val="18"/>
                <w:vertAlign w:val="superscript"/>
                <w:lang w:eastAsia="en-AU"/>
              </w:rPr>
              <w:t>(d)</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(551)</w:t>
            </w: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(579)</w:t>
            </w:r>
          </w:p>
        </w:tc>
      </w:tr>
      <w:tr w:rsidR="00BB6F1F" w:rsidRPr="00AF64A6" w:rsidTr="00945F71">
        <w:trPr>
          <w:trHeight w:hRule="exact" w:val="113"/>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FFFFFF"/>
                <w:szCs w:val="18"/>
                <w:lang w:eastAsia="en-AU"/>
              </w:rPr>
            </w:pP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07"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BB6F1F" w:rsidRPr="00AF64A6"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rsidR="00BB6F1F" w:rsidRPr="00AF64A6" w:rsidRDefault="00BB6F1F" w:rsidP="00AC68FF">
            <w:pPr>
              <w:keepLines w:val="0"/>
              <w:autoSpaceDE w:val="0"/>
              <w:autoSpaceDN w:val="0"/>
              <w:adjustRightInd w:val="0"/>
              <w:rPr>
                <w:rFonts w:eastAsiaTheme="minorEastAsia" w:cs="Calibri"/>
                <w:bCs/>
                <w:color w:val="000000"/>
                <w:szCs w:val="20"/>
                <w:lang w:eastAsia="en-AU"/>
              </w:rPr>
            </w:pPr>
            <w:r w:rsidRPr="00AF64A6">
              <w:rPr>
                <w:rFonts w:eastAsiaTheme="minorEastAsia" w:cs="Calibri"/>
                <w:bCs/>
                <w:color w:val="000000"/>
                <w:szCs w:val="20"/>
                <w:lang w:eastAsia="en-AU"/>
              </w:rPr>
              <w:t>Total</w:t>
            </w:r>
          </w:p>
        </w:tc>
        <w:tc>
          <w:tcPr>
            <w:tcW w:w="907" w:type="dxa"/>
            <w:tcBorders>
              <w:top w:val="single" w:sz="6" w:space="0" w:color="auto"/>
              <w:bottom w:val="single" w:sz="12" w:space="0" w:color="auto"/>
            </w:tcBorders>
          </w:tcPr>
          <w:p w:rsidR="00BB6F1F" w:rsidRPr="00AF64A6"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F64A6">
              <w:rPr>
                <w:rFonts w:eastAsiaTheme="minorEastAsia" w:cs="Calibri"/>
                <w:bCs/>
                <w:color w:val="000000"/>
                <w:szCs w:val="20"/>
                <w:lang w:eastAsia="en-AU"/>
              </w:rPr>
              <w:t>58 210</w:t>
            </w:r>
          </w:p>
        </w:tc>
        <w:tc>
          <w:tcPr>
            <w:tcW w:w="907" w:type="dxa"/>
            <w:tcBorders>
              <w:top w:val="single" w:sz="6" w:space="0" w:color="auto"/>
              <w:bottom w:val="single" w:sz="12" w:space="0" w:color="auto"/>
            </w:tcBorders>
          </w:tcPr>
          <w:p w:rsidR="00BB6F1F" w:rsidRPr="00AF64A6"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F64A6">
              <w:rPr>
                <w:rFonts w:eastAsiaTheme="minorEastAsia" w:cs="Calibri"/>
                <w:bCs/>
                <w:color w:val="000000"/>
                <w:szCs w:val="20"/>
                <w:lang w:eastAsia="en-AU"/>
              </w:rPr>
              <w:t>54 052</w:t>
            </w:r>
          </w:p>
        </w:tc>
      </w:tr>
    </w:tbl>
    <w:p w:rsidR="00BB6F1F" w:rsidRPr="00E27796" w:rsidRDefault="00BB6F1F" w:rsidP="00AC68FF">
      <w:pPr>
        <w:pStyle w:val="Note"/>
      </w:pPr>
      <w:r>
        <w:t>Notes:</w:t>
      </w:r>
    </w:p>
    <w:p w:rsidR="00BB6F1F" w:rsidRDefault="00BB6F1F" w:rsidP="00AC68FF">
      <w:pPr>
        <w:pStyle w:val="Note"/>
      </w:pPr>
      <w:r>
        <w:t>(a)</w:t>
      </w:r>
      <w:r>
        <w:tab/>
        <w:t xml:space="preserve">Chapter 4, </w:t>
      </w:r>
      <w:r w:rsidRPr="00D42BC9">
        <w:t xml:space="preserve">Note </w:t>
      </w:r>
      <w:r>
        <w:t>3</w:t>
      </w:r>
      <w:r w:rsidRPr="00D42BC9">
        <w:t>.6 provides definitions and descriptions of government purpose classifications.</w:t>
      </w:r>
    </w:p>
    <w:p w:rsidR="00BB6F1F" w:rsidRDefault="00BB6F1F" w:rsidP="00AC68FF">
      <w:pPr>
        <w:pStyle w:val="Note"/>
      </w:pPr>
      <w:r>
        <w:t>(b)</w:t>
      </w:r>
      <w:r>
        <w:tab/>
        <w:t>June 2016 comparative figures have been reclassified to reflect more current information.</w:t>
      </w:r>
    </w:p>
    <w:p w:rsidR="00BB6F1F" w:rsidRDefault="00BB6F1F" w:rsidP="00AC68FF">
      <w:pPr>
        <w:pStyle w:val="Note"/>
      </w:pPr>
      <w:r>
        <w:t>(c)</w:t>
      </w:r>
      <w:r>
        <w:tab/>
        <w:t>NEC: Not elsewhere classified.</w:t>
      </w:r>
    </w:p>
    <w:p w:rsidR="00BB6F1F" w:rsidRDefault="00BB6F1F" w:rsidP="00AC68FF">
      <w:pPr>
        <w:pStyle w:val="Note"/>
      </w:pPr>
      <w:r>
        <w:t>(d)</w:t>
      </w:r>
      <w:r>
        <w:tab/>
      </w:r>
      <w:r w:rsidRPr="004520D3">
        <w:t>Not allocated by purpose represents eliminations and adjustments.</w:t>
      </w:r>
    </w:p>
    <w:p w:rsidR="00BB6F1F" w:rsidRDefault="00BB6F1F" w:rsidP="00AC68FF">
      <w:pPr>
        <w:pStyle w:val="Note"/>
      </w:pPr>
    </w:p>
    <w:p w:rsidR="00BB6F1F" w:rsidRDefault="00BB6F1F" w:rsidP="00AC68FF"/>
    <w:p w:rsidR="00BB6F1F" w:rsidRDefault="00BB6F1F" w:rsidP="00AC68FF">
      <w:pPr>
        <w:sectPr w:rsidR="00BB6F1F" w:rsidSect="00AC68FF">
          <w:headerReference w:type="even" r:id="rId174"/>
          <w:headerReference w:type="default" r:id="rId175"/>
          <w:footerReference w:type="even" r:id="rId176"/>
          <w:footerReference w:type="default" r:id="rId177"/>
          <w:pgSz w:w="11907" w:h="16839" w:code="9"/>
          <w:pgMar w:top="1134" w:right="1134" w:bottom="1134" w:left="1134" w:header="624" w:footer="567" w:gutter="0"/>
          <w:cols w:sep="1" w:space="567"/>
          <w:docGrid w:linePitch="360"/>
        </w:sectPr>
      </w:pPr>
    </w:p>
    <w:p w:rsidR="00BB6F1F" w:rsidRDefault="00BB6F1F">
      <w:pPr>
        <w:keepLines w:val="0"/>
        <w:rPr>
          <w:rFonts w:asciiTheme="majorHAnsi" w:eastAsiaTheme="majorEastAsia" w:hAnsiTheme="majorHAnsi" w:cstheme="majorBidi"/>
          <w:b/>
          <w:bCs/>
          <w:caps/>
          <w:spacing w:val="-2"/>
          <w:sz w:val="26"/>
          <w:szCs w:val="28"/>
        </w:rPr>
      </w:pPr>
      <w:r>
        <w:lastRenderedPageBreak/>
        <w:br w:type="page"/>
      </w:r>
    </w:p>
    <w:p w:rsidR="00BB6F1F" w:rsidRDefault="00BB6F1F" w:rsidP="00AC68FF">
      <w:pPr>
        <w:pStyle w:val="Heading10"/>
      </w:pPr>
      <w:r>
        <w:lastRenderedPageBreak/>
        <w:t>VICTORIA’S 2016-17 LOAN COUNCIL ALLOCATION</w:t>
      </w:r>
    </w:p>
    <w:p w:rsidR="00EA18A1" w:rsidRDefault="00BB6F1F" w:rsidP="00AC68FF">
      <w:r>
        <w:t xml:space="preserve">Under the UPF, Victoria is required to publish the Loan Council Allocation (LCA) estimates. The LCA is a measure of each government’s net call on financial markets in a given financial year to meet its budget obligations. The method of public release is the responsibility of each jurisdiction. </w:t>
      </w:r>
    </w:p>
    <w:p w:rsidR="00BB6F1F" w:rsidRDefault="00EA18A1" w:rsidP="00EA18A1">
      <w:pPr>
        <w:pStyle w:val="Heading10"/>
        <w:pBdr>
          <w:bottom w:val="none" w:sz="0" w:space="0" w:color="auto"/>
        </w:pBdr>
        <w:spacing w:before="0"/>
      </w:pPr>
      <w:r>
        <w:br w:type="column"/>
      </w:r>
      <w:r>
        <w:lastRenderedPageBreak/>
        <w:br/>
      </w:r>
    </w:p>
    <w:p w:rsidR="00BB6F1F" w:rsidRDefault="00BB6F1F" w:rsidP="00EA18A1">
      <w:pPr>
        <w:spacing w:before="180"/>
      </w:pPr>
      <w:r>
        <w:t xml:space="preserve">Victoria discloses the LCA information through the </w:t>
      </w:r>
      <w:r>
        <w:rPr>
          <w:i/>
        </w:rPr>
        <w:t xml:space="preserve">Financial Report </w:t>
      </w:r>
      <w:r>
        <w:t xml:space="preserve">for the State of Victoria, Budget Paper No. 5 </w:t>
      </w:r>
      <w:r>
        <w:rPr>
          <w:i/>
        </w:rPr>
        <w:t>Statement of Finances</w:t>
      </w:r>
      <w:r>
        <w:t xml:space="preserve"> and Budget Update.</w:t>
      </w:r>
    </w:p>
    <w:p w:rsidR="00BB6F1F" w:rsidRPr="00200857" w:rsidRDefault="00BB6F1F" w:rsidP="00AC68FF">
      <w:r>
        <w:t xml:space="preserve">Table 5.7 compares the Victorian 2016-17 LCA nomination as published in the </w:t>
      </w:r>
      <w:r>
        <w:rPr>
          <w:i/>
        </w:rPr>
        <w:t>2016-17 Budget</w:t>
      </w:r>
      <w:r>
        <w:t xml:space="preserve"> with the 2016-17 outcome.</w:t>
      </w:r>
    </w:p>
    <w:p w:rsidR="00BB6F1F" w:rsidRDefault="00BB6F1F" w:rsidP="00AC68FF">
      <w:pPr>
        <w:sectPr w:rsidR="00BB6F1F" w:rsidSect="00AC68FF">
          <w:type w:val="continuous"/>
          <w:pgSz w:w="11907" w:h="16839" w:code="9"/>
          <w:pgMar w:top="1134" w:right="1134" w:bottom="1134" w:left="1134" w:header="624" w:footer="567" w:gutter="0"/>
          <w:cols w:num="2" w:space="567"/>
          <w:docGrid w:linePitch="360"/>
        </w:sectPr>
      </w:pPr>
    </w:p>
    <w:p w:rsidR="00BB6F1F" w:rsidRPr="00AF64A6" w:rsidRDefault="00BB6F1F" w:rsidP="00AC68FF">
      <w:pPr>
        <w:pStyle w:val="TableHeading"/>
        <w:rPr>
          <w:bCs/>
          <w:lang w:val="en-US"/>
        </w:rPr>
      </w:pPr>
      <w:r>
        <w:lastRenderedPageBreak/>
        <w:t>Table 5.7:</w:t>
      </w:r>
      <w:r>
        <w:tab/>
        <w:t>Loan Council Allocation 2016-17</w:t>
      </w:r>
      <w:r>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512"/>
        <w:gridCol w:w="1134"/>
        <w:gridCol w:w="992"/>
      </w:tblGrid>
      <w:tr w:rsidR="00CE0E2F" w:rsidRPr="00AF64A6" w:rsidTr="00C14F47">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7512" w:type="dxa"/>
            <w:tcBorders>
              <w:top w:val="nil"/>
              <w:left w:val="nil"/>
              <w:right w:val="nil"/>
            </w:tcBorders>
            <w:shd w:val="solid" w:color="000000" w:fill="auto"/>
          </w:tcPr>
          <w:p w:rsidR="00CE0E2F" w:rsidRPr="00AF64A6" w:rsidRDefault="00CE0E2F" w:rsidP="00AC68FF">
            <w:pPr>
              <w:autoSpaceDE w:val="0"/>
              <w:autoSpaceDN w:val="0"/>
              <w:adjustRightInd w:val="0"/>
              <w:rPr>
                <w:rFonts w:eastAsiaTheme="minorEastAsia" w:cs="Calibri"/>
                <w:iCs/>
                <w:color w:val="FFFFFF"/>
                <w:szCs w:val="20"/>
                <w:lang w:eastAsia="en-AU"/>
              </w:rPr>
            </w:pPr>
            <w:r w:rsidRPr="00AF64A6">
              <w:rPr>
                <w:rFonts w:eastAsiaTheme="minorEastAsia" w:cs="Calibri"/>
                <w:iCs/>
                <w:color w:val="FFFFFF"/>
                <w:szCs w:val="20"/>
                <w:lang w:eastAsia="en-AU"/>
              </w:rPr>
              <w:t xml:space="preserve"> </w:t>
            </w:r>
          </w:p>
        </w:tc>
        <w:tc>
          <w:tcPr>
            <w:tcW w:w="1134" w:type="dxa"/>
            <w:tcBorders>
              <w:top w:val="nil"/>
              <w:left w:val="nil"/>
              <w:right w:val="nil"/>
            </w:tcBorders>
            <w:shd w:val="solid" w:color="000000" w:fill="auto"/>
          </w:tcPr>
          <w:p w:rsidR="00CE0E2F" w:rsidRPr="00AF64A6" w:rsidRDefault="00CE0E2F" w:rsidP="00CE0E2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AF64A6">
              <w:rPr>
                <w:rFonts w:eastAsiaTheme="minorEastAsia" w:cs="Calibri"/>
                <w:iCs/>
                <w:color w:val="FFFFFF"/>
                <w:szCs w:val="20"/>
                <w:lang w:eastAsia="en-AU"/>
              </w:rPr>
              <w:t>2017</w:t>
            </w:r>
            <w:r>
              <w:rPr>
                <w:rFonts w:eastAsiaTheme="minorEastAsia" w:cs="Calibri"/>
                <w:iCs/>
                <w:color w:val="FFFFFF"/>
                <w:szCs w:val="20"/>
                <w:lang w:eastAsia="en-AU"/>
              </w:rPr>
              <w:br/>
            </w:r>
            <w:r w:rsidRPr="00AF64A6">
              <w:rPr>
                <w:rFonts w:eastAsiaTheme="minorEastAsia" w:cs="Calibri"/>
                <w:iCs/>
                <w:color w:val="FFFFFF"/>
                <w:szCs w:val="20"/>
                <w:lang w:eastAsia="en-AU"/>
              </w:rPr>
              <w:t>budget</w:t>
            </w:r>
          </w:p>
        </w:tc>
        <w:tc>
          <w:tcPr>
            <w:tcW w:w="992" w:type="dxa"/>
            <w:tcBorders>
              <w:top w:val="nil"/>
              <w:left w:val="nil"/>
              <w:right w:val="nil"/>
            </w:tcBorders>
            <w:shd w:val="solid" w:color="000000" w:fill="auto"/>
          </w:tcPr>
          <w:p w:rsidR="00CE0E2F" w:rsidRPr="00AF64A6" w:rsidRDefault="00CE0E2F" w:rsidP="00CE0E2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AF64A6">
              <w:rPr>
                <w:rFonts w:eastAsiaTheme="minorEastAsia" w:cs="Calibri"/>
                <w:iCs/>
                <w:color w:val="FFFFFF"/>
                <w:szCs w:val="20"/>
                <w:lang w:eastAsia="en-AU"/>
              </w:rPr>
              <w:t>2017</w:t>
            </w:r>
            <w:r>
              <w:rPr>
                <w:rFonts w:eastAsiaTheme="minorEastAsia" w:cs="Calibri"/>
                <w:iCs/>
                <w:color w:val="FFFFFF"/>
                <w:szCs w:val="20"/>
                <w:lang w:eastAsia="en-AU"/>
              </w:rPr>
              <w:br/>
            </w:r>
            <w:r w:rsidRPr="00AF64A6">
              <w:rPr>
                <w:rFonts w:eastAsiaTheme="minorEastAsia" w:cs="Calibri"/>
                <w:iCs/>
                <w:color w:val="FFFFFF"/>
                <w:szCs w:val="20"/>
                <w:lang w:eastAsia="en-AU"/>
              </w:rPr>
              <w:t>actual</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20"/>
                <w:lang w:eastAsia="en-AU"/>
              </w:rPr>
            </w:pPr>
            <w:r w:rsidRPr="00AF64A6">
              <w:rPr>
                <w:rFonts w:eastAsiaTheme="minorEastAsia" w:cs="Calibri"/>
                <w:color w:val="000000"/>
                <w:szCs w:val="20"/>
                <w:lang w:eastAsia="en-AU"/>
              </w:rPr>
              <w:t>General government cash deficit(+) or surplus (-)</w:t>
            </w:r>
          </w:p>
        </w:tc>
        <w:tc>
          <w:tcPr>
            <w:tcW w:w="1134"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1 518</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1 467</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20"/>
                <w:lang w:eastAsia="en-AU"/>
              </w:rPr>
            </w:pPr>
            <w:r w:rsidRPr="00AF64A6">
              <w:rPr>
                <w:rFonts w:eastAsiaTheme="minorEastAsia" w:cs="Calibri"/>
                <w:color w:val="000000"/>
                <w:szCs w:val="20"/>
                <w:lang w:eastAsia="en-AU"/>
              </w:rPr>
              <w:t>Public non-financial corporations sector cash deficit(+) or surplus (-)</w:t>
            </w:r>
          </w:p>
        </w:tc>
        <w:tc>
          <w:tcPr>
            <w:tcW w:w="1134"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(4 869)</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(8 637)</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512" w:type="dxa"/>
            <w:tcBorders>
              <w:top w:val="single" w:sz="6" w:space="0" w:color="auto"/>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20"/>
                <w:lang w:eastAsia="en-AU"/>
              </w:rPr>
            </w:pPr>
            <w:r w:rsidRPr="00AF64A6">
              <w:rPr>
                <w:rFonts w:eastAsiaTheme="minorEastAsia" w:cs="Calibri"/>
                <w:color w:val="000000"/>
                <w:szCs w:val="20"/>
                <w:lang w:eastAsia="en-AU"/>
              </w:rPr>
              <w:t>Non-financial public sector cash deficit(+) or surplus(-)</w:t>
            </w:r>
            <w:r w:rsidR="00CE0E2F">
              <w:rPr>
                <w:rFonts w:eastAsiaTheme="minorEastAsia" w:cs="Calibri"/>
                <w:color w:val="000000"/>
                <w:szCs w:val="20"/>
                <w:lang w:eastAsia="en-AU"/>
              </w:rPr>
              <w:t xml:space="preserve"> </w:t>
            </w:r>
            <w:r w:rsidRPr="00AF64A6">
              <w:rPr>
                <w:rFonts w:eastAsiaTheme="minorEastAsia" w:cs="Calibri"/>
                <w:color w:val="000000"/>
                <w:szCs w:val="20"/>
                <w:vertAlign w:val="superscript"/>
                <w:lang w:eastAsia="en-AU"/>
              </w:rPr>
              <w:t>(a)</w:t>
            </w:r>
            <w:r w:rsidRPr="00AF64A6">
              <w:rPr>
                <w:rFonts w:eastAsiaTheme="minorEastAsia" w:cs="Calibri"/>
                <w:color w:val="000000"/>
                <w:szCs w:val="20"/>
                <w:lang w:eastAsia="en-AU"/>
              </w:rPr>
              <w:t xml:space="preserve"> </w:t>
            </w:r>
          </w:p>
        </w:tc>
        <w:tc>
          <w:tcPr>
            <w:tcW w:w="1134" w:type="dxa"/>
            <w:tcBorders>
              <w:top w:val="single" w:sz="6" w:space="0" w:color="auto"/>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(3 369)</w:t>
            </w:r>
          </w:p>
        </w:tc>
        <w:tc>
          <w:tcPr>
            <w:tcW w:w="992" w:type="dxa"/>
            <w:tcBorders>
              <w:top w:val="single" w:sz="6" w:space="0" w:color="auto"/>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(7 168)</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20"/>
                <w:lang w:eastAsia="en-AU"/>
              </w:rPr>
            </w:pPr>
            <w:r w:rsidRPr="00AF64A6">
              <w:rPr>
                <w:rFonts w:eastAsiaTheme="minorEastAsia" w:cs="Calibri"/>
                <w:color w:val="000000"/>
                <w:szCs w:val="20"/>
                <w:lang w:eastAsia="en-AU"/>
              </w:rPr>
              <w:t>Acquisitions under finance leases and similar arrangements</w:t>
            </w:r>
          </w:p>
        </w:tc>
        <w:tc>
          <w:tcPr>
            <w:tcW w:w="1134"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517</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544</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512" w:type="dxa"/>
            <w:tcBorders>
              <w:top w:val="single" w:sz="6" w:space="0" w:color="auto"/>
              <w:left w:val="nil"/>
              <w:bottom w:val="nil"/>
              <w:right w:val="nil"/>
            </w:tcBorders>
          </w:tcPr>
          <w:p w:rsidR="00BB6F1F" w:rsidRPr="00AF64A6" w:rsidRDefault="00BB6F1F" w:rsidP="00AC68FF">
            <w:pPr>
              <w:keepLines w:val="0"/>
              <w:autoSpaceDE w:val="0"/>
              <w:autoSpaceDN w:val="0"/>
              <w:adjustRightInd w:val="0"/>
              <w:rPr>
                <w:rFonts w:eastAsiaTheme="minorEastAsia" w:cs="Calibri"/>
                <w:color w:val="000000"/>
                <w:szCs w:val="20"/>
                <w:lang w:eastAsia="en-AU"/>
              </w:rPr>
            </w:pPr>
            <w:r w:rsidRPr="00AF64A6">
              <w:rPr>
                <w:rFonts w:eastAsiaTheme="minorEastAsia" w:cs="Calibri"/>
                <w:color w:val="000000"/>
                <w:szCs w:val="20"/>
                <w:lang w:eastAsia="en-AU"/>
              </w:rPr>
              <w:t>ABS GFS cash deficit(+) or surplus(-)</w:t>
            </w:r>
          </w:p>
        </w:tc>
        <w:tc>
          <w:tcPr>
            <w:tcW w:w="1134" w:type="dxa"/>
            <w:tcBorders>
              <w:top w:val="single" w:sz="6" w:space="0" w:color="auto"/>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(2 852)</w:t>
            </w:r>
          </w:p>
        </w:tc>
        <w:tc>
          <w:tcPr>
            <w:tcW w:w="992" w:type="dxa"/>
            <w:tcBorders>
              <w:top w:val="single" w:sz="6" w:space="0" w:color="auto"/>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(6 624)</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AF64A6" w:rsidRDefault="00BB6F1F" w:rsidP="00CE0E2F">
            <w:pPr>
              <w:keepLines w:val="0"/>
              <w:autoSpaceDE w:val="0"/>
              <w:autoSpaceDN w:val="0"/>
              <w:adjustRightInd w:val="0"/>
              <w:rPr>
                <w:rFonts w:eastAsiaTheme="minorEastAsia" w:cs="Calibri"/>
                <w:i/>
                <w:iCs/>
                <w:color w:val="000000"/>
                <w:szCs w:val="20"/>
                <w:lang w:eastAsia="en-AU"/>
              </w:rPr>
            </w:pPr>
            <w:r w:rsidRPr="00AF64A6">
              <w:rPr>
                <w:rFonts w:eastAsiaTheme="minorEastAsia" w:cs="Calibri"/>
                <w:i/>
                <w:iCs/>
                <w:color w:val="000000"/>
                <w:szCs w:val="20"/>
                <w:lang w:eastAsia="en-AU"/>
              </w:rPr>
              <w:t>Less Net cash flows from investments in financial assets for policy purposes</w:t>
            </w:r>
            <w:r w:rsidR="00CE0E2F">
              <w:rPr>
                <w:rFonts w:eastAsiaTheme="minorEastAsia" w:cs="Calibri"/>
                <w:i/>
                <w:iCs/>
                <w:color w:val="000000"/>
                <w:szCs w:val="20"/>
                <w:lang w:eastAsia="en-AU"/>
              </w:rPr>
              <w:t xml:space="preserve"> </w:t>
            </w:r>
            <w:r w:rsidRPr="00AF64A6">
              <w:rPr>
                <w:rFonts w:eastAsiaTheme="minorEastAsia" w:cs="Calibri"/>
                <w:i/>
                <w:iCs/>
                <w:color w:val="000000"/>
                <w:szCs w:val="20"/>
                <w:vertAlign w:val="superscript"/>
                <w:lang w:eastAsia="en-AU"/>
              </w:rPr>
              <w:t>(b)</w:t>
            </w:r>
          </w:p>
        </w:tc>
        <w:tc>
          <w:tcPr>
            <w:tcW w:w="1134"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107</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62</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rsidR="00BB6F1F" w:rsidRPr="00AF64A6" w:rsidRDefault="00BB6F1F" w:rsidP="00AC68FF">
            <w:pPr>
              <w:keepLines w:val="0"/>
              <w:autoSpaceDE w:val="0"/>
              <w:autoSpaceDN w:val="0"/>
              <w:adjustRightInd w:val="0"/>
              <w:rPr>
                <w:rFonts w:eastAsiaTheme="minorEastAsia" w:cs="Calibri"/>
                <w:i/>
                <w:iCs/>
                <w:color w:val="000000"/>
                <w:szCs w:val="20"/>
                <w:lang w:eastAsia="en-AU"/>
              </w:rPr>
            </w:pPr>
            <w:r w:rsidRPr="00AF64A6">
              <w:rPr>
                <w:rFonts w:eastAsiaTheme="minorEastAsia" w:cs="Calibri"/>
                <w:i/>
                <w:iCs/>
                <w:color w:val="000000"/>
                <w:szCs w:val="20"/>
                <w:lang w:eastAsia="en-AU"/>
              </w:rPr>
              <w:t>Plus memorandum items</w:t>
            </w:r>
            <w:r w:rsidR="00CE0E2F">
              <w:rPr>
                <w:rFonts w:eastAsiaTheme="minorEastAsia" w:cs="Calibri"/>
                <w:i/>
                <w:iCs/>
                <w:color w:val="000000"/>
                <w:szCs w:val="20"/>
                <w:lang w:eastAsia="en-AU"/>
              </w:rPr>
              <w:t xml:space="preserve"> </w:t>
            </w:r>
            <w:r w:rsidRPr="00AF64A6">
              <w:rPr>
                <w:rFonts w:eastAsiaTheme="minorEastAsia" w:cs="Calibri"/>
                <w:i/>
                <w:iCs/>
                <w:color w:val="000000"/>
                <w:szCs w:val="20"/>
                <w:vertAlign w:val="superscript"/>
                <w:lang w:eastAsia="en-AU"/>
              </w:rPr>
              <w:t>(c)</w:t>
            </w:r>
          </w:p>
        </w:tc>
        <w:tc>
          <w:tcPr>
            <w:tcW w:w="1134"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494</w:t>
            </w:r>
          </w:p>
        </w:tc>
        <w:tc>
          <w:tcPr>
            <w:tcW w:w="992" w:type="dxa"/>
            <w:tcBorders>
              <w:top w:val="nil"/>
              <w:left w:val="nil"/>
              <w:bottom w:val="nil"/>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340</w:t>
            </w:r>
          </w:p>
        </w:tc>
      </w:tr>
      <w:tr w:rsidR="00BB6F1F" w:rsidRPr="00AF64A6" w:rsidTr="00AC68FF">
        <w:tc>
          <w:tcPr>
            <w:cnfStyle w:val="001000000000" w:firstRow="0" w:lastRow="0" w:firstColumn="1" w:lastColumn="0" w:oddVBand="0" w:evenVBand="0" w:oddHBand="0" w:evenHBand="0" w:firstRowFirstColumn="0" w:firstRowLastColumn="0" w:lastRowFirstColumn="0" w:lastRowLastColumn="0"/>
            <w:tcW w:w="7512" w:type="dxa"/>
            <w:tcBorders>
              <w:top w:val="single" w:sz="6" w:space="0" w:color="auto"/>
              <w:left w:val="nil"/>
              <w:bottom w:val="single" w:sz="6" w:space="0" w:color="auto"/>
              <w:right w:val="nil"/>
            </w:tcBorders>
          </w:tcPr>
          <w:p w:rsidR="00BB6F1F" w:rsidRPr="00AF64A6" w:rsidRDefault="00BB6F1F" w:rsidP="00AC68FF">
            <w:pPr>
              <w:keepLines w:val="0"/>
              <w:autoSpaceDE w:val="0"/>
              <w:autoSpaceDN w:val="0"/>
              <w:adjustRightInd w:val="0"/>
              <w:rPr>
                <w:rFonts w:eastAsiaTheme="minorEastAsia" w:cs="Calibri"/>
                <w:b/>
                <w:bCs/>
                <w:color w:val="000000"/>
                <w:szCs w:val="20"/>
                <w:lang w:eastAsia="en-AU"/>
              </w:rPr>
            </w:pPr>
            <w:r w:rsidRPr="00AF64A6">
              <w:rPr>
                <w:rFonts w:eastAsiaTheme="minorEastAsia" w:cs="Calibri"/>
                <w:b/>
                <w:bCs/>
                <w:color w:val="000000"/>
                <w:szCs w:val="20"/>
                <w:lang w:eastAsia="en-AU"/>
              </w:rPr>
              <w:t>Loan Council Allocation</w:t>
            </w:r>
          </w:p>
        </w:tc>
        <w:tc>
          <w:tcPr>
            <w:tcW w:w="1134" w:type="dxa"/>
            <w:tcBorders>
              <w:top w:val="single" w:sz="6" w:space="0" w:color="auto"/>
              <w:left w:val="nil"/>
              <w:bottom w:val="single" w:sz="6" w:space="0" w:color="auto"/>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AF64A6">
              <w:rPr>
                <w:rFonts w:eastAsiaTheme="minorEastAsia" w:cs="Calibri"/>
                <w:b/>
                <w:bCs/>
                <w:color w:val="000000"/>
                <w:szCs w:val="20"/>
                <w:lang w:eastAsia="en-AU"/>
              </w:rPr>
              <w:t>(2 465)</w:t>
            </w:r>
          </w:p>
        </w:tc>
        <w:tc>
          <w:tcPr>
            <w:tcW w:w="992" w:type="dxa"/>
            <w:tcBorders>
              <w:top w:val="single" w:sz="6" w:space="0" w:color="auto"/>
              <w:left w:val="nil"/>
              <w:bottom w:val="single" w:sz="6" w:space="0" w:color="auto"/>
              <w:right w:val="nil"/>
            </w:tcBorders>
          </w:tcPr>
          <w:p w:rsidR="00BB6F1F" w:rsidRPr="00AF64A6"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AF64A6">
              <w:rPr>
                <w:rFonts w:eastAsiaTheme="minorEastAsia" w:cs="Calibri"/>
                <w:b/>
                <w:bCs/>
                <w:color w:val="000000"/>
                <w:szCs w:val="20"/>
                <w:lang w:eastAsia="en-AU"/>
              </w:rPr>
              <w:t>(6 346)</w:t>
            </w:r>
          </w:p>
        </w:tc>
      </w:tr>
      <w:tr w:rsidR="00BB6F1F" w:rsidRPr="00AF64A6"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2" w:type="dxa"/>
            <w:tcBorders>
              <w:top w:val="single" w:sz="6" w:space="0" w:color="auto"/>
              <w:bottom w:val="single" w:sz="12" w:space="0" w:color="auto"/>
            </w:tcBorders>
          </w:tcPr>
          <w:p w:rsidR="00BB6F1F" w:rsidRPr="00AF64A6" w:rsidRDefault="00BB6F1F" w:rsidP="00AC68FF">
            <w:pPr>
              <w:keepLines w:val="0"/>
              <w:autoSpaceDE w:val="0"/>
              <w:autoSpaceDN w:val="0"/>
              <w:adjustRightInd w:val="0"/>
              <w:rPr>
                <w:rFonts w:eastAsiaTheme="minorEastAsia" w:cs="Calibri"/>
                <w:color w:val="000000"/>
                <w:szCs w:val="20"/>
                <w:lang w:eastAsia="en-AU"/>
              </w:rPr>
            </w:pPr>
            <w:r w:rsidRPr="00AF64A6">
              <w:rPr>
                <w:rFonts w:eastAsiaTheme="minorEastAsia" w:cs="Calibri"/>
                <w:color w:val="000000"/>
                <w:szCs w:val="20"/>
                <w:lang w:eastAsia="en-AU"/>
              </w:rPr>
              <w:t>Tolerance limit (2 per cent of non-financial public sector cash receipts from operating activities)</w:t>
            </w:r>
            <w:r w:rsidR="00CE0E2F">
              <w:rPr>
                <w:rFonts w:eastAsiaTheme="minorEastAsia" w:cs="Calibri"/>
                <w:color w:val="000000"/>
                <w:szCs w:val="20"/>
                <w:lang w:eastAsia="en-AU"/>
              </w:rPr>
              <w:t xml:space="preserve"> </w:t>
            </w:r>
            <w:r w:rsidRPr="00AF64A6">
              <w:rPr>
                <w:rFonts w:eastAsiaTheme="minorEastAsia" w:cs="Calibri"/>
                <w:color w:val="000000"/>
                <w:szCs w:val="20"/>
                <w:vertAlign w:val="superscript"/>
                <w:lang w:eastAsia="en-AU"/>
              </w:rPr>
              <w:t>(d)</w:t>
            </w:r>
          </w:p>
        </w:tc>
        <w:tc>
          <w:tcPr>
            <w:tcW w:w="1134" w:type="dxa"/>
            <w:tcBorders>
              <w:top w:val="single" w:sz="6" w:space="0" w:color="auto"/>
              <w:bottom w:val="single" w:sz="12" w:space="0" w:color="auto"/>
            </w:tcBorders>
          </w:tcPr>
          <w:p w:rsidR="00BB6F1F" w:rsidRPr="00AF64A6"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1 385</w:t>
            </w:r>
          </w:p>
        </w:tc>
        <w:tc>
          <w:tcPr>
            <w:tcW w:w="992" w:type="dxa"/>
            <w:tcBorders>
              <w:top w:val="single" w:sz="6" w:space="0" w:color="auto"/>
              <w:bottom w:val="single" w:sz="12" w:space="0" w:color="auto"/>
            </w:tcBorders>
          </w:tcPr>
          <w:p w:rsidR="00BB6F1F" w:rsidRPr="00AF64A6"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F64A6">
              <w:rPr>
                <w:rFonts w:eastAsiaTheme="minorEastAsia" w:cs="Calibri"/>
                <w:color w:val="000000"/>
                <w:szCs w:val="20"/>
                <w:lang w:eastAsia="en-AU"/>
              </w:rPr>
              <w:t>1 385</w:t>
            </w:r>
          </w:p>
        </w:tc>
      </w:tr>
    </w:tbl>
    <w:p w:rsidR="00BB6F1F" w:rsidRDefault="00BB6F1F" w:rsidP="00AC68FF">
      <w:pPr>
        <w:pStyle w:val="Source"/>
      </w:pPr>
      <w:r>
        <w:t>Source: Department of Treasury and Finance</w:t>
      </w:r>
    </w:p>
    <w:p w:rsidR="00BB6F1F" w:rsidRDefault="00BB6F1F" w:rsidP="00AC68FF">
      <w:pPr>
        <w:pStyle w:val="Note"/>
      </w:pPr>
      <w:r>
        <w:t>Notes:</w:t>
      </w:r>
    </w:p>
    <w:p w:rsidR="00BB6F1F" w:rsidRDefault="00BB6F1F" w:rsidP="00AC68FF">
      <w:pPr>
        <w:pStyle w:val="Note"/>
      </w:pPr>
      <w:r>
        <w:t>(a)</w:t>
      </w:r>
      <w:r>
        <w:tab/>
        <w:t>The sum of the deficit of the general government and public non-financial corporation sector does not directly equal the non-financial public sector cash deficit due to inter</w:t>
      </w:r>
      <w:r>
        <w:noBreakHyphen/>
        <w:t>sectoral transfers, which are netted out in the calculation of the non-financial public sector figure. The non-financial public sector cash deficit excludes finance lease acquisitions.</w:t>
      </w:r>
    </w:p>
    <w:p w:rsidR="00BB6F1F" w:rsidRDefault="00BB6F1F" w:rsidP="00AC68FF">
      <w:pPr>
        <w:pStyle w:val="Note"/>
      </w:pPr>
      <w:r>
        <w:t>(b)</w:t>
      </w:r>
      <w:r>
        <w:tab/>
        <w:t>The ABS GFS cash deficit is adjusted to include in the LCA the impact of net cash flows from investments in financial assets for policy purposes.</w:t>
      </w:r>
    </w:p>
    <w:p w:rsidR="00BB6F1F" w:rsidRDefault="00BB6F1F" w:rsidP="00AC68FF">
      <w:pPr>
        <w:pStyle w:val="Note"/>
      </w:pPr>
      <w:r>
        <w:t>(c)</w:t>
      </w:r>
      <w:r>
        <w:tab/>
        <w:t>The ABS GFS cash deficit is adjusted to include in the LCA the impact of memorandum items, which include certain transactions that have many of the characteristics of public sector borrowings but do not constitute formal borrowings (e.g. operating leases). They also include, where appropriate, transactions that the Loan Council has agreed should not be included in the LCA (e.g. the over/under funding of employers’ emerging costs under public sector superannuation schemes, or borrowings by entities such as statutory marketing authorities).</w:t>
      </w:r>
    </w:p>
    <w:p w:rsidR="00BB6F1F" w:rsidRDefault="00BB6F1F" w:rsidP="00EA18A1">
      <w:pPr>
        <w:pStyle w:val="Note"/>
      </w:pPr>
      <w:r>
        <w:t>(d)</w:t>
      </w:r>
      <w:r>
        <w:tab/>
        <w:t xml:space="preserve">A tolerance limit equal to 2 per cent of total non-financial public sector cash receipt from operating activities applies to the movement between a jurisdiction’s LCA budget estimate and LCA outcome (calculated using estimates in </w:t>
      </w:r>
      <w:r w:rsidRPr="006E37C4">
        <w:t xml:space="preserve">the </w:t>
      </w:r>
      <w:r w:rsidRPr="004D652D">
        <w:rPr>
          <w:i w:val="0"/>
        </w:rPr>
        <w:t>2016-17 Budget</w:t>
      </w:r>
      <w:r w:rsidRPr="006E37C4">
        <w:t xml:space="preserve">). The tolerance limit applying to the movement between Victoria’s </w:t>
      </w:r>
      <w:r>
        <w:t>2016-17</w:t>
      </w:r>
      <w:r w:rsidRPr="006E37C4">
        <w:t xml:space="preserve"> LCA budget estimate and its LCA outcome is $</w:t>
      </w:r>
      <w:r>
        <w:t>1 385</w:t>
      </w:r>
      <w:r w:rsidRPr="006E37C4">
        <w:t xml:space="preserve"> million (2 per cent of </w:t>
      </w:r>
      <w:r>
        <w:t>$69 243</w:t>
      </w:r>
      <w:r w:rsidRPr="006E37C4">
        <w:t xml:space="preserve"> million).</w:t>
      </w:r>
    </w:p>
    <w:p w:rsidR="00EA18A1" w:rsidRDefault="00EA18A1" w:rsidP="00EA18A1">
      <w:pPr>
        <w:pStyle w:val="Note"/>
      </w:pPr>
    </w:p>
    <w:p w:rsidR="00EA18A1" w:rsidRDefault="00EA18A1" w:rsidP="00EA18A1">
      <w:pPr>
        <w:pStyle w:val="Note"/>
      </w:pPr>
    </w:p>
    <w:p w:rsidR="00BB6F1F" w:rsidRDefault="00BB6F1F" w:rsidP="00EA18A1">
      <w:pPr>
        <w:sectPr w:rsidR="00BB6F1F" w:rsidSect="00AC68FF">
          <w:type w:val="continuous"/>
          <w:pgSz w:w="11907" w:h="16839" w:code="9"/>
          <w:pgMar w:top="1134" w:right="1134" w:bottom="1134" w:left="1134" w:header="624" w:footer="567" w:gutter="0"/>
          <w:cols w:sep="1" w:space="567"/>
          <w:docGrid w:linePitch="360"/>
        </w:sectPr>
      </w:pPr>
    </w:p>
    <w:p w:rsidR="00BB6F1F" w:rsidRDefault="00BB6F1F" w:rsidP="00EA18A1">
      <w:pPr>
        <w:spacing w:before="0"/>
      </w:pPr>
      <w:r>
        <w:lastRenderedPageBreak/>
        <w:t xml:space="preserve">As part of the Loan Council arrangements, the Council has agreed that if at any time a state or territory find that it is likely to exceed its tolerance limit, in either direction, it is required to provide an explanation to the Council and, in line with the emphasis of increased transparency, to make the explanation public. Victoria’s 2016-17 LCA </w:t>
      </w:r>
      <w:r w:rsidRPr="000409EE">
        <w:t xml:space="preserve">outcome </w:t>
      </w:r>
      <w:r w:rsidRPr="0066047B">
        <w:t>(a surplus of $6</w:t>
      </w:r>
      <w:r>
        <w:t>.3</w:t>
      </w:r>
      <w:r w:rsidRPr="0066047B">
        <w:t xml:space="preserve"> billion) is </w:t>
      </w:r>
      <w:r>
        <w:t>$3.9</w:t>
      </w:r>
      <w:r w:rsidRPr="0066047B">
        <w:t xml:space="preserve"> billion higher than the budgeted LCA and exceeds the 2016-17 tolerance</w:t>
      </w:r>
      <w:r w:rsidRPr="000409EE">
        <w:t xml:space="preserve"> limit</w:t>
      </w:r>
      <w:r w:rsidRPr="00451BFE">
        <w:t xml:space="preserve">. This is primarily due to </w:t>
      </w:r>
      <w:r>
        <w:t>higher than originally forecast proceeds from the medium-term lease over the Port of Melbourne operations.</w:t>
      </w:r>
    </w:p>
    <w:p w:rsidR="00EA18A1" w:rsidRDefault="00EA18A1">
      <w:pPr>
        <w:keepLines w:val="0"/>
        <w:rPr>
          <w:rFonts w:asciiTheme="majorHAnsi" w:eastAsiaTheme="majorEastAsia" w:hAnsiTheme="majorHAnsi" w:cstheme="majorBidi"/>
          <w:b/>
          <w:bCs/>
          <w:caps/>
          <w:spacing w:val="-2"/>
          <w:sz w:val="26"/>
          <w:szCs w:val="28"/>
        </w:rPr>
      </w:pPr>
      <w:r>
        <w:br w:type="page"/>
      </w:r>
    </w:p>
    <w:p w:rsidR="00BB6F1F" w:rsidRDefault="00BB6F1F" w:rsidP="00EA18A1">
      <w:pPr>
        <w:pStyle w:val="Heading10"/>
      </w:pPr>
      <w:r>
        <w:lastRenderedPageBreak/>
        <w:t>NEW INFRASTRUCTURE PROJECTS WITH PRIVATE SECTOR INVOLVEMENT</w:t>
      </w:r>
    </w:p>
    <w:p w:rsidR="00BB6F1F" w:rsidRPr="00D57192" w:rsidRDefault="00BB6F1F" w:rsidP="00EA18A1">
      <w:r w:rsidRPr="00D57192">
        <w:t>In the interest of transparency, the State is required to disclose the details of new infrastructure projects with private sector involvement that are expected to be contracted during the LCA year, and to report the full contingent exposure, if any. Exposure is to be measured by the Government</w:t>
      </w:r>
      <w:r>
        <w:t>’</w:t>
      </w:r>
      <w:r w:rsidRPr="00D57192">
        <w:t xml:space="preserve">s termination liabilities in a case of private sector default and disclosed as a footnote to, rather than a component of, the LCA. The amount payable will not exceed the fair market value of the project (which is usually calculated by an independent </w:t>
      </w:r>
      <w:proofErr w:type="spellStart"/>
      <w:r w:rsidRPr="00D57192">
        <w:t>valuer</w:t>
      </w:r>
      <w:proofErr w:type="spellEnd"/>
      <w:r w:rsidRPr="00D57192">
        <w:t>) less any costs incurred by the Government as a result of the default.</w:t>
      </w:r>
    </w:p>
    <w:p w:rsidR="00EA18A1" w:rsidRDefault="00BB6F1F" w:rsidP="00EA18A1">
      <w:r w:rsidRPr="00D57192">
        <w:t xml:space="preserve">Listed below are details of the public private partnership </w:t>
      </w:r>
      <w:r>
        <w:t xml:space="preserve">(PPP) </w:t>
      </w:r>
      <w:r w:rsidRPr="00D57192">
        <w:t xml:space="preserve">projects that </w:t>
      </w:r>
      <w:r>
        <w:t xml:space="preserve">were contracted in the 2016-17 </w:t>
      </w:r>
      <w:r w:rsidRPr="00D57192">
        <w:t xml:space="preserve">financial year. </w:t>
      </w:r>
    </w:p>
    <w:p w:rsidR="00BB6F1F" w:rsidRPr="00F94418" w:rsidRDefault="00BB6F1F" w:rsidP="00EA18A1">
      <w:pPr>
        <w:rPr>
          <w:rFonts w:ascii="Calibri" w:eastAsia="Garamond" w:hAnsi="Calibri" w:cs="Times New Roman"/>
          <w:b/>
          <w:kern w:val="28"/>
          <w:sz w:val="26"/>
          <w:lang w:eastAsia="en-AU"/>
        </w:rPr>
      </w:pPr>
      <w:r w:rsidRPr="00F94418">
        <w:rPr>
          <w:rFonts w:ascii="Calibri" w:eastAsia="Garamond" w:hAnsi="Calibri" w:cs="Times New Roman"/>
          <w:b/>
          <w:kern w:val="28"/>
          <w:sz w:val="26"/>
          <w:lang w:eastAsia="en-AU"/>
        </w:rPr>
        <w:t>High Capacity Metro Trains</w:t>
      </w:r>
    </w:p>
    <w:p w:rsidR="00EA18A1" w:rsidRDefault="00BB6F1F" w:rsidP="00EA18A1">
      <w:r>
        <w:t xml:space="preserve">The High Capacity Metro Trains (HCMT) project was procured as an availability PPP project. The contract with Evolution Rail was executed in November 2016. Under the contract, Evolution Rail is responsible for the design, financing, manufacture </w:t>
      </w:r>
    </w:p>
    <w:p w:rsidR="00EA18A1" w:rsidRDefault="00EA18A1" w:rsidP="00EA18A1">
      <w:pPr>
        <w:pStyle w:val="Heading10"/>
        <w:pBdr>
          <w:bottom w:val="none" w:sz="0" w:space="0" w:color="auto"/>
        </w:pBdr>
        <w:spacing w:before="0"/>
      </w:pPr>
      <w:r>
        <w:br w:type="column"/>
      </w:r>
      <w:r>
        <w:lastRenderedPageBreak/>
        <w:br/>
      </w:r>
    </w:p>
    <w:p w:rsidR="00BB6F1F" w:rsidRDefault="00BB6F1F" w:rsidP="00EA18A1">
      <w:pPr>
        <w:spacing w:before="180"/>
      </w:pPr>
      <w:r>
        <w:t>and commissioning of 65 new 7-car HCMTs, the Pakenham East Depot (including a train maintenance facility, two simulators and a stabling yard), and the Calder Park Light Service Facility. Evolution Rail will also be responsible for the maintenance activities over the maintenance phase of the contract (from Provisional Acceptance of the first HCMT until 30 years post</w:t>
      </w:r>
      <w:r>
        <w:noBreakHyphen/>
        <w:t>Provisional Acceptance of the fleet). The trains will be progressively delivered into service from 2019 until mid-2023, providing a dedicated fleet for the Cranbourne Pakenham line.</w:t>
      </w:r>
    </w:p>
    <w:p w:rsidR="00BB6F1F" w:rsidRDefault="00BB6F1F" w:rsidP="00EA18A1">
      <w:r>
        <w:t>Once opened, the trains will service the Metro Tunnel, and run through to Sunbury. The Depot and the Light Service Facility will provide the flexibility to cater for the future rolling stock maintenance needs of the network. Associated infrastructure upgrades on the Cranbourne Pakenham and Sunbury lines will be separately delivered by the State.</w:t>
      </w:r>
    </w:p>
    <w:p w:rsidR="00BB6F1F" w:rsidRPr="00F94418" w:rsidRDefault="00BB6F1F" w:rsidP="00EA18A1">
      <w:pPr>
        <w:rPr>
          <w:lang w:eastAsia="en-AU"/>
        </w:rPr>
      </w:pPr>
      <w:r w:rsidRPr="00F94418">
        <w:rPr>
          <w:lang w:eastAsia="en-AU"/>
        </w:rPr>
        <w:t xml:space="preserve">There are no other Partnerships Victoria contracts greater than $5 million that </w:t>
      </w:r>
      <w:r>
        <w:rPr>
          <w:lang w:eastAsia="en-AU"/>
        </w:rPr>
        <w:t>were</w:t>
      </w:r>
      <w:r w:rsidRPr="00F94418">
        <w:rPr>
          <w:lang w:eastAsia="en-AU"/>
        </w:rPr>
        <w:t xml:space="preserve"> signed during the 2016-17 financial year.</w:t>
      </w:r>
    </w:p>
    <w:p w:rsidR="00EA18A1" w:rsidRDefault="00EA18A1">
      <w:pPr>
        <w:keepLines w:val="0"/>
      </w:pPr>
      <w:r>
        <w:br w:type="page"/>
      </w:r>
    </w:p>
    <w:p w:rsidR="00BB6F1F" w:rsidRDefault="00BB6F1F" w:rsidP="00AC68FF"/>
    <w:p w:rsidR="00EA18A1" w:rsidRDefault="00EA18A1" w:rsidP="00AC68FF">
      <w:pPr>
        <w:sectPr w:rsidR="00EA18A1" w:rsidSect="00AC68FF">
          <w:type w:val="continuous"/>
          <w:pgSz w:w="11907" w:h="16839" w:code="9"/>
          <w:pgMar w:top="1134" w:right="1134" w:bottom="1134" w:left="1134" w:header="624" w:footer="567" w:gutter="0"/>
          <w:cols w:num="2" w:space="567"/>
          <w:docGrid w:linePitch="360"/>
        </w:sectPr>
      </w:pPr>
    </w:p>
    <w:p w:rsidR="00BB6F1F" w:rsidRDefault="00BB6F1F" w:rsidP="000C43CD">
      <w:pPr>
        <w:pStyle w:val="Chapterheading"/>
      </w:pPr>
      <w:bookmarkStart w:id="107" w:name="_Toc492985882"/>
      <w:r>
        <w:lastRenderedPageBreak/>
        <w:t>Appendix A – General government sector quarterly financial report</w:t>
      </w:r>
      <w:bookmarkEnd w:id="107"/>
    </w:p>
    <w:p w:rsidR="00BB6F1F" w:rsidRPr="00013E85" w:rsidRDefault="00BB6F1F" w:rsidP="00AC68FF">
      <w:pPr>
        <w:pStyle w:val="TableHeading"/>
        <w:rPr>
          <w:bCs/>
          <w:lang w:val="en-US"/>
        </w:rPr>
      </w:pPr>
      <w:r>
        <w:t>Table A.1:</w:t>
      </w:r>
      <w:r>
        <w:tab/>
        <w:t>Operating statement for the past five quarters</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102"/>
        <w:gridCol w:w="907"/>
        <w:gridCol w:w="907"/>
        <w:gridCol w:w="907"/>
        <w:gridCol w:w="907"/>
        <w:gridCol w:w="907"/>
      </w:tblGrid>
      <w:tr w:rsidR="00BB6F1F" w:rsidRPr="00013E85"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000000" w:fill="auto"/>
          </w:tcPr>
          <w:p w:rsidR="00BB6F1F" w:rsidRPr="00013E85" w:rsidRDefault="00BB6F1F" w:rsidP="00AC68FF">
            <w:pPr>
              <w:autoSpaceDE w:val="0"/>
              <w:autoSpaceDN w:val="0"/>
              <w:adjustRightInd w:val="0"/>
              <w:rPr>
                <w:rFonts w:eastAsiaTheme="minorEastAsia" w:cs="Calibri"/>
                <w:iCs/>
                <w:color w:val="FFFFFF"/>
                <w:lang w:eastAsia="en-AU"/>
              </w:rPr>
            </w:pPr>
            <w:r w:rsidRPr="00013E85">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013E85">
              <w:rPr>
                <w:rFonts w:eastAsiaTheme="minorEastAsia" w:cs="Calibri"/>
                <w:iCs/>
                <w:color w:val="FFFFFF"/>
                <w:szCs w:val="16"/>
                <w:lang w:eastAsia="en-AU"/>
              </w:rPr>
              <w:t>2015-16</w:t>
            </w:r>
          </w:p>
        </w:tc>
        <w:tc>
          <w:tcPr>
            <w:tcW w:w="3628" w:type="dxa"/>
            <w:gridSpan w:val="4"/>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013E85">
              <w:rPr>
                <w:rFonts w:eastAsiaTheme="minorEastAsia" w:cs="Calibri"/>
                <w:iCs/>
                <w:color w:val="FFFFFF"/>
                <w:szCs w:val="16"/>
                <w:lang w:eastAsia="en-AU"/>
              </w:rPr>
              <w:t>2016-17</w:t>
            </w:r>
          </w:p>
        </w:tc>
      </w:tr>
      <w:tr w:rsidR="00BB6F1F" w:rsidRPr="00013E85"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rPr>
                <w:rFonts w:eastAsiaTheme="minorEastAsia" w:cs="Calibri"/>
                <w:iCs/>
                <w:color w:val="FFFFFF"/>
                <w:lang w:eastAsia="en-AU"/>
              </w:rPr>
            </w:pPr>
            <w:r w:rsidRPr="00013E85">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013E85">
              <w:rPr>
                <w:rFonts w:eastAsiaTheme="minorEastAsia" w:cs="Calibri"/>
                <w:iCs/>
                <w:color w:val="FFFFFF"/>
                <w:szCs w:val="18"/>
                <w:lang w:eastAsia="en-AU"/>
              </w:rPr>
              <w:t>Jun</w:t>
            </w:r>
          </w:p>
        </w:tc>
        <w:tc>
          <w:tcPr>
            <w:tcW w:w="907" w:type="dxa"/>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013E85">
              <w:rPr>
                <w:rFonts w:eastAsiaTheme="minorEastAsia" w:cs="Calibri"/>
                <w:iCs/>
                <w:color w:val="FFFFFF"/>
                <w:szCs w:val="18"/>
                <w:lang w:eastAsia="en-AU"/>
              </w:rPr>
              <w:t>Sep</w:t>
            </w:r>
          </w:p>
        </w:tc>
        <w:tc>
          <w:tcPr>
            <w:tcW w:w="907" w:type="dxa"/>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013E85">
              <w:rPr>
                <w:rFonts w:eastAsiaTheme="minorEastAsia" w:cs="Calibri"/>
                <w:iCs/>
                <w:color w:val="FFFFFF"/>
                <w:szCs w:val="18"/>
                <w:lang w:eastAsia="en-AU"/>
              </w:rPr>
              <w:t>Dec</w:t>
            </w:r>
          </w:p>
        </w:tc>
        <w:tc>
          <w:tcPr>
            <w:tcW w:w="907" w:type="dxa"/>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013E85">
              <w:rPr>
                <w:rFonts w:eastAsiaTheme="minorEastAsia" w:cs="Calibri"/>
                <w:iCs/>
                <w:color w:val="FFFFFF"/>
                <w:szCs w:val="18"/>
                <w:lang w:eastAsia="en-AU"/>
              </w:rPr>
              <w:t>Mar</w:t>
            </w:r>
          </w:p>
        </w:tc>
        <w:tc>
          <w:tcPr>
            <w:tcW w:w="907" w:type="dxa"/>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013E85">
              <w:rPr>
                <w:rFonts w:eastAsiaTheme="minorEastAsia" w:cs="Calibri"/>
                <w:iCs/>
                <w:color w:val="FFFFFF"/>
                <w:szCs w:val="18"/>
                <w:lang w:eastAsia="en-AU"/>
              </w:rPr>
              <w:t xml:space="preserve">Jun </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b/>
                <w:bCs/>
                <w:color w:val="000000"/>
                <w:szCs w:val="18"/>
                <w:lang w:eastAsia="en-AU"/>
              </w:rPr>
            </w:pPr>
            <w:r w:rsidRPr="00013E85">
              <w:rPr>
                <w:rFonts w:eastAsiaTheme="minorEastAsia" w:cs="Calibri"/>
                <w:b/>
                <w:bCs/>
                <w:color w:val="000000"/>
                <w:szCs w:val="18"/>
                <w:lang w:eastAsia="en-AU"/>
              </w:rPr>
              <w:t>Revenue from transactions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8"/>
                <w:lang w:eastAsia="en-AU"/>
              </w:rPr>
            </w:pPr>
            <w:r w:rsidRPr="00013E85">
              <w:rPr>
                <w:rFonts w:eastAsiaTheme="minorEastAsia" w:cs="Calibri"/>
                <w:color w:val="000000"/>
                <w:szCs w:val="18"/>
                <w:lang w:eastAsia="en-AU"/>
              </w:rPr>
              <w:t>Taxation revenue</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4 353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5 265</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5 397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6 880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4 730</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8"/>
                <w:lang w:eastAsia="en-AU"/>
              </w:rPr>
            </w:pPr>
            <w:r w:rsidRPr="00013E85">
              <w:rPr>
                <w:rFonts w:eastAsiaTheme="minorEastAsia" w:cs="Calibri"/>
                <w:color w:val="000000"/>
                <w:szCs w:val="18"/>
                <w:lang w:eastAsia="en-AU"/>
              </w:rPr>
              <w:t>Interest revenue</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258</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8"/>
                <w:lang w:eastAsia="en-AU"/>
              </w:rPr>
            </w:pPr>
            <w:r w:rsidRPr="00013E85">
              <w:rPr>
                <w:rFonts w:eastAsiaTheme="minorEastAsia" w:cs="Calibri"/>
                <w:color w:val="000000"/>
                <w:szCs w:val="18"/>
                <w:lang w:eastAsia="en-AU"/>
              </w:rPr>
              <w:t>Dividends, income tax equivalent and rate equivalent revenue</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360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164</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8"/>
                <w:lang w:eastAsia="en-AU"/>
              </w:rPr>
            </w:pPr>
            <w:r w:rsidRPr="00013E85">
              <w:rPr>
                <w:rFonts w:eastAsiaTheme="minorEastAsia" w:cs="Calibri"/>
                <w:color w:val="000000"/>
                <w:szCs w:val="18"/>
                <w:lang w:eastAsia="en-AU"/>
              </w:rPr>
              <w:t>Sales of goods and services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1 879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1 672</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1 744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1 736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1 786</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8"/>
                <w:lang w:eastAsia="en-AU"/>
              </w:rPr>
            </w:pPr>
            <w:r w:rsidRPr="00013E85">
              <w:rPr>
                <w:rFonts w:eastAsiaTheme="minorEastAsia" w:cs="Calibri"/>
                <w:color w:val="000000"/>
                <w:szCs w:val="18"/>
                <w:lang w:eastAsia="en-AU"/>
              </w:rPr>
              <w:t>Grant revenue</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6 227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6 699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6 620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7 556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6 667</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rPr>
                <w:rFonts w:eastAsiaTheme="minorEastAsia" w:cs="Calibri"/>
                <w:color w:val="000000"/>
                <w:szCs w:val="18"/>
                <w:lang w:eastAsia="en-AU"/>
              </w:rPr>
            </w:pPr>
            <w:r w:rsidRPr="00013E85">
              <w:rPr>
                <w:rFonts w:eastAsiaTheme="minorEastAsia" w:cs="Calibri"/>
                <w:color w:val="000000"/>
                <w:szCs w:val="18"/>
                <w:lang w:eastAsia="en-AU"/>
              </w:rPr>
              <w:t>Other revenue</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892</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510</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779</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570</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786</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b/>
                <w:bCs/>
                <w:color w:val="000000"/>
                <w:szCs w:val="18"/>
                <w:lang w:eastAsia="en-AU"/>
              </w:rPr>
            </w:pPr>
            <w:r w:rsidRPr="00013E85">
              <w:rPr>
                <w:rFonts w:eastAsiaTheme="minorEastAsia" w:cs="Calibri"/>
                <w:b/>
                <w:bCs/>
                <w:color w:val="000000"/>
                <w:szCs w:val="18"/>
                <w:lang w:eastAsia="en-AU"/>
              </w:rPr>
              <w:t>Total revenue from transactions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13 847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14 391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15 107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17 029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14 391</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b/>
                <w:bCs/>
                <w:color w:val="000000"/>
                <w:szCs w:val="18"/>
                <w:lang w:eastAsia="en-AU"/>
              </w:rPr>
            </w:pPr>
            <w:r w:rsidRPr="00013E85">
              <w:rPr>
                <w:rFonts w:eastAsiaTheme="minorEastAsia" w:cs="Calibri"/>
                <w:b/>
                <w:bCs/>
                <w:color w:val="000000"/>
                <w:szCs w:val="18"/>
                <w:lang w:eastAsia="en-AU"/>
              </w:rPr>
              <w:t>Expenses from transactions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8"/>
                <w:lang w:eastAsia="en-AU"/>
              </w:rPr>
            </w:pPr>
            <w:r w:rsidRPr="00013E85">
              <w:rPr>
                <w:rFonts w:eastAsiaTheme="minorEastAsia" w:cs="Calibri"/>
                <w:color w:val="000000"/>
                <w:szCs w:val="18"/>
                <w:lang w:eastAsia="en-AU"/>
              </w:rPr>
              <w:t>Employee expenses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5 367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5 179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5 257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5 249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5 812</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8"/>
                <w:lang w:eastAsia="en-AU"/>
              </w:rPr>
            </w:pPr>
            <w:r w:rsidRPr="00013E85">
              <w:rPr>
                <w:rFonts w:eastAsiaTheme="minorEastAsia" w:cs="Calibri"/>
                <w:color w:val="000000"/>
                <w:szCs w:val="18"/>
                <w:lang w:eastAsia="en-AU"/>
              </w:rPr>
              <w:t>Net superannuation interest expense</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218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171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172</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8"/>
                <w:lang w:eastAsia="en-AU"/>
              </w:rPr>
            </w:pPr>
            <w:r w:rsidRPr="00013E85">
              <w:rPr>
                <w:rFonts w:eastAsiaTheme="minorEastAsia" w:cs="Calibri"/>
                <w:color w:val="000000"/>
                <w:szCs w:val="18"/>
                <w:lang w:eastAsia="en-AU"/>
              </w:rPr>
              <w:t>Other superannuation</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488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552</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596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581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603</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8"/>
                <w:lang w:eastAsia="en-AU"/>
              </w:rPr>
            </w:pPr>
            <w:r w:rsidRPr="00013E85">
              <w:rPr>
                <w:rFonts w:eastAsiaTheme="minorEastAsia" w:cs="Calibri"/>
                <w:color w:val="000000"/>
                <w:szCs w:val="18"/>
                <w:lang w:eastAsia="en-AU"/>
              </w:rPr>
              <w:t>Depreciation</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698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627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629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639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722</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8"/>
                <w:lang w:eastAsia="en-AU"/>
              </w:rPr>
            </w:pPr>
            <w:r w:rsidRPr="00013E85">
              <w:rPr>
                <w:rFonts w:eastAsiaTheme="minorEastAsia" w:cs="Calibri"/>
                <w:color w:val="000000"/>
                <w:szCs w:val="18"/>
                <w:lang w:eastAsia="en-AU"/>
              </w:rPr>
              <w:t>Interest expense</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522</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472</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540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498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517</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8"/>
                <w:lang w:eastAsia="en-AU"/>
              </w:rPr>
            </w:pPr>
            <w:r w:rsidRPr="00013E85">
              <w:rPr>
                <w:rFonts w:eastAsiaTheme="minorEastAsia" w:cs="Calibri"/>
                <w:color w:val="000000"/>
                <w:szCs w:val="18"/>
                <w:lang w:eastAsia="en-AU"/>
              </w:rPr>
              <w:t>Grant expense</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1 577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2 587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2 337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3 006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2 541</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8"/>
                <w:lang w:eastAsia="en-AU"/>
              </w:rPr>
            </w:pPr>
            <w:r w:rsidRPr="00013E85">
              <w:rPr>
                <w:rFonts w:eastAsiaTheme="minorEastAsia" w:cs="Calibri"/>
                <w:color w:val="000000"/>
                <w:szCs w:val="18"/>
                <w:lang w:eastAsia="en-AU"/>
              </w:rPr>
              <w:t>Other operating expenses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5 549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4 295</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4 692</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4 313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5 274</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rPr>
                <w:rFonts w:eastAsiaTheme="minorEastAsia" w:cs="Calibri"/>
                <w:b/>
                <w:bCs/>
                <w:color w:val="000000"/>
                <w:szCs w:val="18"/>
                <w:lang w:eastAsia="en-AU"/>
              </w:rPr>
            </w:pPr>
            <w:r w:rsidRPr="00013E85">
              <w:rPr>
                <w:rFonts w:eastAsiaTheme="minorEastAsia" w:cs="Calibri"/>
                <w:b/>
                <w:bCs/>
                <w:color w:val="000000"/>
                <w:szCs w:val="18"/>
                <w:lang w:eastAsia="en-AU"/>
              </w:rPr>
              <w:t>Total expenses from transactions</w:t>
            </w:r>
          </w:p>
        </w:tc>
        <w:tc>
          <w:tcPr>
            <w:tcW w:w="907"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14 418</w:t>
            </w:r>
          </w:p>
        </w:tc>
        <w:tc>
          <w:tcPr>
            <w:tcW w:w="907"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13 911</w:t>
            </w:r>
          </w:p>
        </w:tc>
        <w:tc>
          <w:tcPr>
            <w:tcW w:w="907"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14 200</w:t>
            </w:r>
          </w:p>
        </w:tc>
        <w:tc>
          <w:tcPr>
            <w:tcW w:w="907"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14 456</w:t>
            </w:r>
          </w:p>
        </w:tc>
        <w:tc>
          <w:tcPr>
            <w:tcW w:w="907"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15 643</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12" w:space="0" w:color="000000"/>
              <w:right w:val="nil"/>
            </w:tcBorders>
          </w:tcPr>
          <w:p w:rsidR="00BB6F1F" w:rsidRPr="00013E85" w:rsidRDefault="00BB6F1F" w:rsidP="00AC68FF">
            <w:pPr>
              <w:keepLines w:val="0"/>
              <w:autoSpaceDE w:val="0"/>
              <w:autoSpaceDN w:val="0"/>
              <w:adjustRightInd w:val="0"/>
              <w:rPr>
                <w:rFonts w:eastAsiaTheme="minorEastAsia" w:cs="Calibri"/>
                <w:b/>
                <w:bCs/>
                <w:color w:val="000000"/>
                <w:szCs w:val="18"/>
                <w:lang w:eastAsia="en-AU"/>
              </w:rPr>
            </w:pPr>
            <w:r w:rsidRPr="00013E85">
              <w:rPr>
                <w:rFonts w:eastAsiaTheme="minorEastAsia" w:cs="Calibri"/>
                <w:b/>
                <w:bCs/>
                <w:color w:val="000000"/>
                <w:szCs w:val="18"/>
                <w:lang w:eastAsia="en-AU"/>
              </w:rPr>
              <w:t>Net result from transactions – net operating balance</w:t>
            </w:r>
          </w:p>
        </w:tc>
        <w:tc>
          <w:tcPr>
            <w:tcW w:w="907" w:type="dxa"/>
            <w:tcBorders>
              <w:top w:val="single" w:sz="6" w:space="0" w:color="000000"/>
              <w:left w:val="nil"/>
              <w:bottom w:val="single" w:sz="12"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(572)</w:t>
            </w:r>
          </w:p>
        </w:tc>
        <w:tc>
          <w:tcPr>
            <w:tcW w:w="907" w:type="dxa"/>
            <w:tcBorders>
              <w:top w:val="single" w:sz="6" w:space="0" w:color="000000"/>
              <w:left w:val="nil"/>
              <w:bottom w:val="single" w:sz="12"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480</w:t>
            </w:r>
          </w:p>
        </w:tc>
        <w:tc>
          <w:tcPr>
            <w:tcW w:w="907" w:type="dxa"/>
            <w:tcBorders>
              <w:top w:val="single" w:sz="6" w:space="0" w:color="000000"/>
              <w:left w:val="nil"/>
              <w:bottom w:val="single" w:sz="12"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907</w:t>
            </w:r>
          </w:p>
        </w:tc>
        <w:tc>
          <w:tcPr>
            <w:tcW w:w="907" w:type="dxa"/>
            <w:tcBorders>
              <w:top w:val="single" w:sz="6" w:space="0" w:color="000000"/>
              <w:left w:val="nil"/>
              <w:bottom w:val="single" w:sz="12"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2 573</w:t>
            </w:r>
          </w:p>
        </w:tc>
        <w:tc>
          <w:tcPr>
            <w:tcW w:w="907" w:type="dxa"/>
            <w:tcBorders>
              <w:top w:val="single" w:sz="6" w:space="0" w:color="000000"/>
              <w:left w:val="nil"/>
              <w:bottom w:val="single" w:sz="12"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(1 251)</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b/>
                <w:bCs/>
                <w:color w:val="000000"/>
                <w:szCs w:val="18"/>
                <w:lang w:eastAsia="en-AU"/>
              </w:rPr>
            </w:pPr>
            <w:r w:rsidRPr="00013E85">
              <w:rPr>
                <w:rFonts w:eastAsiaTheme="minorEastAsia" w:cs="Calibri"/>
                <w:b/>
                <w:bCs/>
                <w:color w:val="000000"/>
                <w:szCs w:val="18"/>
                <w:lang w:eastAsia="en-AU"/>
              </w:rPr>
              <w:t>Other economic flows included in net result</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8"/>
                <w:lang w:eastAsia="en-AU"/>
              </w:rPr>
            </w:pPr>
            <w:r w:rsidRPr="00013E85">
              <w:rPr>
                <w:rFonts w:eastAsiaTheme="minorEastAsia" w:cs="Calibri"/>
                <w:color w:val="000000"/>
                <w:szCs w:val="18"/>
                <w:lang w:eastAsia="en-AU"/>
              </w:rPr>
              <w:t>Net gain/(loss) on disposal of non-financial assets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8"/>
                <w:lang w:eastAsia="en-AU"/>
              </w:rPr>
            </w:pPr>
            <w:r w:rsidRPr="00013E85">
              <w:rPr>
                <w:rFonts w:eastAsiaTheme="minorEastAsia" w:cs="Calibri"/>
                <w:color w:val="000000"/>
                <w:szCs w:val="18"/>
                <w:lang w:eastAsia="en-AU"/>
              </w:rPr>
              <w:t>Net gain/(loss) on financial assets or liabilities at fair value</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8"/>
                <w:lang w:eastAsia="en-AU"/>
              </w:rPr>
            </w:pPr>
            <w:r w:rsidRPr="00013E85">
              <w:rPr>
                <w:rFonts w:eastAsiaTheme="minorEastAsia" w:cs="Calibri"/>
                <w:color w:val="000000"/>
                <w:szCs w:val="18"/>
                <w:lang w:eastAsia="en-AU"/>
              </w:rPr>
              <w:t>Share of net profit/(loss) from associates/joint venture entities, excluding dividends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8"/>
                <w:lang w:eastAsia="en-AU"/>
              </w:rPr>
            </w:pPr>
            <w:r w:rsidRPr="00013E85">
              <w:rPr>
                <w:rFonts w:eastAsiaTheme="minorEastAsia" w:cs="Calibri"/>
                <w:color w:val="000000"/>
                <w:szCs w:val="18"/>
                <w:lang w:eastAsia="en-AU"/>
              </w:rPr>
              <w:t>Other gains/(losses) from other economic flows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(303)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42</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rPr>
                <w:rFonts w:eastAsiaTheme="minorEastAsia" w:cs="Calibri"/>
                <w:b/>
                <w:bCs/>
                <w:color w:val="000000"/>
                <w:szCs w:val="18"/>
                <w:lang w:eastAsia="en-AU"/>
              </w:rPr>
            </w:pPr>
            <w:r w:rsidRPr="00013E85">
              <w:rPr>
                <w:rFonts w:eastAsiaTheme="minorEastAsia" w:cs="Calibri"/>
                <w:b/>
                <w:bCs/>
                <w:color w:val="000000"/>
                <w:szCs w:val="18"/>
                <w:lang w:eastAsia="en-AU"/>
              </w:rPr>
              <w:t xml:space="preserve">Total other economic flows included in net result </w:t>
            </w:r>
          </w:p>
        </w:tc>
        <w:tc>
          <w:tcPr>
            <w:tcW w:w="907"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(429)</w:t>
            </w:r>
          </w:p>
        </w:tc>
        <w:tc>
          <w:tcPr>
            <w:tcW w:w="907"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(110)</w:t>
            </w:r>
          </w:p>
        </w:tc>
        <w:tc>
          <w:tcPr>
            <w:tcW w:w="907"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(51)</w:t>
            </w:r>
          </w:p>
        </w:tc>
        <w:tc>
          <w:tcPr>
            <w:tcW w:w="907"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(41)</w:t>
            </w:r>
          </w:p>
        </w:tc>
        <w:tc>
          <w:tcPr>
            <w:tcW w:w="907"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52</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rPr>
                <w:rFonts w:eastAsiaTheme="minorEastAsia" w:cs="Calibri"/>
                <w:b/>
                <w:bCs/>
                <w:color w:val="000000"/>
                <w:szCs w:val="18"/>
                <w:lang w:eastAsia="en-AU"/>
              </w:rPr>
            </w:pPr>
            <w:r w:rsidRPr="00013E85">
              <w:rPr>
                <w:rFonts w:eastAsiaTheme="minorEastAsia" w:cs="Calibri"/>
                <w:b/>
                <w:bCs/>
                <w:color w:val="000000"/>
                <w:szCs w:val="18"/>
                <w:lang w:eastAsia="en-AU"/>
              </w:rPr>
              <w:t>Net result</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(1 001)</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370</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856</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2 532</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(1 199)</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b/>
                <w:bCs/>
                <w:color w:val="000000"/>
                <w:szCs w:val="18"/>
                <w:lang w:eastAsia="en-AU"/>
              </w:rPr>
            </w:pPr>
            <w:r w:rsidRPr="00013E85">
              <w:rPr>
                <w:rFonts w:eastAsiaTheme="minorEastAsia" w:cs="Calibri"/>
                <w:b/>
                <w:bCs/>
                <w:color w:val="000000"/>
                <w:szCs w:val="18"/>
                <w:lang w:eastAsia="en-AU"/>
              </w:rPr>
              <w:t>Other economic flows – other comprehensive income</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b/>
                <w:bCs/>
                <w:color w:val="000000"/>
                <w:szCs w:val="18"/>
                <w:lang w:eastAsia="en-AU"/>
              </w:rPr>
            </w:pPr>
            <w:r w:rsidRPr="00013E85">
              <w:rPr>
                <w:rFonts w:eastAsiaTheme="minorEastAsia" w:cs="Calibri"/>
                <w:b/>
                <w:bCs/>
                <w:color w:val="000000"/>
                <w:szCs w:val="18"/>
                <w:lang w:eastAsia="en-AU"/>
              </w:rPr>
              <w:t>Items that will not be reclassified to net result</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8"/>
                <w:lang w:eastAsia="en-AU"/>
              </w:rPr>
            </w:pPr>
            <w:r w:rsidRPr="00013E85">
              <w:rPr>
                <w:rFonts w:eastAsiaTheme="minorEastAsia" w:cs="Calibri"/>
                <w:color w:val="000000"/>
                <w:szCs w:val="18"/>
                <w:lang w:eastAsia="en-AU"/>
              </w:rPr>
              <w:t>Changes in non-financial assets revaluation surplus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6 258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25</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6 154</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8"/>
                <w:lang w:eastAsia="en-AU"/>
              </w:rPr>
            </w:pPr>
            <w:proofErr w:type="spellStart"/>
            <w:r w:rsidRPr="00013E85">
              <w:rPr>
                <w:rFonts w:eastAsiaTheme="minorEastAsia" w:cs="Calibri"/>
                <w:color w:val="000000"/>
                <w:szCs w:val="18"/>
                <w:lang w:eastAsia="en-AU"/>
              </w:rPr>
              <w:t>Remeasurement</w:t>
            </w:r>
            <w:proofErr w:type="spellEnd"/>
            <w:r w:rsidRPr="00013E85">
              <w:rPr>
                <w:rFonts w:eastAsiaTheme="minorEastAsia" w:cs="Calibri"/>
                <w:color w:val="000000"/>
                <w:szCs w:val="18"/>
                <w:lang w:eastAsia="en-AU"/>
              </w:rPr>
              <w:t xml:space="preserve"> of superannuation defined benefits plans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(1 243)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256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2 729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617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765</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8"/>
                <w:lang w:eastAsia="en-AU"/>
              </w:rPr>
            </w:pPr>
            <w:r w:rsidRPr="00013E85">
              <w:rPr>
                <w:rFonts w:eastAsiaTheme="minorEastAsia" w:cs="Calibri"/>
                <w:color w:val="000000"/>
                <w:szCs w:val="18"/>
                <w:lang w:eastAsia="en-AU"/>
              </w:rPr>
              <w:t>Other movements in equity</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b/>
                <w:bCs/>
                <w:color w:val="000000"/>
                <w:szCs w:val="18"/>
                <w:lang w:eastAsia="en-AU"/>
              </w:rPr>
            </w:pPr>
            <w:r w:rsidRPr="00013E85">
              <w:rPr>
                <w:rFonts w:eastAsiaTheme="minorEastAsia" w:cs="Calibri"/>
                <w:b/>
                <w:bCs/>
                <w:color w:val="000000"/>
                <w:szCs w:val="18"/>
                <w:lang w:eastAsia="en-AU"/>
              </w:rPr>
              <w:t>Items that may be reclassified subsequently to net result</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8"/>
                <w:lang w:eastAsia="en-AU"/>
              </w:rPr>
            </w:pPr>
            <w:r w:rsidRPr="00013E85">
              <w:rPr>
                <w:rFonts w:eastAsiaTheme="minorEastAsia" w:cs="Calibri"/>
                <w:color w:val="000000"/>
                <w:szCs w:val="18"/>
                <w:lang w:eastAsia="en-AU"/>
              </w:rPr>
              <w:t>Net gain/(loss) on financial assets at fair value</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42</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8"/>
                <w:lang w:eastAsia="en-AU"/>
              </w:rPr>
            </w:pPr>
            <w:r w:rsidRPr="00013E85">
              <w:rPr>
                <w:rFonts w:eastAsiaTheme="minorEastAsia" w:cs="Calibri"/>
                <w:color w:val="000000"/>
                <w:szCs w:val="18"/>
                <w:lang w:eastAsia="en-AU"/>
              </w:rPr>
              <w:t>Net gain/(loss) on equity investments in other sector entities at proportional share of the carrying amount of net assets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10 860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644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2 478</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rPr>
                <w:rFonts w:eastAsiaTheme="minorEastAsia" w:cs="Calibri"/>
                <w:b/>
                <w:bCs/>
                <w:color w:val="000000"/>
                <w:szCs w:val="18"/>
                <w:lang w:eastAsia="en-AU"/>
              </w:rPr>
            </w:pPr>
            <w:r w:rsidRPr="00013E85">
              <w:rPr>
                <w:rFonts w:eastAsiaTheme="minorEastAsia" w:cs="Calibri"/>
                <w:b/>
                <w:bCs/>
                <w:color w:val="000000"/>
                <w:szCs w:val="18"/>
                <w:lang w:eastAsia="en-AU"/>
              </w:rPr>
              <w:t>Total other economic flows – other comprehensive income</w:t>
            </w:r>
          </w:p>
        </w:tc>
        <w:tc>
          <w:tcPr>
            <w:tcW w:w="907"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15 857</w:t>
            </w:r>
          </w:p>
        </w:tc>
        <w:tc>
          <w:tcPr>
            <w:tcW w:w="907"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236</w:t>
            </w:r>
          </w:p>
        </w:tc>
        <w:tc>
          <w:tcPr>
            <w:tcW w:w="907"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3 404</w:t>
            </w:r>
          </w:p>
        </w:tc>
        <w:tc>
          <w:tcPr>
            <w:tcW w:w="907"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684</w:t>
            </w:r>
          </w:p>
        </w:tc>
        <w:tc>
          <w:tcPr>
            <w:tcW w:w="907"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9 396</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rPr>
                <w:rFonts w:eastAsiaTheme="minorEastAsia" w:cs="Calibri"/>
                <w:b/>
                <w:bCs/>
                <w:color w:val="000000"/>
                <w:szCs w:val="18"/>
                <w:lang w:eastAsia="en-AU"/>
              </w:rPr>
            </w:pPr>
            <w:r w:rsidRPr="00013E85">
              <w:rPr>
                <w:rFonts w:eastAsiaTheme="minorEastAsia" w:cs="Calibri"/>
                <w:b/>
                <w:bCs/>
                <w:color w:val="000000"/>
                <w:szCs w:val="18"/>
                <w:lang w:eastAsia="en-AU"/>
              </w:rPr>
              <w:t>Comprehensive result – total change in net worth</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14 856</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607</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4 260</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3 216</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8 197</w:t>
            </w:r>
          </w:p>
        </w:tc>
      </w:tr>
      <w:tr w:rsidR="00BB6F1F" w:rsidRPr="00013E85"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lang w:eastAsia="en-AU"/>
              </w:rPr>
            </w:pPr>
            <w:r w:rsidRPr="00013E85">
              <w:rPr>
                <w:rFonts w:eastAsiaTheme="minorEastAsia" w:cs="Calibri"/>
                <w:color w:val="000000"/>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13E85">
              <w:rPr>
                <w:rFonts w:eastAsiaTheme="minorEastAsia" w:cs="Calibri"/>
                <w:color w:val="000000"/>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13E85">
              <w:rPr>
                <w:rFonts w:eastAsiaTheme="minorEastAsia" w:cs="Calibri"/>
                <w:color w:val="000000"/>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13E85">
              <w:rPr>
                <w:rFonts w:eastAsiaTheme="minorEastAsia" w:cs="Calibri"/>
                <w:color w:val="000000"/>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13E85">
              <w:rPr>
                <w:rFonts w:eastAsiaTheme="minorEastAsia" w:cs="Calibri"/>
                <w:color w:val="000000"/>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13E85">
              <w:rPr>
                <w:rFonts w:eastAsiaTheme="minorEastAsia" w:cs="Calibri"/>
                <w:color w:val="000000"/>
                <w:lang w:eastAsia="en-AU"/>
              </w:rPr>
              <w:t xml:space="preserve"> </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b/>
                <w:bCs/>
                <w:color w:val="000000"/>
                <w:szCs w:val="16"/>
                <w:lang w:eastAsia="en-AU"/>
              </w:rPr>
            </w:pPr>
            <w:r w:rsidRPr="00013E85">
              <w:rPr>
                <w:rFonts w:eastAsiaTheme="minorEastAsia" w:cs="Calibri"/>
                <w:b/>
                <w:bCs/>
                <w:color w:val="000000"/>
                <w:szCs w:val="16"/>
                <w:lang w:eastAsia="en-AU"/>
              </w:rPr>
              <w:t>KEY FISCAL AGGREGATES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013E85">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013E85">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013E85">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013E85">
              <w:rPr>
                <w:rFonts w:eastAsiaTheme="minorEastAsia" w:cs="Calibri"/>
                <w:b/>
                <w:bCs/>
                <w:color w:val="000000"/>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013E85">
              <w:rPr>
                <w:rFonts w:eastAsiaTheme="minorEastAsia" w:cs="Calibri"/>
                <w:b/>
                <w:bCs/>
                <w:color w:val="000000"/>
                <w:lang w:eastAsia="en-AU"/>
              </w:rPr>
              <w:t xml:space="preserve"> </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b/>
                <w:bCs/>
                <w:color w:val="000000"/>
                <w:szCs w:val="16"/>
                <w:lang w:eastAsia="en-AU"/>
              </w:rPr>
            </w:pPr>
            <w:r w:rsidRPr="00013E85">
              <w:rPr>
                <w:rFonts w:eastAsiaTheme="minorEastAsia" w:cs="Calibri"/>
                <w:b/>
                <w:bCs/>
                <w:color w:val="000000"/>
                <w:szCs w:val="16"/>
                <w:lang w:eastAsia="en-AU"/>
              </w:rPr>
              <w:t>Net operating balance</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(572)</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480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907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013E85">
              <w:rPr>
                <w:rFonts w:eastAsiaTheme="minorEastAsia" w:cs="Calibri"/>
                <w:b/>
                <w:bCs/>
                <w:color w:val="000000"/>
                <w:szCs w:val="16"/>
                <w:lang w:eastAsia="en-AU"/>
              </w:rPr>
              <w:t>2 573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(1 251)</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6"/>
                <w:lang w:eastAsia="en-AU"/>
              </w:rPr>
            </w:pPr>
            <w:r w:rsidRPr="00013E85">
              <w:rPr>
                <w:rFonts w:eastAsiaTheme="minorEastAsia" w:cs="Calibri"/>
                <w:color w:val="000000"/>
                <w:szCs w:val="16"/>
                <w:lang w:eastAsia="en-AU"/>
              </w:rPr>
              <w:t>Less: Net acquisition of non-financial assets from transactions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236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164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955</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527</w:t>
            </w:r>
          </w:p>
        </w:tc>
      </w:tr>
      <w:tr w:rsidR="00BB6F1F" w:rsidRPr="00013E85"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bottom w:val="single" w:sz="12" w:space="0" w:color="000000"/>
            </w:tcBorders>
          </w:tcPr>
          <w:p w:rsidR="00BB6F1F" w:rsidRPr="00013E85" w:rsidRDefault="00BB6F1F" w:rsidP="00AC68FF">
            <w:pPr>
              <w:keepLines w:val="0"/>
              <w:autoSpaceDE w:val="0"/>
              <w:autoSpaceDN w:val="0"/>
              <w:adjustRightInd w:val="0"/>
              <w:rPr>
                <w:rFonts w:eastAsiaTheme="minorEastAsia" w:cs="Calibri"/>
                <w:bCs/>
                <w:color w:val="000000"/>
                <w:szCs w:val="16"/>
                <w:lang w:eastAsia="en-AU"/>
              </w:rPr>
            </w:pPr>
            <w:r w:rsidRPr="00013E85">
              <w:rPr>
                <w:rFonts w:eastAsiaTheme="minorEastAsia" w:cs="Calibri"/>
                <w:bCs/>
                <w:color w:val="000000"/>
                <w:szCs w:val="16"/>
                <w:lang w:eastAsia="en-AU"/>
              </w:rPr>
              <w:t>Net lending/(borrowing)</w:t>
            </w:r>
          </w:p>
        </w:tc>
        <w:tc>
          <w:tcPr>
            <w:tcW w:w="907" w:type="dxa"/>
            <w:tcBorders>
              <w:top w:val="single" w:sz="6" w:space="0" w:color="000000"/>
              <w:bottom w:val="single" w:sz="12" w:space="0" w:color="000000"/>
            </w:tcBorders>
          </w:tcPr>
          <w:p w:rsidR="00BB6F1F" w:rsidRPr="00013E85"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(808)</w:t>
            </w:r>
          </w:p>
        </w:tc>
        <w:tc>
          <w:tcPr>
            <w:tcW w:w="907" w:type="dxa"/>
            <w:tcBorders>
              <w:top w:val="single" w:sz="6" w:space="0" w:color="000000"/>
              <w:bottom w:val="single" w:sz="12" w:space="0" w:color="000000"/>
            </w:tcBorders>
          </w:tcPr>
          <w:p w:rsidR="00BB6F1F" w:rsidRPr="00013E85"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473</w:t>
            </w:r>
          </w:p>
        </w:tc>
        <w:tc>
          <w:tcPr>
            <w:tcW w:w="907" w:type="dxa"/>
            <w:tcBorders>
              <w:top w:val="single" w:sz="6" w:space="0" w:color="000000"/>
              <w:bottom w:val="single" w:sz="12" w:space="0" w:color="000000"/>
            </w:tcBorders>
          </w:tcPr>
          <w:p w:rsidR="00BB6F1F" w:rsidRPr="00013E85"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744</w:t>
            </w:r>
          </w:p>
        </w:tc>
        <w:tc>
          <w:tcPr>
            <w:tcW w:w="907" w:type="dxa"/>
            <w:tcBorders>
              <w:top w:val="single" w:sz="6" w:space="0" w:color="000000"/>
              <w:bottom w:val="single" w:sz="12" w:space="0" w:color="000000"/>
            </w:tcBorders>
          </w:tcPr>
          <w:p w:rsidR="00BB6F1F" w:rsidRPr="00013E85"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013E85">
              <w:rPr>
                <w:rFonts w:eastAsiaTheme="minorEastAsia" w:cs="Calibri"/>
                <w:bCs/>
                <w:color w:val="000000"/>
                <w:szCs w:val="16"/>
                <w:lang w:eastAsia="en-AU"/>
              </w:rPr>
              <w:t>1 617</w:t>
            </w:r>
          </w:p>
        </w:tc>
        <w:tc>
          <w:tcPr>
            <w:tcW w:w="907" w:type="dxa"/>
            <w:tcBorders>
              <w:top w:val="single" w:sz="6" w:space="0" w:color="000000"/>
              <w:bottom w:val="single" w:sz="12" w:space="0" w:color="000000"/>
            </w:tcBorders>
          </w:tcPr>
          <w:p w:rsidR="00BB6F1F" w:rsidRPr="00013E85"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(1 778)</w:t>
            </w:r>
          </w:p>
        </w:tc>
      </w:tr>
    </w:tbl>
    <w:p w:rsidR="00BB6F1F" w:rsidRPr="00013E85" w:rsidRDefault="00BB6F1F" w:rsidP="00AC68FF">
      <w:pPr>
        <w:pStyle w:val="TableHeading"/>
        <w:rPr>
          <w:bCs/>
          <w:lang w:val="en-US"/>
        </w:rPr>
      </w:pPr>
      <w:r>
        <w:lastRenderedPageBreak/>
        <w:t>Table A.2:</w:t>
      </w:r>
      <w:r>
        <w:tab/>
        <w:t>Balance sheet as at the end of the past five quarters</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102"/>
        <w:gridCol w:w="907"/>
        <w:gridCol w:w="907"/>
        <w:gridCol w:w="907"/>
        <w:gridCol w:w="907"/>
        <w:gridCol w:w="907"/>
      </w:tblGrid>
      <w:tr w:rsidR="00BB6F1F" w:rsidRPr="00013E85"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000000" w:fill="auto"/>
          </w:tcPr>
          <w:p w:rsidR="00BB6F1F" w:rsidRPr="00013E85" w:rsidRDefault="00BB6F1F" w:rsidP="00AC68FF">
            <w:pPr>
              <w:autoSpaceDE w:val="0"/>
              <w:autoSpaceDN w:val="0"/>
              <w:adjustRightInd w:val="0"/>
              <w:rPr>
                <w:rFonts w:eastAsiaTheme="minorEastAsia" w:cs="Calibri"/>
                <w:iCs/>
                <w:color w:val="FFFFFF"/>
                <w:lang w:eastAsia="en-AU"/>
              </w:rPr>
            </w:pPr>
            <w:r w:rsidRPr="00013E85">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013E85">
              <w:rPr>
                <w:rFonts w:eastAsiaTheme="minorEastAsia" w:cs="Calibri"/>
                <w:iCs/>
                <w:color w:val="FFFFFF"/>
                <w:szCs w:val="16"/>
                <w:lang w:eastAsia="en-AU"/>
              </w:rPr>
              <w:t>2015-16</w:t>
            </w:r>
          </w:p>
        </w:tc>
        <w:tc>
          <w:tcPr>
            <w:tcW w:w="3628" w:type="dxa"/>
            <w:gridSpan w:val="4"/>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013E85">
              <w:rPr>
                <w:rFonts w:eastAsiaTheme="minorEastAsia" w:cs="Calibri"/>
                <w:iCs/>
                <w:color w:val="FFFFFF"/>
                <w:szCs w:val="16"/>
                <w:lang w:eastAsia="en-AU"/>
              </w:rPr>
              <w:t>2016-17</w:t>
            </w:r>
          </w:p>
        </w:tc>
      </w:tr>
      <w:tr w:rsidR="00BB6F1F" w:rsidRPr="00013E85"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rPr>
                <w:rFonts w:eastAsiaTheme="minorEastAsia" w:cs="Calibri"/>
                <w:iCs/>
                <w:color w:val="FFFFFF"/>
                <w:lang w:eastAsia="en-AU"/>
              </w:rPr>
            </w:pPr>
            <w:r w:rsidRPr="00013E85">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013E85">
              <w:rPr>
                <w:rFonts w:eastAsiaTheme="minorEastAsia" w:cs="Calibri"/>
                <w:iCs/>
                <w:color w:val="FFFFFF"/>
                <w:szCs w:val="16"/>
                <w:lang w:eastAsia="en-AU"/>
              </w:rPr>
              <w:t>Jun</w:t>
            </w:r>
          </w:p>
        </w:tc>
        <w:tc>
          <w:tcPr>
            <w:tcW w:w="907" w:type="dxa"/>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013E85">
              <w:rPr>
                <w:rFonts w:eastAsiaTheme="minorEastAsia" w:cs="Calibri"/>
                <w:iCs/>
                <w:color w:val="FFFFFF"/>
                <w:szCs w:val="16"/>
                <w:lang w:eastAsia="en-AU"/>
              </w:rPr>
              <w:t>Sep</w:t>
            </w:r>
          </w:p>
        </w:tc>
        <w:tc>
          <w:tcPr>
            <w:tcW w:w="907" w:type="dxa"/>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013E85">
              <w:rPr>
                <w:rFonts w:eastAsiaTheme="minorEastAsia" w:cs="Calibri"/>
                <w:iCs/>
                <w:color w:val="FFFFFF"/>
                <w:szCs w:val="16"/>
                <w:lang w:eastAsia="en-AU"/>
              </w:rPr>
              <w:t>Dec</w:t>
            </w:r>
          </w:p>
        </w:tc>
        <w:tc>
          <w:tcPr>
            <w:tcW w:w="907" w:type="dxa"/>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013E85">
              <w:rPr>
                <w:rFonts w:eastAsiaTheme="minorEastAsia" w:cs="Calibri"/>
                <w:iCs/>
                <w:color w:val="FFFFFF"/>
                <w:szCs w:val="16"/>
                <w:lang w:eastAsia="en-AU"/>
              </w:rPr>
              <w:t>Mar</w:t>
            </w:r>
          </w:p>
        </w:tc>
        <w:tc>
          <w:tcPr>
            <w:tcW w:w="907" w:type="dxa"/>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013E85">
              <w:rPr>
                <w:rFonts w:eastAsiaTheme="minorEastAsia" w:cs="Calibri"/>
                <w:iCs/>
                <w:color w:val="FFFFFF"/>
                <w:szCs w:val="16"/>
                <w:lang w:eastAsia="en-AU"/>
              </w:rPr>
              <w:t>Jun</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b/>
                <w:bCs/>
                <w:color w:val="000000"/>
                <w:szCs w:val="16"/>
                <w:lang w:eastAsia="en-AU"/>
              </w:rPr>
            </w:pPr>
            <w:r w:rsidRPr="00013E85">
              <w:rPr>
                <w:rFonts w:eastAsiaTheme="minorEastAsia" w:cs="Arial"/>
                <w:b/>
                <w:bCs/>
                <w:color w:val="000000"/>
                <w:szCs w:val="16"/>
                <w:lang w:eastAsia="en-AU"/>
              </w:rPr>
              <w:t>Assets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b/>
                <w:bCs/>
                <w:color w:val="000000"/>
                <w:szCs w:val="16"/>
                <w:lang w:eastAsia="en-AU"/>
              </w:rPr>
            </w:pPr>
            <w:r w:rsidRPr="00013E85">
              <w:rPr>
                <w:rFonts w:eastAsiaTheme="minorEastAsia" w:cs="Arial"/>
                <w:b/>
                <w:bCs/>
                <w:color w:val="000000"/>
                <w:szCs w:val="16"/>
                <w:lang w:eastAsia="en-AU"/>
              </w:rPr>
              <w:t>Financial assets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color w:val="000000"/>
                <w:szCs w:val="16"/>
                <w:lang w:eastAsia="en-AU"/>
              </w:rPr>
            </w:pPr>
            <w:r w:rsidRPr="00013E85">
              <w:rPr>
                <w:rFonts w:eastAsiaTheme="minorEastAsia" w:cs="Arial"/>
                <w:color w:val="000000"/>
                <w:szCs w:val="16"/>
                <w:lang w:eastAsia="en-AU"/>
              </w:rPr>
              <w:t>Cash and deposits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4 772</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4 079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4 319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3 900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5 530</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color w:val="000000"/>
                <w:szCs w:val="16"/>
                <w:lang w:eastAsia="en-AU"/>
              </w:rPr>
            </w:pPr>
            <w:r w:rsidRPr="00013E85">
              <w:rPr>
                <w:rFonts w:eastAsiaTheme="minorEastAsia" w:cs="Arial"/>
                <w:color w:val="000000"/>
                <w:szCs w:val="16"/>
                <w:lang w:eastAsia="en-AU"/>
              </w:rPr>
              <w:t>Advances paid</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4 582</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4 586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14 156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13 648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12 939</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color w:val="000000"/>
                <w:szCs w:val="16"/>
                <w:lang w:eastAsia="en-AU"/>
              </w:rPr>
            </w:pPr>
            <w:r w:rsidRPr="00013E85">
              <w:rPr>
                <w:rFonts w:eastAsiaTheme="minorEastAsia" w:cs="Arial"/>
                <w:color w:val="000000"/>
                <w:szCs w:val="16"/>
                <w:lang w:eastAsia="en-AU"/>
              </w:rPr>
              <w:t>Receivables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5 566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5 866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5 469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7 108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5 931</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color w:val="000000"/>
                <w:szCs w:val="16"/>
                <w:lang w:eastAsia="en-AU"/>
              </w:rPr>
            </w:pPr>
            <w:r w:rsidRPr="00013E85">
              <w:rPr>
                <w:rFonts w:eastAsiaTheme="minorEastAsia" w:cs="Arial"/>
                <w:color w:val="000000"/>
                <w:szCs w:val="16"/>
                <w:lang w:eastAsia="en-AU"/>
              </w:rPr>
              <w:t>Investments, loans and placements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2 853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3 057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5 516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5 720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3 673</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color w:val="000000"/>
                <w:szCs w:val="16"/>
                <w:lang w:eastAsia="en-AU"/>
              </w:rPr>
            </w:pPr>
            <w:r w:rsidRPr="00013E85">
              <w:rPr>
                <w:rFonts w:eastAsiaTheme="minorEastAsia" w:cs="Arial"/>
                <w:color w:val="000000"/>
                <w:szCs w:val="16"/>
                <w:lang w:eastAsia="en-AU"/>
              </w:rPr>
              <w:t>Investments accounted for using the equity method</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46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47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44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44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47</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rPr>
                <w:rFonts w:eastAsiaTheme="minorEastAsia" w:cs="Arial"/>
                <w:color w:val="000000"/>
                <w:szCs w:val="16"/>
                <w:lang w:eastAsia="en-AU"/>
              </w:rPr>
            </w:pPr>
            <w:r w:rsidRPr="00013E85">
              <w:rPr>
                <w:rFonts w:eastAsiaTheme="minorEastAsia" w:cs="Arial"/>
                <w:color w:val="000000"/>
                <w:szCs w:val="16"/>
                <w:lang w:eastAsia="en-AU"/>
              </w:rPr>
              <w:t>Investments in other sector entities</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94 710</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95 473</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88 196</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89 043</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92 509</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b/>
                <w:bCs/>
                <w:color w:val="000000"/>
                <w:szCs w:val="16"/>
                <w:lang w:eastAsia="en-AU"/>
              </w:rPr>
            </w:pPr>
            <w:r w:rsidRPr="00013E85">
              <w:rPr>
                <w:rFonts w:eastAsiaTheme="minorEastAsia" w:cs="Arial"/>
                <w:b/>
                <w:bCs/>
                <w:color w:val="000000"/>
                <w:szCs w:val="16"/>
                <w:lang w:eastAsia="en-AU"/>
              </w:rPr>
              <w:t>Total financial assets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112 531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113 108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117 701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119 462</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120 630</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b/>
                <w:bCs/>
                <w:color w:val="000000"/>
                <w:szCs w:val="16"/>
                <w:lang w:eastAsia="en-AU"/>
              </w:rPr>
            </w:pPr>
            <w:r w:rsidRPr="00013E85">
              <w:rPr>
                <w:rFonts w:eastAsiaTheme="minorEastAsia" w:cs="Arial"/>
                <w:b/>
                <w:bCs/>
                <w:color w:val="000000"/>
                <w:szCs w:val="16"/>
                <w:lang w:eastAsia="en-AU"/>
              </w:rPr>
              <w:t>Non-financial assets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color w:val="000000"/>
                <w:szCs w:val="16"/>
                <w:lang w:eastAsia="en-AU"/>
              </w:rPr>
            </w:pPr>
            <w:r w:rsidRPr="00013E85">
              <w:rPr>
                <w:rFonts w:eastAsiaTheme="minorEastAsia" w:cs="Arial"/>
                <w:color w:val="000000"/>
                <w:szCs w:val="16"/>
                <w:lang w:eastAsia="en-AU"/>
              </w:rPr>
              <w:t>Inventories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188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186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186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187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173</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color w:val="000000"/>
                <w:szCs w:val="16"/>
                <w:lang w:eastAsia="en-AU"/>
              </w:rPr>
            </w:pPr>
            <w:r w:rsidRPr="00013E85">
              <w:rPr>
                <w:rFonts w:eastAsiaTheme="minorEastAsia" w:cs="Arial"/>
                <w:color w:val="000000"/>
                <w:szCs w:val="16"/>
                <w:lang w:eastAsia="en-AU"/>
              </w:rPr>
              <w:t>Non-financial assets held for sale</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188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183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183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182</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405</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color w:val="000000"/>
                <w:szCs w:val="16"/>
                <w:lang w:eastAsia="en-AU"/>
              </w:rPr>
            </w:pPr>
            <w:r w:rsidRPr="00013E85">
              <w:rPr>
                <w:rFonts w:eastAsiaTheme="minorEastAsia" w:cs="Arial"/>
                <w:color w:val="000000"/>
                <w:szCs w:val="16"/>
                <w:lang w:eastAsia="en-AU"/>
              </w:rPr>
              <w:t>Land, buildings, infrastructure, plant and equipment</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114 254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114 009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114 148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115 219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121 776</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color w:val="000000"/>
                <w:szCs w:val="16"/>
                <w:vertAlign w:val="superscript"/>
                <w:lang w:eastAsia="en-AU"/>
              </w:rPr>
            </w:pPr>
            <w:r w:rsidRPr="00013E85">
              <w:rPr>
                <w:rFonts w:eastAsiaTheme="minorEastAsia" w:cs="Arial"/>
                <w:color w:val="000000"/>
                <w:szCs w:val="16"/>
                <w:lang w:eastAsia="en-AU"/>
              </w:rPr>
              <w:t xml:space="preserve">Other non-financial assets </w:t>
            </w:r>
            <w:r w:rsidRPr="00013E85">
              <w:rPr>
                <w:rFonts w:eastAsiaTheme="minorEastAsia" w:cs="Arial"/>
                <w:color w:val="000000"/>
                <w:szCs w:val="16"/>
                <w:vertAlign w:val="superscript"/>
                <w:lang w:eastAsia="en-AU"/>
              </w:rPr>
              <w:t>(a)</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1 184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1 619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1 535</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1 456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1 494</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rPr>
                <w:rFonts w:eastAsiaTheme="minorEastAsia" w:cs="Arial"/>
                <w:b/>
                <w:bCs/>
                <w:color w:val="000000"/>
                <w:szCs w:val="16"/>
                <w:vertAlign w:val="superscript"/>
                <w:lang w:eastAsia="en-AU"/>
              </w:rPr>
            </w:pPr>
            <w:r w:rsidRPr="00013E85">
              <w:rPr>
                <w:rFonts w:eastAsiaTheme="minorEastAsia" w:cs="Arial"/>
                <w:b/>
                <w:bCs/>
                <w:color w:val="000000"/>
                <w:szCs w:val="16"/>
                <w:lang w:eastAsia="en-AU"/>
              </w:rPr>
              <w:t xml:space="preserve">Total non-financial assets </w:t>
            </w:r>
            <w:r w:rsidRPr="00013E85">
              <w:rPr>
                <w:rFonts w:eastAsiaTheme="minorEastAsia" w:cs="Arial"/>
                <w:b/>
                <w:bCs/>
                <w:color w:val="000000"/>
                <w:szCs w:val="16"/>
                <w:vertAlign w:val="superscript"/>
                <w:lang w:eastAsia="en-AU"/>
              </w:rPr>
              <w:t>(a)</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115 814</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115 998</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116 052</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117 044</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123 849</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b/>
                <w:bCs/>
                <w:color w:val="000000"/>
                <w:szCs w:val="16"/>
                <w:vertAlign w:val="superscript"/>
                <w:lang w:eastAsia="en-AU"/>
              </w:rPr>
            </w:pPr>
            <w:r w:rsidRPr="00013E85">
              <w:rPr>
                <w:rFonts w:eastAsiaTheme="minorEastAsia" w:cs="Arial"/>
                <w:b/>
                <w:bCs/>
                <w:color w:val="000000"/>
                <w:szCs w:val="16"/>
                <w:lang w:eastAsia="en-AU"/>
              </w:rPr>
              <w:t xml:space="preserve">Total assets </w:t>
            </w:r>
            <w:r w:rsidRPr="00013E85">
              <w:rPr>
                <w:rFonts w:eastAsiaTheme="minorEastAsia" w:cs="Arial"/>
                <w:b/>
                <w:bCs/>
                <w:color w:val="000000"/>
                <w:szCs w:val="16"/>
                <w:vertAlign w:val="superscript"/>
                <w:lang w:eastAsia="en-AU"/>
              </w:rPr>
              <w:t>(a)</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228 345</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229 106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233 753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236 506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244 478</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b/>
                <w:bCs/>
                <w:color w:val="000000"/>
                <w:szCs w:val="16"/>
                <w:lang w:eastAsia="en-AU"/>
              </w:rPr>
            </w:pPr>
            <w:r w:rsidRPr="00013E85">
              <w:rPr>
                <w:rFonts w:eastAsiaTheme="minorEastAsia" w:cs="Arial"/>
                <w:b/>
                <w:bCs/>
                <w:color w:val="000000"/>
                <w:szCs w:val="16"/>
                <w:lang w:eastAsia="en-AU"/>
              </w:rPr>
              <w:t>Liabilities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color w:val="000000"/>
                <w:szCs w:val="16"/>
                <w:lang w:eastAsia="en-AU"/>
              </w:rPr>
            </w:pPr>
            <w:r w:rsidRPr="00013E85">
              <w:rPr>
                <w:rFonts w:eastAsiaTheme="minorEastAsia" w:cs="Arial"/>
                <w:color w:val="000000"/>
                <w:szCs w:val="16"/>
                <w:lang w:eastAsia="en-AU"/>
              </w:rPr>
              <w:t xml:space="preserve">Deposits held and advances received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706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717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10 393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9 913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9 088</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color w:val="000000"/>
                <w:szCs w:val="16"/>
                <w:lang w:eastAsia="en-AU"/>
              </w:rPr>
            </w:pPr>
            <w:r w:rsidRPr="00013E85">
              <w:rPr>
                <w:rFonts w:eastAsiaTheme="minorEastAsia" w:cs="Arial"/>
                <w:color w:val="000000"/>
                <w:szCs w:val="16"/>
                <w:lang w:eastAsia="en-AU"/>
              </w:rPr>
              <w:t>Payables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5 773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5 481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5 084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5 227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5 815</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color w:val="000000"/>
                <w:szCs w:val="16"/>
                <w:lang w:eastAsia="en-AU"/>
              </w:rPr>
            </w:pPr>
            <w:r w:rsidRPr="00013E85">
              <w:rPr>
                <w:rFonts w:eastAsiaTheme="minorEastAsia" w:cs="Arial"/>
                <w:color w:val="000000"/>
                <w:szCs w:val="16"/>
                <w:lang w:eastAsia="en-AU"/>
              </w:rPr>
              <w:t xml:space="preserve">Borrowings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33 811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34 551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27 986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28 684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28 816</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color w:val="000000"/>
                <w:szCs w:val="16"/>
                <w:lang w:eastAsia="en-AU"/>
              </w:rPr>
            </w:pPr>
            <w:r w:rsidRPr="00013E85">
              <w:rPr>
                <w:rFonts w:eastAsiaTheme="minorEastAsia" w:cs="Arial"/>
                <w:color w:val="000000"/>
                <w:szCs w:val="16"/>
                <w:lang w:eastAsia="en-AU"/>
              </w:rPr>
              <w:t>Employee benefits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6 137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6 098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6 244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6 050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6 506</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color w:val="000000"/>
                <w:szCs w:val="16"/>
                <w:lang w:eastAsia="en-AU"/>
              </w:rPr>
            </w:pPr>
            <w:r w:rsidRPr="00013E85">
              <w:rPr>
                <w:rFonts w:eastAsiaTheme="minorEastAsia" w:cs="Arial"/>
                <w:color w:val="000000"/>
                <w:szCs w:val="16"/>
                <w:lang w:eastAsia="en-AU"/>
              </w:rPr>
              <w:t>Superannuation</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29 291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29 044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26 566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25 944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24 900</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color w:val="000000"/>
                <w:szCs w:val="16"/>
                <w:lang w:eastAsia="en-AU"/>
              </w:rPr>
            </w:pPr>
            <w:r w:rsidRPr="00013E85">
              <w:rPr>
                <w:rFonts w:eastAsiaTheme="minorEastAsia" w:cs="Arial"/>
                <w:color w:val="000000"/>
                <w:szCs w:val="16"/>
                <w:lang w:eastAsia="en-AU"/>
              </w:rPr>
              <w:t>Other provisions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829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861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866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858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1 326</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rPr>
                <w:rFonts w:eastAsiaTheme="minorEastAsia" w:cs="Arial"/>
                <w:b/>
                <w:bCs/>
                <w:color w:val="000000"/>
                <w:szCs w:val="16"/>
                <w:lang w:eastAsia="en-AU"/>
              </w:rPr>
            </w:pPr>
            <w:r w:rsidRPr="00013E85">
              <w:rPr>
                <w:rFonts w:eastAsiaTheme="minorEastAsia" w:cs="Arial"/>
                <w:b/>
                <w:bCs/>
                <w:color w:val="000000"/>
                <w:szCs w:val="16"/>
                <w:lang w:eastAsia="en-AU"/>
              </w:rPr>
              <w:t>Total liabilities</w:t>
            </w:r>
          </w:p>
        </w:tc>
        <w:tc>
          <w:tcPr>
            <w:tcW w:w="907"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76 547</w:t>
            </w:r>
          </w:p>
        </w:tc>
        <w:tc>
          <w:tcPr>
            <w:tcW w:w="907"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76 751</w:t>
            </w:r>
          </w:p>
        </w:tc>
        <w:tc>
          <w:tcPr>
            <w:tcW w:w="907"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77 139</w:t>
            </w:r>
          </w:p>
        </w:tc>
        <w:tc>
          <w:tcPr>
            <w:tcW w:w="907"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76 676</w:t>
            </w:r>
          </w:p>
        </w:tc>
        <w:tc>
          <w:tcPr>
            <w:tcW w:w="907" w:type="dxa"/>
            <w:tcBorders>
              <w:top w:val="single" w:sz="6" w:space="0" w:color="000000"/>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76 451</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rPr>
                <w:rFonts w:eastAsiaTheme="minorEastAsia" w:cs="Arial"/>
                <w:b/>
                <w:bCs/>
                <w:color w:val="000000"/>
                <w:szCs w:val="16"/>
                <w:vertAlign w:val="superscript"/>
                <w:lang w:eastAsia="en-AU"/>
              </w:rPr>
            </w:pPr>
            <w:r w:rsidRPr="00013E85">
              <w:rPr>
                <w:rFonts w:eastAsiaTheme="minorEastAsia" w:cs="Arial"/>
                <w:b/>
                <w:bCs/>
                <w:color w:val="000000"/>
                <w:szCs w:val="16"/>
                <w:lang w:eastAsia="en-AU"/>
              </w:rPr>
              <w:t xml:space="preserve">Net assets </w:t>
            </w:r>
            <w:r w:rsidRPr="00013E85">
              <w:rPr>
                <w:rFonts w:eastAsiaTheme="minorEastAsia" w:cs="Arial"/>
                <w:b/>
                <w:bCs/>
                <w:color w:val="000000"/>
                <w:szCs w:val="16"/>
                <w:vertAlign w:val="superscript"/>
                <w:lang w:eastAsia="en-AU"/>
              </w:rPr>
              <w:t>(a)</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151 798</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152 355</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156 614</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159 831</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168 027</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color w:val="000000"/>
                <w:szCs w:val="16"/>
                <w:vertAlign w:val="superscript"/>
                <w:lang w:eastAsia="en-AU"/>
              </w:rPr>
            </w:pPr>
            <w:r w:rsidRPr="00013E85">
              <w:rPr>
                <w:rFonts w:eastAsiaTheme="minorEastAsia" w:cs="Arial"/>
                <w:color w:val="000000"/>
                <w:szCs w:val="16"/>
                <w:lang w:eastAsia="en-AU"/>
              </w:rPr>
              <w:t xml:space="preserve">Accumulated surplus/(deficit) </w:t>
            </w:r>
            <w:r w:rsidRPr="00013E85">
              <w:rPr>
                <w:rFonts w:eastAsiaTheme="minorEastAsia" w:cs="Arial"/>
                <w:color w:val="000000"/>
                <w:szCs w:val="16"/>
                <w:vertAlign w:val="superscript"/>
                <w:lang w:eastAsia="en-AU"/>
              </w:rPr>
              <w:t>(a)</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44 557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45 286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48 817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51 977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51 464</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color w:val="000000"/>
                <w:szCs w:val="16"/>
                <w:lang w:eastAsia="en-AU"/>
              </w:rPr>
            </w:pPr>
            <w:r w:rsidRPr="00013E85">
              <w:rPr>
                <w:rFonts w:eastAsiaTheme="minorEastAsia" w:cs="Arial"/>
                <w:color w:val="000000"/>
                <w:szCs w:val="16"/>
                <w:lang w:eastAsia="en-AU"/>
              </w:rPr>
              <w:t>Reserves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107 191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107 069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107 797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107 853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116 563</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color w:val="000000"/>
                <w:szCs w:val="16"/>
                <w:lang w:eastAsia="en-AU"/>
              </w:rPr>
            </w:pPr>
            <w:r w:rsidRPr="00013E85">
              <w:rPr>
                <w:rFonts w:eastAsiaTheme="minorEastAsia" w:cs="Arial"/>
                <w:color w:val="000000"/>
                <w:szCs w:val="16"/>
                <w:lang w:eastAsia="en-AU"/>
              </w:rPr>
              <w:t>Non-controlling interest</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50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rPr>
                <w:rFonts w:eastAsiaTheme="minorEastAsia" w:cs="Arial"/>
                <w:b/>
                <w:bCs/>
                <w:color w:val="000000"/>
                <w:szCs w:val="16"/>
                <w:vertAlign w:val="superscript"/>
                <w:lang w:eastAsia="en-AU"/>
              </w:rPr>
            </w:pPr>
            <w:r w:rsidRPr="00013E85">
              <w:rPr>
                <w:rFonts w:eastAsiaTheme="minorEastAsia" w:cs="Arial"/>
                <w:b/>
                <w:bCs/>
                <w:color w:val="000000"/>
                <w:szCs w:val="16"/>
                <w:lang w:eastAsia="en-AU"/>
              </w:rPr>
              <w:t xml:space="preserve">Net worth </w:t>
            </w:r>
            <w:r w:rsidRPr="00013E85">
              <w:rPr>
                <w:rFonts w:eastAsiaTheme="minorEastAsia" w:cs="Arial"/>
                <w:b/>
                <w:bCs/>
                <w:color w:val="000000"/>
                <w:szCs w:val="16"/>
                <w:vertAlign w:val="superscript"/>
                <w:lang w:eastAsia="en-AU"/>
              </w:rPr>
              <w:t>(a)</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151 798</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152 355</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156 614</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159 831</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168 027</w:t>
            </w:r>
          </w:p>
        </w:tc>
      </w:tr>
      <w:tr w:rsidR="00BB6F1F" w:rsidRPr="00013E85"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lang w:eastAsia="en-AU"/>
              </w:rPr>
            </w:pPr>
            <w:r w:rsidRPr="00013E85">
              <w:rPr>
                <w:rFonts w:eastAsiaTheme="minorEastAsia" w:cs="Calibri"/>
                <w:color w:val="000000"/>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13E85">
              <w:rPr>
                <w:rFonts w:eastAsiaTheme="minorEastAsia" w:cs="Calibri"/>
                <w:color w:val="000000"/>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13E85">
              <w:rPr>
                <w:rFonts w:eastAsiaTheme="minorEastAsia" w:cs="Calibri"/>
                <w:color w:val="000000"/>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13E85">
              <w:rPr>
                <w:rFonts w:eastAsiaTheme="minorEastAsia" w:cs="Calibri"/>
                <w:color w:val="000000"/>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13E85">
              <w:rPr>
                <w:rFonts w:eastAsiaTheme="minorEastAsia" w:cs="Calibri"/>
                <w:color w:val="000000"/>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13E85">
              <w:rPr>
                <w:rFonts w:eastAsiaTheme="minorEastAsia" w:cs="Calibri"/>
                <w:color w:val="000000"/>
                <w:lang w:eastAsia="en-AU"/>
              </w:rPr>
              <w:t xml:space="preserve"> </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b/>
                <w:bCs/>
                <w:color w:val="000000"/>
                <w:szCs w:val="16"/>
                <w:lang w:eastAsia="en-AU"/>
              </w:rPr>
            </w:pPr>
            <w:r w:rsidRPr="00013E85">
              <w:rPr>
                <w:rFonts w:eastAsiaTheme="minorEastAsia" w:cs="Arial"/>
                <w:b/>
                <w:bCs/>
                <w:color w:val="000000"/>
                <w:szCs w:val="16"/>
                <w:lang w:eastAsia="en-AU"/>
              </w:rPr>
              <w:t>FISCAL AGGREGATES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013E85">
              <w:rPr>
                <w:rFonts w:eastAsiaTheme="minorEastAsia" w:cs="Arial"/>
                <w:b/>
                <w:bCs/>
                <w:color w:val="000000"/>
                <w:szCs w:val="16"/>
                <w:lang w:eastAsia="en-AU"/>
              </w:rPr>
              <w:t xml:space="preserve"> </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color w:val="000000"/>
                <w:szCs w:val="16"/>
                <w:lang w:eastAsia="en-AU"/>
              </w:rPr>
            </w:pPr>
            <w:r w:rsidRPr="00013E85">
              <w:rPr>
                <w:rFonts w:eastAsiaTheme="minorEastAsia" w:cs="Arial"/>
                <w:color w:val="000000"/>
                <w:szCs w:val="16"/>
                <w:lang w:eastAsia="en-AU"/>
              </w:rPr>
              <w:t>Net financial worth</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35 984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36 357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40 562</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42 787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44 178</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Arial"/>
                <w:color w:val="000000"/>
                <w:szCs w:val="16"/>
                <w:lang w:eastAsia="en-AU"/>
              </w:rPr>
            </w:pPr>
            <w:r w:rsidRPr="00013E85">
              <w:rPr>
                <w:rFonts w:eastAsiaTheme="minorEastAsia" w:cs="Arial"/>
                <w:color w:val="000000"/>
                <w:szCs w:val="16"/>
                <w:lang w:eastAsia="en-AU"/>
              </w:rPr>
              <w:t>Net financial liabilities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58 727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59 116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47 634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46 256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013E85">
              <w:rPr>
                <w:rFonts w:eastAsiaTheme="minorEastAsia" w:cs="Arial"/>
                <w:color w:val="000000"/>
                <w:szCs w:val="16"/>
                <w:lang w:eastAsia="en-AU"/>
              </w:rPr>
              <w:t>48 331</w:t>
            </w:r>
          </w:p>
        </w:tc>
      </w:tr>
      <w:tr w:rsidR="00BB6F1F" w:rsidRPr="00013E85"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top w:val="nil"/>
              <w:bottom w:val="single" w:sz="12" w:space="0" w:color="000000"/>
            </w:tcBorders>
          </w:tcPr>
          <w:p w:rsidR="00BB6F1F" w:rsidRPr="00077537" w:rsidRDefault="00BB6F1F" w:rsidP="00AC68FF">
            <w:pPr>
              <w:keepLines w:val="0"/>
              <w:autoSpaceDE w:val="0"/>
              <w:autoSpaceDN w:val="0"/>
              <w:adjustRightInd w:val="0"/>
              <w:rPr>
                <w:rFonts w:eastAsiaTheme="minorEastAsia" w:cs="Arial"/>
                <w:b w:val="0"/>
                <w:color w:val="000000"/>
                <w:szCs w:val="16"/>
                <w:lang w:eastAsia="en-AU"/>
              </w:rPr>
            </w:pPr>
            <w:r w:rsidRPr="00077537">
              <w:rPr>
                <w:rFonts w:eastAsiaTheme="minorEastAsia" w:cs="Arial"/>
                <w:b w:val="0"/>
                <w:color w:val="000000"/>
                <w:szCs w:val="16"/>
                <w:lang w:eastAsia="en-AU"/>
              </w:rPr>
              <w:t>Net debt</w:t>
            </w:r>
          </w:p>
        </w:tc>
        <w:tc>
          <w:tcPr>
            <w:tcW w:w="907" w:type="dxa"/>
            <w:tcBorders>
              <w:top w:val="nil"/>
              <w:bottom w:val="single" w:sz="12" w:space="0" w:color="000000"/>
            </w:tcBorders>
          </w:tcPr>
          <w:p w:rsidR="00BB6F1F" w:rsidRPr="0007753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Arial"/>
                <w:b w:val="0"/>
                <w:color w:val="000000"/>
                <w:szCs w:val="16"/>
                <w:lang w:eastAsia="en-AU"/>
              </w:rPr>
            </w:pPr>
            <w:r w:rsidRPr="00077537">
              <w:rPr>
                <w:rFonts w:eastAsiaTheme="minorEastAsia" w:cs="Arial"/>
                <w:b w:val="0"/>
                <w:color w:val="000000"/>
                <w:szCs w:val="16"/>
                <w:lang w:eastAsia="en-AU"/>
              </w:rPr>
              <w:t>22 309</w:t>
            </w:r>
          </w:p>
        </w:tc>
        <w:tc>
          <w:tcPr>
            <w:tcW w:w="907" w:type="dxa"/>
            <w:tcBorders>
              <w:top w:val="nil"/>
              <w:bottom w:val="single" w:sz="12" w:space="0" w:color="000000"/>
            </w:tcBorders>
          </w:tcPr>
          <w:p w:rsidR="00BB6F1F" w:rsidRPr="0007753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Arial"/>
                <w:b w:val="0"/>
                <w:color w:val="000000"/>
                <w:szCs w:val="16"/>
                <w:lang w:eastAsia="en-AU"/>
              </w:rPr>
            </w:pPr>
            <w:r w:rsidRPr="00077537">
              <w:rPr>
                <w:rFonts w:eastAsiaTheme="minorEastAsia" w:cs="Arial"/>
                <w:b w:val="0"/>
                <w:color w:val="000000"/>
                <w:szCs w:val="16"/>
                <w:lang w:eastAsia="en-AU"/>
              </w:rPr>
              <w:t>23 545</w:t>
            </w:r>
          </w:p>
        </w:tc>
        <w:tc>
          <w:tcPr>
            <w:tcW w:w="907" w:type="dxa"/>
            <w:tcBorders>
              <w:top w:val="nil"/>
              <w:bottom w:val="single" w:sz="12" w:space="0" w:color="000000"/>
            </w:tcBorders>
          </w:tcPr>
          <w:p w:rsidR="00BB6F1F" w:rsidRPr="0007753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Arial"/>
                <w:b w:val="0"/>
                <w:color w:val="000000"/>
                <w:szCs w:val="16"/>
                <w:lang w:eastAsia="en-AU"/>
              </w:rPr>
            </w:pPr>
            <w:r w:rsidRPr="00077537">
              <w:rPr>
                <w:rFonts w:eastAsiaTheme="minorEastAsia" w:cs="Arial"/>
                <w:b w:val="0"/>
                <w:color w:val="000000"/>
                <w:szCs w:val="16"/>
                <w:lang w:eastAsia="en-AU"/>
              </w:rPr>
              <w:t>14 387</w:t>
            </w:r>
          </w:p>
        </w:tc>
        <w:tc>
          <w:tcPr>
            <w:tcW w:w="907" w:type="dxa"/>
            <w:tcBorders>
              <w:top w:val="nil"/>
              <w:bottom w:val="single" w:sz="12" w:space="0" w:color="000000"/>
            </w:tcBorders>
          </w:tcPr>
          <w:p w:rsidR="00BB6F1F" w:rsidRPr="0007753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Arial"/>
                <w:b w:val="0"/>
                <w:color w:val="000000"/>
                <w:szCs w:val="16"/>
                <w:lang w:eastAsia="en-AU"/>
              </w:rPr>
            </w:pPr>
            <w:r w:rsidRPr="00077537">
              <w:rPr>
                <w:rFonts w:eastAsiaTheme="minorEastAsia" w:cs="Arial"/>
                <w:b w:val="0"/>
                <w:color w:val="000000"/>
                <w:szCs w:val="16"/>
                <w:lang w:eastAsia="en-AU"/>
              </w:rPr>
              <w:t>15 330</w:t>
            </w:r>
          </w:p>
        </w:tc>
        <w:tc>
          <w:tcPr>
            <w:tcW w:w="907" w:type="dxa"/>
            <w:tcBorders>
              <w:top w:val="nil"/>
              <w:bottom w:val="single" w:sz="12" w:space="0" w:color="000000"/>
            </w:tcBorders>
          </w:tcPr>
          <w:p w:rsidR="00BB6F1F" w:rsidRPr="00077537"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Arial"/>
                <w:b w:val="0"/>
                <w:color w:val="000000"/>
                <w:szCs w:val="16"/>
                <w:lang w:eastAsia="en-AU"/>
              </w:rPr>
            </w:pPr>
            <w:r w:rsidRPr="00077537">
              <w:rPr>
                <w:rFonts w:eastAsiaTheme="minorEastAsia" w:cs="Arial"/>
                <w:b w:val="0"/>
                <w:color w:val="000000"/>
                <w:szCs w:val="16"/>
                <w:lang w:eastAsia="en-AU"/>
              </w:rPr>
              <w:t>15 762</w:t>
            </w:r>
          </w:p>
        </w:tc>
      </w:tr>
    </w:tbl>
    <w:p w:rsidR="00BB6F1F" w:rsidRDefault="00BB6F1F" w:rsidP="00AC68FF">
      <w:pPr>
        <w:pStyle w:val="Note"/>
      </w:pPr>
      <w:r>
        <w:t>Note:</w:t>
      </w:r>
    </w:p>
    <w:p w:rsidR="00BB6F1F" w:rsidRPr="004E06C4" w:rsidRDefault="00BB6F1F" w:rsidP="00AC68FF">
      <w:pPr>
        <w:pStyle w:val="Note"/>
      </w:pPr>
      <w:r>
        <w:t>(a</w:t>
      </w:r>
      <w:r w:rsidRPr="004E06C4">
        <w:t>)</w:t>
      </w:r>
      <w:r w:rsidRPr="004E06C4">
        <w:tab/>
      </w:r>
      <w:r w:rsidRPr="00181405">
        <w:t xml:space="preserve">June 2016 comparative figures have been restated to reflect an adjustment to the Department of Environment, Land, Water and Planning's intangible produced assets and </w:t>
      </w:r>
      <w:r>
        <w:t xml:space="preserve">opening </w:t>
      </w:r>
      <w:r w:rsidRPr="00181405">
        <w:t xml:space="preserve">accumulated </w:t>
      </w:r>
      <w:r>
        <w:t>surplus/(deficit)</w:t>
      </w:r>
      <w:r w:rsidRPr="00181405">
        <w:t xml:space="preserve"> balances due to the </w:t>
      </w:r>
      <w:r>
        <w:t xml:space="preserve">first-time </w:t>
      </w:r>
      <w:r w:rsidRPr="00181405">
        <w:t>recognition of Renewable Energy Certificates</w:t>
      </w:r>
      <w:r>
        <w:t xml:space="preserve">. </w:t>
      </w:r>
    </w:p>
    <w:p w:rsidR="00BB6F1F" w:rsidRPr="00013E85" w:rsidRDefault="00BB6F1F" w:rsidP="00AC68FF">
      <w:pPr>
        <w:pStyle w:val="TableHeading"/>
        <w:spacing w:before="0"/>
        <w:rPr>
          <w:bCs/>
          <w:lang w:val="en-US"/>
        </w:rPr>
      </w:pPr>
      <w:r>
        <w:br w:type="page"/>
      </w:r>
      <w:r>
        <w:lastRenderedPageBreak/>
        <w:t>Table A.3:</w:t>
      </w:r>
      <w:r>
        <w:tab/>
        <w:t>Statement of cash flows for the past five quarters</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102"/>
        <w:gridCol w:w="907"/>
        <w:gridCol w:w="907"/>
        <w:gridCol w:w="907"/>
        <w:gridCol w:w="907"/>
        <w:gridCol w:w="907"/>
      </w:tblGrid>
      <w:tr w:rsidR="00BB6F1F" w:rsidRPr="00013E85"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000000" w:fill="auto"/>
          </w:tcPr>
          <w:p w:rsidR="00BB6F1F" w:rsidRPr="00013E85" w:rsidRDefault="00BB6F1F" w:rsidP="00AC68FF">
            <w:pPr>
              <w:autoSpaceDE w:val="0"/>
              <w:autoSpaceDN w:val="0"/>
              <w:adjustRightInd w:val="0"/>
              <w:rPr>
                <w:rFonts w:eastAsiaTheme="minorEastAsia" w:cs="Calibri"/>
                <w:iCs/>
                <w:color w:val="FFFFFF"/>
                <w:lang w:eastAsia="en-AU"/>
              </w:rPr>
            </w:pPr>
            <w:r w:rsidRPr="00013E85">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013E85">
              <w:rPr>
                <w:rFonts w:eastAsiaTheme="minorEastAsia" w:cs="Calibri"/>
                <w:iCs/>
                <w:color w:val="FFFFFF"/>
                <w:szCs w:val="16"/>
                <w:lang w:eastAsia="en-AU"/>
              </w:rPr>
              <w:t>2015-16</w:t>
            </w:r>
          </w:p>
        </w:tc>
        <w:tc>
          <w:tcPr>
            <w:tcW w:w="3628" w:type="dxa"/>
            <w:gridSpan w:val="4"/>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013E85">
              <w:rPr>
                <w:rFonts w:eastAsiaTheme="minorEastAsia" w:cs="Calibri"/>
                <w:iCs/>
                <w:color w:val="FFFFFF"/>
                <w:szCs w:val="16"/>
                <w:lang w:eastAsia="en-AU"/>
              </w:rPr>
              <w:t>2016-17</w:t>
            </w:r>
          </w:p>
        </w:tc>
      </w:tr>
      <w:tr w:rsidR="00BB6F1F" w:rsidRPr="00013E85"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rPr>
                <w:rFonts w:eastAsiaTheme="minorEastAsia" w:cs="Calibri"/>
                <w:iCs/>
                <w:color w:val="FFFFFF"/>
                <w:lang w:eastAsia="en-AU"/>
              </w:rPr>
            </w:pPr>
            <w:r w:rsidRPr="00013E85">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013E85">
              <w:rPr>
                <w:rFonts w:eastAsiaTheme="minorEastAsia" w:cs="Calibri"/>
                <w:iCs/>
                <w:color w:val="FFFFFF"/>
                <w:szCs w:val="18"/>
                <w:lang w:eastAsia="en-AU"/>
              </w:rPr>
              <w:t xml:space="preserve">Jun </w:t>
            </w:r>
          </w:p>
        </w:tc>
        <w:tc>
          <w:tcPr>
            <w:tcW w:w="907" w:type="dxa"/>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013E85">
              <w:rPr>
                <w:rFonts w:eastAsiaTheme="minorEastAsia" w:cs="Calibri"/>
                <w:iCs/>
                <w:color w:val="FFFFFF"/>
                <w:szCs w:val="18"/>
                <w:lang w:eastAsia="en-AU"/>
              </w:rPr>
              <w:t>Sep</w:t>
            </w:r>
          </w:p>
        </w:tc>
        <w:tc>
          <w:tcPr>
            <w:tcW w:w="907" w:type="dxa"/>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013E85">
              <w:rPr>
                <w:rFonts w:eastAsiaTheme="minorEastAsia" w:cs="Calibri"/>
                <w:iCs/>
                <w:color w:val="FFFFFF"/>
                <w:szCs w:val="18"/>
                <w:lang w:eastAsia="en-AU"/>
              </w:rPr>
              <w:t>Dec</w:t>
            </w:r>
          </w:p>
        </w:tc>
        <w:tc>
          <w:tcPr>
            <w:tcW w:w="907" w:type="dxa"/>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013E85">
              <w:rPr>
                <w:rFonts w:eastAsiaTheme="minorEastAsia" w:cs="Calibri"/>
                <w:iCs/>
                <w:color w:val="FFFFFF"/>
                <w:szCs w:val="18"/>
                <w:lang w:eastAsia="en-AU"/>
              </w:rPr>
              <w:t>Mar</w:t>
            </w:r>
          </w:p>
        </w:tc>
        <w:tc>
          <w:tcPr>
            <w:tcW w:w="907" w:type="dxa"/>
            <w:tcBorders>
              <w:top w:val="nil"/>
              <w:left w:val="nil"/>
              <w:bottom w:val="nil"/>
              <w:right w:val="nil"/>
            </w:tcBorders>
            <w:shd w:val="solid" w:color="000000" w:fill="auto"/>
          </w:tcPr>
          <w:p w:rsidR="00BB6F1F" w:rsidRPr="00013E85" w:rsidRDefault="00BB6F1F" w:rsidP="00AC68F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013E85">
              <w:rPr>
                <w:rFonts w:eastAsiaTheme="minorEastAsia" w:cs="Calibri"/>
                <w:iCs/>
                <w:color w:val="FFFFFF"/>
                <w:szCs w:val="18"/>
                <w:lang w:eastAsia="en-AU"/>
              </w:rPr>
              <w:t>Jun</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b/>
                <w:bCs/>
                <w:color w:val="000000"/>
                <w:szCs w:val="16"/>
                <w:lang w:eastAsia="en-AU"/>
              </w:rPr>
            </w:pPr>
            <w:r w:rsidRPr="00013E85">
              <w:rPr>
                <w:rFonts w:eastAsiaTheme="minorEastAsia" w:cs="Calibri"/>
                <w:b/>
                <w:bCs/>
                <w:color w:val="000000"/>
                <w:szCs w:val="16"/>
                <w:lang w:eastAsia="en-AU"/>
              </w:rPr>
              <w:t>Cash flows from operating activities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b/>
                <w:bCs/>
                <w:color w:val="000000"/>
                <w:szCs w:val="16"/>
                <w:lang w:eastAsia="en-AU"/>
              </w:rPr>
            </w:pPr>
            <w:r w:rsidRPr="00013E85">
              <w:rPr>
                <w:rFonts w:eastAsiaTheme="minorEastAsia" w:cs="Calibri"/>
                <w:b/>
                <w:bCs/>
                <w:color w:val="000000"/>
                <w:szCs w:val="16"/>
                <w:lang w:eastAsia="en-AU"/>
              </w:rPr>
              <w:t xml:space="preserve">Receipts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color w:val="000000"/>
                <w:szCs w:val="16"/>
                <w:lang w:eastAsia="en-AU"/>
              </w:rPr>
            </w:pPr>
            <w:r w:rsidRPr="00013E85">
              <w:rPr>
                <w:rFonts w:eastAsiaTheme="minorEastAsia" w:cs="Calibri"/>
                <w:color w:val="000000"/>
                <w:szCs w:val="16"/>
                <w:lang w:eastAsia="en-AU"/>
              </w:rPr>
              <w:t>Taxes received</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5 092</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5 078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5 805</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5 121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5 782</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color w:val="000000"/>
                <w:szCs w:val="16"/>
                <w:lang w:eastAsia="en-AU"/>
              </w:rPr>
            </w:pPr>
            <w:r w:rsidRPr="00013E85">
              <w:rPr>
                <w:rFonts w:eastAsiaTheme="minorEastAsia" w:cs="Calibri"/>
                <w:color w:val="000000"/>
                <w:szCs w:val="16"/>
                <w:lang w:eastAsia="en-AU"/>
              </w:rPr>
              <w:t>Grants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6 200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6 699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6 621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7 552</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6 670</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color w:val="000000"/>
                <w:szCs w:val="16"/>
                <w:vertAlign w:val="superscript"/>
                <w:lang w:eastAsia="en-AU"/>
              </w:rPr>
            </w:pPr>
            <w:r w:rsidRPr="00013E85">
              <w:rPr>
                <w:rFonts w:eastAsiaTheme="minorEastAsia" w:cs="Calibri"/>
                <w:color w:val="000000"/>
                <w:szCs w:val="16"/>
                <w:lang w:eastAsia="en-AU"/>
              </w:rPr>
              <w:t xml:space="preserve">Sales of goods and services </w:t>
            </w:r>
            <w:r w:rsidRPr="00013E85">
              <w:rPr>
                <w:rFonts w:eastAsiaTheme="minorEastAsia" w:cs="Calibri"/>
                <w:color w:val="000000"/>
                <w:szCs w:val="16"/>
                <w:vertAlign w:val="superscript"/>
                <w:lang w:eastAsia="en-AU"/>
              </w:rPr>
              <w:t>(a)</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2 060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1 891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1 890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2 031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1 926</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color w:val="000000"/>
                <w:szCs w:val="16"/>
                <w:lang w:eastAsia="en-AU"/>
              </w:rPr>
            </w:pPr>
            <w:r w:rsidRPr="00013E85">
              <w:rPr>
                <w:rFonts w:eastAsiaTheme="minorEastAsia" w:cs="Calibri"/>
                <w:color w:val="000000"/>
                <w:szCs w:val="16"/>
                <w:lang w:eastAsia="en-AU"/>
              </w:rPr>
              <w:t xml:space="preserve">Interest received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257</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color w:val="000000"/>
                <w:szCs w:val="16"/>
                <w:lang w:eastAsia="en-AU"/>
              </w:rPr>
            </w:pPr>
            <w:r w:rsidRPr="00013E85">
              <w:rPr>
                <w:rFonts w:eastAsiaTheme="minorEastAsia" w:cs="Calibri"/>
                <w:color w:val="000000"/>
                <w:szCs w:val="16"/>
                <w:lang w:eastAsia="en-AU"/>
              </w:rPr>
              <w:t>Dividends and income tax equivalent and rate equivalent receipts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417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163</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000000"/>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color w:val="000000"/>
                <w:szCs w:val="16"/>
                <w:lang w:eastAsia="en-AU"/>
              </w:rPr>
            </w:pPr>
            <w:r w:rsidRPr="00013E85">
              <w:rPr>
                <w:rFonts w:eastAsiaTheme="minorEastAsia" w:cs="Calibri"/>
                <w:color w:val="000000"/>
                <w:szCs w:val="16"/>
                <w:lang w:eastAsia="en-AU"/>
              </w:rPr>
              <w:t>Other receipts</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556</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317</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515</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360</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543</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b/>
                <w:bCs/>
                <w:color w:val="000000"/>
                <w:szCs w:val="16"/>
                <w:lang w:eastAsia="en-AU"/>
              </w:rPr>
            </w:pPr>
            <w:r w:rsidRPr="00013E85">
              <w:rPr>
                <w:rFonts w:eastAsiaTheme="minorEastAsia" w:cs="Calibri"/>
                <w:b/>
                <w:bCs/>
                <w:color w:val="000000"/>
                <w:szCs w:val="16"/>
                <w:lang w:eastAsia="en-AU"/>
              </w:rPr>
              <w:t>Total receipts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14 227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14 260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15 456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15 348</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15 341</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b/>
                <w:bCs/>
                <w:color w:val="000000"/>
                <w:szCs w:val="16"/>
                <w:lang w:eastAsia="en-AU"/>
              </w:rPr>
            </w:pPr>
            <w:r w:rsidRPr="00013E85">
              <w:rPr>
                <w:rFonts w:eastAsiaTheme="minorEastAsia" w:cs="Calibri"/>
                <w:b/>
                <w:bCs/>
                <w:color w:val="000000"/>
                <w:szCs w:val="16"/>
                <w:lang w:eastAsia="en-AU"/>
              </w:rPr>
              <w:t xml:space="preserve">Payments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color w:val="000000"/>
                <w:szCs w:val="16"/>
                <w:lang w:eastAsia="en-AU"/>
              </w:rPr>
            </w:pPr>
            <w:r w:rsidRPr="00013E85">
              <w:rPr>
                <w:rFonts w:eastAsiaTheme="minorEastAsia" w:cs="Calibri"/>
                <w:color w:val="000000"/>
                <w:szCs w:val="16"/>
                <w:lang w:eastAsia="en-AU"/>
              </w:rPr>
              <w:t>Payments for employees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(5 026)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(5 227)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(5 060)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(5 391)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(5 288)</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color w:val="000000"/>
                <w:szCs w:val="16"/>
                <w:lang w:eastAsia="en-AU"/>
              </w:rPr>
            </w:pPr>
            <w:r w:rsidRPr="00013E85">
              <w:rPr>
                <w:rFonts w:eastAsiaTheme="minorEastAsia" w:cs="Calibri"/>
                <w:color w:val="000000"/>
                <w:szCs w:val="16"/>
                <w:lang w:eastAsia="en-AU"/>
              </w:rPr>
              <w:t>Superannuation</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(689)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(743)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(495)</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(756)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(1 054)</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color w:val="000000"/>
                <w:szCs w:val="16"/>
                <w:lang w:eastAsia="en-AU"/>
              </w:rPr>
            </w:pPr>
            <w:r w:rsidRPr="00013E85">
              <w:rPr>
                <w:rFonts w:eastAsiaTheme="minorEastAsia" w:cs="Calibri"/>
                <w:color w:val="000000"/>
                <w:szCs w:val="16"/>
                <w:lang w:eastAsia="en-AU"/>
              </w:rPr>
              <w:t>Interest paid</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(491)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(493)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(529)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(499)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(477)</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color w:val="000000"/>
                <w:szCs w:val="16"/>
                <w:lang w:eastAsia="en-AU"/>
              </w:rPr>
            </w:pPr>
            <w:r w:rsidRPr="00013E85">
              <w:rPr>
                <w:rFonts w:eastAsiaTheme="minorEastAsia" w:cs="Calibri"/>
                <w:color w:val="000000"/>
                <w:szCs w:val="16"/>
                <w:lang w:eastAsia="en-AU"/>
              </w:rPr>
              <w:t>Grants and subsidies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(1 509)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(2 670)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(2 417)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(3 013)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(2 103)</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color w:val="000000"/>
                <w:szCs w:val="16"/>
                <w:vertAlign w:val="superscript"/>
                <w:lang w:eastAsia="en-AU"/>
              </w:rPr>
            </w:pPr>
            <w:r w:rsidRPr="00013E85">
              <w:rPr>
                <w:rFonts w:eastAsiaTheme="minorEastAsia" w:cs="Calibri"/>
                <w:color w:val="000000"/>
                <w:szCs w:val="16"/>
                <w:lang w:eastAsia="en-AU"/>
              </w:rPr>
              <w:t xml:space="preserve">Goods and services </w:t>
            </w:r>
            <w:r w:rsidRPr="00013E85">
              <w:rPr>
                <w:rFonts w:eastAsiaTheme="minorEastAsia" w:cs="Calibri"/>
                <w:color w:val="000000"/>
                <w:szCs w:val="16"/>
                <w:vertAlign w:val="superscript"/>
                <w:lang w:eastAsia="en-AU"/>
              </w:rPr>
              <w:t>(a)</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(4 646)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(4 563)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(4 917)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(4 106)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(4 462)</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color w:val="000000"/>
                <w:szCs w:val="16"/>
                <w:lang w:eastAsia="en-AU"/>
              </w:rPr>
            </w:pPr>
            <w:r w:rsidRPr="00013E85">
              <w:rPr>
                <w:rFonts w:eastAsiaTheme="minorEastAsia" w:cs="Calibri"/>
                <w:color w:val="000000"/>
                <w:szCs w:val="16"/>
                <w:lang w:eastAsia="en-AU"/>
              </w:rPr>
              <w:t>Other payments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(179)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(80)</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6" w:space="0" w:color="000000"/>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b/>
                <w:bCs/>
                <w:color w:val="000000"/>
                <w:szCs w:val="16"/>
                <w:lang w:eastAsia="en-AU"/>
              </w:rPr>
            </w:pPr>
            <w:r w:rsidRPr="00013E85">
              <w:rPr>
                <w:rFonts w:eastAsiaTheme="minorEastAsia" w:cs="Calibri"/>
                <w:b/>
                <w:bCs/>
                <w:color w:val="000000"/>
                <w:szCs w:val="16"/>
                <w:lang w:eastAsia="en-AU"/>
              </w:rPr>
              <w:t>Total payments</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(12 566)</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(13 890)</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(13 595)</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(13 932)</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(13 463)</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b/>
                <w:bCs/>
                <w:color w:val="000000"/>
                <w:szCs w:val="16"/>
                <w:lang w:eastAsia="en-AU"/>
              </w:rPr>
            </w:pPr>
            <w:r w:rsidRPr="00013E85">
              <w:rPr>
                <w:rFonts w:eastAsiaTheme="minorEastAsia" w:cs="Calibri"/>
                <w:b/>
                <w:bCs/>
                <w:color w:val="000000"/>
                <w:szCs w:val="16"/>
                <w:lang w:eastAsia="en-AU"/>
              </w:rPr>
              <w:t>Net cash flows from operating activities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1 661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370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1 861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1 416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1 878</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b/>
                <w:bCs/>
                <w:color w:val="000000"/>
                <w:szCs w:val="16"/>
                <w:lang w:eastAsia="en-AU"/>
              </w:rPr>
            </w:pPr>
            <w:r w:rsidRPr="00013E85">
              <w:rPr>
                <w:rFonts w:eastAsiaTheme="minorEastAsia" w:cs="Calibri"/>
                <w:b/>
                <w:bCs/>
                <w:color w:val="000000"/>
                <w:szCs w:val="16"/>
                <w:lang w:eastAsia="en-AU"/>
              </w:rPr>
              <w:t>Cash flows from investing activities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color w:val="000000"/>
                <w:szCs w:val="16"/>
                <w:lang w:eastAsia="en-AU"/>
              </w:rPr>
            </w:pPr>
            <w:r w:rsidRPr="00013E85">
              <w:rPr>
                <w:rFonts w:eastAsiaTheme="minorEastAsia" w:cs="Calibri"/>
                <w:color w:val="000000"/>
                <w:szCs w:val="16"/>
                <w:lang w:eastAsia="en-AU"/>
              </w:rPr>
              <w:t>Purchases of non-financial assets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(1 429)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(1 564)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(1 556)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(1 963)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(2 195)</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000000"/>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color w:val="000000"/>
                <w:szCs w:val="16"/>
                <w:lang w:eastAsia="en-AU"/>
              </w:rPr>
            </w:pPr>
            <w:r w:rsidRPr="00013E85">
              <w:rPr>
                <w:rFonts w:eastAsiaTheme="minorEastAsia" w:cs="Calibri"/>
                <w:color w:val="000000"/>
                <w:szCs w:val="16"/>
                <w:lang w:eastAsia="en-AU"/>
              </w:rPr>
              <w:t>Sales of non-financial assets</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87</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24</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40</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49</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173</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b/>
                <w:bCs/>
                <w:color w:val="000000"/>
                <w:szCs w:val="16"/>
                <w:lang w:eastAsia="en-AU"/>
              </w:rPr>
            </w:pPr>
            <w:r w:rsidRPr="00013E85">
              <w:rPr>
                <w:rFonts w:eastAsiaTheme="minorEastAsia" w:cs="Calibri"/>
                <w:b/>
                <w:bCs/>
                <w:color w:val="000000"/>
                <w:szCs w:val="16"/>
                <w:lang w:eastAsia="en-AU"/>
              </w:rPr>
              <w:t>Cash flows from investments in non-financial assets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(1 341)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(1 540)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(1 516)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(1 914)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(2 022)</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000000"/>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color w:val="000000"/>
                <w:szCs w:val="16"/>
                <w:lang w:eastAsia="en-AU"/>
              </w:rPr>
            </w:pPr>
            <w:r w:rsidRPr="00013E85">
              <w:rPr>
                <w:rFonts w:eastAsiaTheme="minorEastAsia" w:cs="Calibri"/>
                <w:color w:val="000000"/>
                <w:szCs w:val="16"/>
                <w:lang w:eastAsia="en-AU"/>
              </w:rPr>
              <w:t>Net cash flows from investments in financial assets for policy purposes</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359</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(90)</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(760)</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485</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499</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b/>
                <w:bCs/>
                <w:color w:val="000000"/>
                <w:szCs w:val="16"/>
                <w:lang w:eastAsia="en-AU"/>
              </w:rPr>
            </w:pPr>
            <w:r w:rsidRPr="00013E85">
              <w:rPr>
                <w:rFonts w:eastAsiaTheme="minorEastAsia" w:cs="Calibri"/>
                <w:b/>
                <w:bCs/>
                <w:color w:val="000000"/>
                <w:szCs w:val="16"/>
                <w:lang w:eastAsia="en-AU"/>
              </w:rPr>
              <w:t>Sub-total</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(982)</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(1 630)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(2 276)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(1 429)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(1 523)</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000000"/>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color w:val="000000"/>
                <w:szCs w:val="16"/>
                <w:lang w:eastAsia="en-AU"/>
              </w:rPr>
            </w:pPr>
            <w:r w:rsidRPr="00013E85">
              <w:rPr>
                <w:rFonts w:eastAsiaTheme="minorEastAsia" w:cs="Calibri"/>
                <w:color w:val="000000"/>
                <w:szCs w:val="16"/>
                <w:lang w:eastAsia="en-AU"/>
              </w:rPr>
              <w:t>Net cash flows from investments in financial assets for liquidity management purposes</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961</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(184)</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(2 454)</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(141)</w:t>
            </w:r>
          </w:p>
        </w:tc>
        <w:tc>
          <w:tcPr>
            <w:tcW w:w="907" w:type="dxa"/>
            <w:tcBorders>
              <w:top w:val="nil"/>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2 029</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b/>
                <w:bCs/>
                <w:color w:val="000000"/>
                <w:szCs w:val="16"/>
                <w:lang w:eastAsia="en-AU"/>
              </w:rPr>
            </w:pPr>
            <w:r w:rsidRPr="00013E85">
              <w:rPr>
                <w:rFonts w:eastAsiaTheme="minorEastAsia" w:cs="Calibri"/>
                <w:b/>
                <w:bCs/>
                <w:color w:val="000000"/>
                <w:szCs w:val="16"/>
                <w:lang w:eastAsia="en-AU"/>
              </w:rPr>
              <w:t>Net cash flows from investing activities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(22)</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(1 813)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(4 730)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(1 570)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506</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b/>
                <w:bCs/>
                <w:color w:val="000000"/>
                <w:szCs w:val="16"/>
                <w:lang w:eastAsia="en-AU"/>
              </w:rPr>
            </w:pPr>
            <w:r w:rsidRPr="00013E85">
              <w:rPr>
                <w:rFonts w:eastAsiaTheme="minorEastAsia" w:cs="Calibri"/>
                <w:b/>
                <w:bCs/>
                <w:color w:val="000000"/>
                <w:szCs w:val="16"/>
                <w:lang w:eastAsia="en-AU"/>
              </w:rPr>
              <w:t>Cash flows from financing activities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color w:val="000000"/>
                <w:szCs w:val="16"/>
                <w:lang w:eastAsia="en-AU"/>
              </w:rPr>
            </w:pPr>
            <w:r w:rsidRPr="00013E85">
              <w:rPr>
                <w:rFonts w:eastAsiaTheme="minorEastAsia" w:cs="Calibri"/>
                <w:color w:val="000000"/>
                <w:szCs w:val="16"/>
                <w:lang w:eastAsia="en-AU"/>
              </w:rPr>
              <w:t>Advances received (net)</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9 592</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(483)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(718)</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color w:val="000000"/>
                <w:szCs w:val="16"/>
                <w:lang w:eastAsia="en-AU"/>
              </w:rPr>
            </w:pPr>
            <w:r w:rsidRPr="00013E85">
              <w:rPr>
                <w:rFonts w:eastAsiaTheme="minorEastAsia" w:cs="Calibri"/>
                <w:color w:val="000000"/>
                <w:szCs w:val="16"/>
                <w:lang w:eastAsia="en-AU"/>
              </w:rPr>
              <w:t>Net borrowings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(1 336)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740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(6 566)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214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72</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color w:val="000000"/>
                <w:szCs w:val="16"/>
                <w:lang w:eastAsia="en-AU"/>
              </w:rPr>
            </w:pPr>
            <w:r w:rsidRPr="00013E85">
              <w:rPr>
                <w:rFonts w:eastAsiaTheme="minorEastAsia" w:cs="Calibri"/>
                <w:color w:val="000000"/>
                <w:szCs w:val="16"/>
                <w:lang w:eastAsia="en-AU"/>
              </w:rPr>
              <w:t>Deposits received (net)</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85</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(108)</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6" w:space="0" w:color="000000"/>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b/>
                <w:bCs/>
                <w:color w:val="000000"/>
                <w:szCs w:val="16"/>
                <w:lang w:eastAsia="en-AU"/>
              </w:rPr>
            </w:pPr>
            <w:r w:rsidRPr="00013E85">
              <w:rPr>
                <w:rFonts w:eastAsiaTheme="minorEastAsia" w:cs="Calibri"/>
                <w:b/>
                <w:bCs/>
                <w:color w:val="000000"/>
                <w:szCs w:val="16"/>
                <w:lang w:eastAsia="en-AU"/>
              </w:rPr>
              <w:t>Net cash flows from financing activities</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(1 282)</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750</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3 110</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(265)</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(754)</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b/>
                <w:bCs/>
                <w:color w:val="000000"/>
                <w:szCs w:val="16"/>
                <w:lang w:eastAsia="en-AU"/>
              </w:rPr>
            </w:pPr>
            <w:r w:rsidRPr="00013E85">
              <w:rPr>
                <w:rFonts w:eastAsiaTheme="minorEastAsia" w:cs="Calibri"/>
                <w:b/>
                <w:bCs/>
                <w:color w:val="000000"/>
                <w:szCs w:val="16"/>
                <w:lang w:eastAsia="en-AU"/>
              </w:rPr>
              <w:t xml:space="preserve">Net increase/(decrease) in cash and cash equivalents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357</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(693)</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240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(419)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1 630</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color w:val="000000"/>
                <w:szCs w:val="16"/>
                <w:lang w:eastAsia="en-AU"/>
              </w:rPr>
            </w:pPr>
            <w:r w:rsidRPr="00013E85">
              <w:rPr>
                <w:rFonts w:eastAsiaTheme="minorEastAsia" w:cs="Calibri"/>
                <w:color w:val="000000"/>
                <w:szCs w:val="16"/>
                <w:lang w:eastAsia="en-AU"/>
              </w:rPr>
              <w:t xml:space="preserve">Cash and </w:t>
            </w:r>
            <w:r>
              <w:rPr>
                <w:rFonts w:eastAsiaTheme="minorEastAsia" w:cs="Calibri"/>
                <w:color w:val="000000"/>
                <w:szCs w:val="16"/>
                <w:lang w:eastAsia="en-AU"/>
              </w:rPr>
              <w:t>cash equivalents at beginning of the</w:t>
            </w:r>
            <w:r w:rsidRPr="00013E85">
              <w:rPr>
                <w:rFonts w:eastAsiaTheme="minorEastAsia" w:cs="Calibri"/>
                <w:color w:val="000000"/>
                <w:szCs w:val="16"/>
                <w:lang w:eastAsia="en-AU"/>
              </w:rPr>
              <w:t xml:space="preserve"> reporting period</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4 415</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4 772</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4 079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4 319</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3 900</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6" w:space="0" w:color="000000"/>
              <w:right w:val="nil"/>
            </w:tcBorders>
            <w:shd w:val="solid" w:color="FFFFFF" w:fill="FFFFFF"/>
          </w:tcPr>
          <w:p w:rsidR="00BB6F1F" w:rsidRPr="00013E85" w:rsidRDefault="00BB6F1F" w:rsidP="00AC68FF">
            <w:pPr>
              <w:keepLines w:val="0"/>
              <w:autoSpaceDE w:val="0"/>
              <w:autoSpaceDN w:val="0"/>
              <w:adjustRightInd w:val="0"/>
              <w:rPr>
                <w:rFonts w:eastAsiaTheme="minorEastAsia" w:cs="Calibri"/>
                <w:b/>
                <w:bCs/>
                <w:color w:val="000000"/>
                <w:szCs w:val="16"/>
                <w:lang w:eastAsia="en-AU"/>
              </w:rPr>
            </w:pPr>
            <w:r w:rsidRPr="00013E85">
              <w:rPr>
                <w:rFonts w:eastAsiaTheme="minorEastAsia" w:cs="Calibri"/>
                <w:b/>
                <w:bCs/>
                <w:color w:val="000000"/>
                <w:szCs w:val="16"/>
                <w:lang w:eastAsia="en-AU"/>
              </w:rPr>
              <w:t>Cash and cash equivale</w:t>
            </w:r>
            <w:r>
              <w:rPr>
                <w:rFonts w:eastAsiaTheme="minorEastAsia" w:cs="Calibri"/>
                <w:b/>
                <w:bCs/>
                <w:color w:val="000000"/>
                <w:szCs w:val="16"/>
                <w:lang w:eastAsia="en-AU"/>
              </w:rPr>
              <w:t>nts at end of the reporting period</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4 772</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4 079</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4 319</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3 900</w:t>
            </w:r>
          </w:p>
        </w:tc>
        <w:tc>
          <w:tcPr>
            <w:tcW w:w="907" w:type="dxa"/>
            <w:tcBorders>
              <w:top w:val="single" w:sz="6" w:space="0" w:color="000000"/>
              <w:left w:val="nil"/>
              <w:bottom w:val="single" w:sz="6" w:space="0" w:color="000000"/>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5 530</w:t>
            </w:r>
          </w:p>
        </w:tc>
      </w:tr>
      <w:tr w:rsidR="00BB6F1F" w:rsidRPr="00013E85" w:rsidTr="00AC68FF">
        <w:trPr>
          <w:trHeight w:hRule="exact" w:val="120"/>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lang w:eastAsia="en-AU"/>
              </w:rPr>
            </w:pPr>
            <w:r w:rsidRPr="00013E85">
              <w:rPr>
                <w:rFonts w:eastAsiaTheme="minorEastAsia" w:cs="Calibri"/>
                <w:color w:val="000000"/>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13E85">
              <w:rPr>
                <w:rFonts w:eastAsiaTheme="minorEastAsia" w:cs="Calibri"/>
                <w:color w:val="000000"/>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13E85">
              <w:rPr>
                <w:rFonts w:eastAsiaTheme="minorEastAsia" w:cs="Calibri"/>
                <w:color w:val="000000"/>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13E85">
              <w:rPr>
                <w:rFonts w:eastAsiaTheme="minorEastAsia" w:cs="Calibri"/>
                <w:color w:val="000000"/>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13E85">
              <w:rPr>
                <w:rFonts w:eastAsiaTheme="minorEastAsia" w:cs="Calibri"/>
                <w:color w:val="000000"/>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013E85">
              <w:rPr>
                <w:rFonts w:eastAsiaTheme="minorEastAsia" w:cs="Calibri"/>
                <w:color w:val="000000"/>
                <w:lang w:eastAsia="en-AU"/>
              </w:rPr>
              <w:t xml:space="preserve"> </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b/>
                <w:bCs/>
                <w:color w:val="000000"/>
                <w:szCs w:val="16"/>
                <w:lang w:eastAsia="en-AU"/>
              </w:rPr>
            </w:pPr>
            <w:r w:rsidRPr="00013E85">
              <w:rPr>
                <w:rFonts w:eastAsiaTheme="minorEastAsia" w:cs="Calibri"/>
                <w:b/>
                <w:bCs/>
                <w:color w:val="000000"/>
                <w:szCs w:val="16"/>
                <w:lang w:eastAsia="en-AU"/>
              </w:rPr>
              <w:t>FISCAL AGGREGATES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013E85">
              <w:rPr>
                <w:rFonts w:eastAsiaTheme="minorEastAsia" w:cs="Calibri"/>
                <w:b/>
                <w:bCs/>
                <w:color w:val="000000"/>
                <w:szCs w:val="18"/>
                <w:lang w:eastAsia="en-AU"/>
              </w:rPr>
              <w:t xml:space="preserve"> </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6"/>
                <w:lang w:eastAsia="en-AU"/>
              </w:rPr>
            </w:pPr>
            <w:r w:rsidRPr="00013E85">
              <w:rPr>
                <w:rFonts w:eastAsiaTheme="minorEastAsia" w:cs="Calibri"/>
                <w:color w:val="000000"/>
                <w:szCs w:val="16"/>
                <w:lang w:eastAsia="en-AU"/>
              </w:rPr>
              <w:t>Net cash flows from operating activities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1 661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370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1 861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1 416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013E85">
              <w:rPr>
                <w:rFonts w:eastAsiaTheme="minorEastAsia" w:cs="Calibri"/>
                <w:color w:val="000000"/>
                <w:szCs w:val="18"/>
                <w:lang w:eastAsia="en-AU"/>
              </w:rPr>
              <w:t>1 878</w:t>
            </w:r>
          </w:p>
        </w:tc>
      </w:tr>
      <w:tr w:rsidR="00BB6F1F" w:rsidRPr="00013E85" w:rsidTr="00AC68FF">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rsidR="00BB6F1F" w:rsidRPr="00013E85" w:rsidRDefault="00BB6F1F" w:rsidP="00AC68FF">
            <w:pPr>
              <w:keepLines w:val="0"/>
              <w:autoSpaceDE w:val="0"/>
              <w:autoSpaceDN w:val="0"/>
              <w:adjustRightInd w:val="0"/>
              <w:rPr>
                <w:rFonts w:eastAsiaTheme="minorEastAsia" w:cs="Calibri"/>
                <w:color w:val="000000"/>
                <w:szCs w:val="16"/>
                <w:lang w:eastAsia="en-AU"/>
              </w:rPr>
            </w:pPr>
            <w:r w:rsidRPr="00013E85">
              <w:rPr>
                <w:rFonts w:eastAsiaTheme="minorEastAsia" w:cs="Calibri"/>
                <w:color w:val="000000"/>
                <w:szCs w:val="16"/>
                <w:lang w:eastAsia="en-AU"/>
              </w:rPr>
              <w:t>Net cash flows from investments in non-financial assets</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(1 341)</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(1 540)</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(1 516)</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(1 914)</w:t>
            </w:r>
          </w:p>
        </w:tc>
        <w:tc>
          <w:tcPr>
            <w:tcW w:w="907" w:type="dxa"/>
            <w:tcBorders>
              <w:top w:val="nil"/>
              <w:left w:val="nil"/>
              <w:bottom w:val="nil"/>
              <w:right w:val="nil"/>
            </w:tcBorders>
          </w:tcPr>
          <w:p w:rsidR="00BB6F1F" w:rsidRPr="00013E85" w:rsidRDefault="00BB6F1F" w:rsidP="00AC68F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(2 022)</w:t>
            </w:r>
          </w:p>
        </w:tc>
      </w:tr>
      <w:tr w:rsidR="00BB6F1F" w:rsidRPr="00013E85" w:rsidTr="00AC68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bottom w:val="single" w:sz="12" w:space="0" w:color="000000"/>
            </w:tcBorders>
          </w:tcPr>
          <w:p w:rsidR="00BB6F1F" w:rsidRPr="00013E85" w:rsidRDefault="00BB6F1F" w:rsidP="00AC68FF">
            <w:pPr>
              <w:keepLines w:val="0"/>
              <w:autoSpaceDE w:val="0"/>
              <w:autoSpaceDN w:val="0"/>
              <w:adjustRightInd w:val="0"/>
              <w:rPr>
                <w:rFonts w:eastAsiaTheme="minorEastAsia" w:cs="Calibri"/>
                <w:bCs/>
                <w:color w:val="000000"/>
                <w:szCs w:val="16"/>
                <w:lang w:eastAsia="en-AU"/>
              </w:rPr>
            </w:pPr>
            <w:r w:rsidRPr="00013E85">
              <w:rPr>
                <w:rFonts w:eastAsiaTheme="minorEastAsia" w:cs="Calibri"/>
                <w:bCs/>
                <w:color w:val="000000"/>
                <w:szCs w:val="16"/>
                <w:lang w:eastAsia="en-AU"/>
              </w:rPr>
              <w:t>Cash surplus/(deficit)</w:t>
            </w:r>
          </w:p>
        </w:tc>
        <w:tc>
          <w:tcPr>
            <w:tcW w:w="907" w:type="dxa"/>
            <w:tcBorders>
              <w:top w:val="single" w:sz="6" w:space="0" w:color="000000"/>
              <w:bottom w:val="single" w:sz="12" w:space="0" w:color="000000"/>
            </w:tcBorders>
          </w:tcPr>
          <w:p w:rsidR="00BB6F1F" w:rsidRPr="00013E85"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320</w:t>
            </w:r>
          </w:p>
        </w:tc>
        <w:tc>
          <w:tcPr>
            <w:tcW w:w="907" w:type="dxa"/>
            <w:tcBorders>
              <w:top w:val="single" w:sz="6" w:space="0" w:color="000000"/>
              <w:bottom w:val="single" w:sz="12" w:space="0" w:color="000000"/>
            </w:tcBorders>
          </w:tcPr>
          <w:p w:rsidR="00BB6F1F" w:rsidRPr="00013E85"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(1 170)</w:t>
            </w:r>
          </w:p>
        </w:tc>
        <w:tc>
          <w:tcPr>
            <w:tcW w:w="907" w:type="dxa"/>
            <w:tcBorders>
              <w:top w:val="single" w:sz="6" w:space="0" w:color="000000"/>
              <w:bottom w:val="single" w:sz="12" w:space="0" w:color="000000"/>
            </w:tcBorders>
          </w:tcPr>
          <w:p w:rsidR="00BB6F1F" w:rsidRPr="00013E85"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345</w:t>
            </w:r>
          </w:p>
        </w:tc>
        <w:tc>
          <w:tcPr>
            <w:tcW w:w="907" w:type="dxa"/>
            <w:tcBorders>
              <w:top w:val="single" w:sz="6" w:space="0" w:color="000000"/>
              <w:bottom w:val="single" w:sz="12" w:space="0" w:color="000000"/>
            </w:tcBorders>
          </w:tcPr>
          <w:p w:rsidR="00BB6F1F" w:rsidRPr="00013E85"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(497)</w:t>
            </w:r>
          </w:p>
        </w:tc>
        <w:tc>
          <w:tcPr>
            <w:tcW w:w="907" w:type="dxa"/>
            <w:tcBorders>
              <w:top w:val="single" w:sz="6" w:space="0" w:color="000000"/>
              <w:bottom w:val="single" w:sz="12" w:space="0" w:color="000000"/>
            </w:tcBorders>
          </w:tcPr>
          <w:p w:rsidR="00BB6F1F" w:rsidRPr="00013E85" w:rsidRDefault="00BB6F1F" w:rsidP="00AC68F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(144)</w:t>
            </w:r>
          </w:p>
        </w:tc>
      </w:tr>
    </w:tbl>
    <w:p w:rsidR="00BB6F1F" w:rsidRPr="00BC3229" w:rsidRDefault="00BB6F1F" w:rsidP="00AC68FF">
      <w:pPr>
        <w:pStyle w:val="Note"/>
      </w:pPr>
      <w:r w:rsidRPr="00BC3229">
        <w:t>Note:</w:t>
      </w:r>
    </w:p>
    <w:p w:rsidR="00BB6F1F" w:rsidRPr="00BC3229" w:rsidRDefault="00BB6F1F" w:rsidP="00AC68FF">
      <w:pPr>
        <w:pStyle w:val="Note"/>
      </w:pPr>
      <w:r w:rsidRPr="00BC3229">
        <w:t>(a)</w:t>
      </w:r>
      <w:r w:rsidRPr="00BC3229">
        <w:tab/>
        <w:t>These items are inclusive of goods and services tax.</w:t>
      </w:r>
    </w:p>
    <w:p w:rsidR="00BB6F1F" w:rsidRDefault="00BB6F1F" w:rsidP="00AC68FF">
      <w:pPr>
        <w:keepLines w:val="0"/>
      </w:pPr>
    </w:p>
    <w:p w:rsidR="00BB6F1F" w:rsidRDefault="00BB6F1F">
      <w:pPr>
        <w:keepLines w:val="0"/>
      </w:pPr>
      <w:r>
        <w:br w:type="page"/>
      </w:r>
    </w:p>
    <w:p w:rsidR="00BB6F1F" w:rsidRDefault="00BB6F1F" w:rsidP="00AC68FF">
      <w:pPr>
        <w:keepLines w:val="0"/>
      </w:pPr>
    </w:p>
    <w:p w:rsidR="00BB6F1F" w:rsidRDefault="00BB6F1F" w:rsidP="00A46F1A"/>
    <w:p w:rsidR="00BB6F1F" w:rsidRDefault="00BB6F1F" w:rsidP="00A46F1A"/>
    <w:p w:rsidR="00BB6F1F" w:rsidRDefault="00BB6F1F" w:rsidP="00A46F1A">
      <w:pPr>
        <w:sectPr w:rsidR="00BB6F1F" w:rsidSect="00ED1ABD">
          <w:footerReference w:type="even" r:id="rId178"/>
          <w:footerReference w:type="default" r:id="rId179"/>
          <w:pgSz w:w="11907" w:h="16839" w:code="9"/>
          <w:pgMar w:top="1134" w:right="1134" w:bottom="1134" w:left="1134" w:header="624" w:footer="567" w:gutter="0"/>
          <w:cols w:space="567"/>
          <w:docGrid w:linePitch="360"/>
        </w:sectPr>
      </w:pPr>
    </w:p>
    <w:p w:rsidR="00BB6F1F" w:rsidRDefault="00BB6F1F" w:rsidP="00AC68FF">
      <w:pPr>
        <w:pStyle w:val="Chapterheading"/>
      </w:pPr>
      <w:bookmarkStart w:id="108" w:name="_Toc492985883"/>
      <w:r w:rsidRPr="00746F15">
        <w:lastRenderedPageBreak/>
        <w:t xml:space="preserve">Appendix B – </w:t>
      </w:r>
      <w:r w:rsidRPr="00746F15">
        <w:rPr>
          <w:i/>
        </w:rPr>
        <w:t>Financial Management Act 1994</w:t>
      </w:r>
      <w:r w:rsidRPr="00746F15">
        <w:t xml:space="preserve"> – </w:t>
      </w:r>
      <w:r w:rsidRPr="00AC0B94">
        <w:t>Compliance</w:t>
      </w:r>
      <w:r w:rsidRPr="00746F15">
        <w:t xml:space="preserve"> index</w:t>
      </w:r>
      <w:bookmarkEnd w:id="108"/>
    </w:p>
    <w:p w:rsidR="00BB6F1F" w:rsidRDefault="00BB6F1F" w:rsidP="00AC68FF">
      <w:pPr>
        <w:sectPr w:rsidR="00BB6F1F" w:rsidSect="00ED1ABD">
          <w:headerReference w:type="even" r:id="rId180"/>
          <w:headerReference w:type="default" r:id="rId181"/>
          <w:footerReference w:type="even" r:id="rId182"/>
          <w:footerReference w:type="default" r:id="rId183"/>
          <w:headerReference w:type="first" r:id="rId184"/>
          <w:footerReference w:type="first" r:id="rId185"/>
          <w:pgSz w:w="11907" w:h="16839" w:code="9"/>
          <w:pgMar w:top="1134" w:right="1134" w:bottom="1134" w:left="1134" w:header="624" w:footer="567" w:gutter="0"/>
          <w:cols w:sep="1" w:space="567"/>
          <w:docGrid w:linePitch="360"/>
        </w:sectPr>
      </w:pPr>
    </w:p>
    <w:p w:rsidR="00BB6F1F" w:rsidRDefault="00BB6F1F" w:rsidP="00AC68FF">
      <w:pPr>
        <w:keepLines w:val="0"/>
      </w:pPr>
      <w:r>
        <w:lastRenderedPageBreak/>
        <w:t xml:space="preserve">The </w:t>
      </w:r>
      <w:r w:rsidRPr="00FD2E26">
        <w:rPr>
          <w:i/>
        </w:rPr>
        <w:t>Financial Management Act 1994</w:t>
      </w:r>
      <w:r>
        <w:t xml:space="preserve"> (the Act) requires the Minister to prepare an audited annual financial report for tabling in Parliament. This report has been prepared in accordance with applicable Australian Accounting Standards and the Act.</w:t>
      </w:r>
    </w:p>
    <w:p w:rsidR="00BB6F1F" w:rsidRDefault="00BB6F1F" w:rsidP="00AC68FF">
      <w:pPr>
        <w:keepLines w:val="0"/>
      </w:pPr>
      <w:r>
        <w:t>The Act also requires the annual financial report to meet certain requirements. The following compliance index explains how these requirements are met, together with appropriate references in this document.</w:t>
      </w:r>
    </w:p>
    <w:p w:rsidR="00BB6F1F" w:rsidRDefault="00BB6F1F">
      <w:pPr>
        <w:keepLines w:val="0"/>
      </w:pPr>
    </w:p>
    <w:tbl>
      <w:tblPr>
        <w:tblW w:w="9673" w:type="dxa"/>
        <w:tblInd w:w="43" w:type="dxa"/>
        <w:tblCellMar>
          <w:left w:w="43" w:type="dxa"/>
          <w:right w:w="43" w:type="dxa"/>
        </w:tblCellMar>
        <w:tblLook w:val="01E0" w:firstRow="1" w:lastRow="1" w:firstColumn="1" w:lastColumn="1" w:noHBand="0" w:noVBand="0"/>
      </w:tblPr>
      <w:tblGrid>
        <w:gridCol w:w="2250"/>
        <w:gridCol w:w="4183"/>
        <w:gridCol w:w="3240"/>
      </w:tblGrid>
      <w:tr w:rsidR="00BB6F1F" w:rsidRPr="00B31535" w:rsidTr="00AC68FF">
        <w:trPr>
          <w:cantSplit/>
          <w:tblHeader/>
        </w:trPr>
        <w:tc>
          <w:tcPr>
            <w:tcW w:w="2250" w:type="dxa"/>
            <w:tcBorders>
              <w:top w:val="single" w:sz="4" w:space="0" w:color="auto"/>
              <w:bottom w:val="single" w:sz="4" w:space="0" w:color="auto"/>
            </w:tcBorders>
            <w:shd w:val="clear" w:color="auto" w:fill="000000"/>
          </w:tcPr>
          <w:p w:rsidR="00BB6F1F" w:rsidRPr="00B31535" w:rsidRDefault="00BB6F1F" w:rsidP="00AC68FF">
            <w:pPr>
              <w:rPr>
                <w:rFonts w:ascii="Calibri" w:eastAsia="Times New Roman" w:hAnsi="Calibri" w:cs="Times New Roman"/>
                <w:i/>
                <w:szCs w:val="18"/>
              </w:rPr>
            </w:pPr>
            <w:r w:rsidRPr="00B31535">
              <w:rPr>
                <w:rFonts w:ascii="Calibri" w:eastAsia="Times New Roman" w:hAnsi="Calibri" w:cs="Times New Roman"/>
                <w:szCs w:val="18"/>
              </w:rPr>
              <w:t>Financial Management Act 1994</w:t>
            </w:r>
            <w:r w:rsidRPr="00B31535">
              <w:rPr>
                <w:rFonts w:ascii="Calibri" w:eastAsia="Times New Roman" w:hAnsi="Calibri" w:cs="Times New Roman"/>
                <w:i/>
                <w:szCs w:val="18"/>
              </w:rPr>
              <w:t xml:space="preserve"> reference</w:t>
            </w:r>
          </w:p>
        </w:tc>
        <w:tc>
          <w:tcPr>
            <w:tcW w:w="4183" w:type="dxa"/>
            <w:tcBorders>
              <w:top w:val="single" w:sz="4" w:space="0" w:color="auto"/>
              <w:bottom w:val="single" w:sz="4" w:space="0" w:color="auto"/>
            </w:tcBorders>
            <w:shd w:val="clear" w:color="auto" w:fill="000000"/>
            <w:vAlign w:val="bottom"/>
          </w:tcPr>
          <w:p w:rsidR="00BB6F1F" w:rsidRPr="00B31535" w:rsidRDefault="00BB6F1F" w:rsidP="00AC68FF">
            <w:pPr>
              <w:rPr>
                <w:rFonts w:ascii="Calibri" w:eastAsia="Times New Roman" w:hAnsi="Calibri" w:cs="Times New Roman"/>
                <w:i/>
                <w:szCs w:val="18"/>
              </w:rPr>
            </w:pPr>
            <w:r w:rsidRPr="00B31535">
              <w:rPr>
                <w:rFonts w:ascii="Calibri" w:eastAsia="Times New Roman" w:hAnsi="Calibri" w:cs="Times New Roman"/>
                <w:i/>
                <w:szCs w:val="18"/>
              </w:rPr>
              <w:t>Requirement</w:t>
            </w:r>
          </w:p>
        </w:tc>
        <w:tc>
          <w:tcPr>
            <w:tcW w:w="3240" w:type="dxa"/>
            <w:tcBorders>
              <w:top w:val="single" w:sz="4" w:space="0" w:color="auto"/>
              <w:bottom w:val="single" w:sz="4" w:space="0" w:color="auto"/>
            </w:tcBorders>
            <w:shd w:val="clear" w:color="auto" w:fill="000000"/>
            <w:vAlign w:val="bottom"/>
          </w:tcPr>
          <w:p w:rsidR="00BB6F1F" w:rsidRPr="00B31535" w:rsidRDefault="00BB6F1F" w:rsidP="00AC68FF">
            <w:pPr>
              <w:rPr>
                <w:rFonts w:ascii="Calibri" w:eastAsia="Times New Roman" w:hAnsi="Calibri" w:cs="Times New Roman"/>
                <w:i/>
                <w:szCs w:val="18"/>
              </w:rPr>
            </w:pPr>
            <w:r w:rsidRPr="00B31535">
              <w:rPr>
                <w:rFonts w:ascii="Calibri" w:eastAsia="Times New Roman" w:hAnsi="Calibri" w:cs="Times New Roman"/>
                <w:i/>
                <w:szCs w:val="18"/>
              </w:rPr>
              <w:t>Comments/reference</w:t>
            </w:r>
          </w:p>
        </w:tc>
      </w:tr>
      <w:tr w:rsidR="00BB6F1F" w:rsidRPr="00B31535" w:rsidTr="00AC68FF">
        <w:trPr>
          <w:cantSplit/>
        </w:trPr>
        <w:tc>
          <w:tcPr>
            <w:tcW w:w="2250" w:type="dxa"/>
            <w:tcBorders>
              <w:top w:val="single" w:sz="4" w:space="0" w:color="auto"/>
            </w:tcBorders>
            <w:shd w:val="clear" w:color="auto" w:fill="auto"/>
          </w:tcPr>
          <w:p w:rsidR="00BB6F1F" w:rsidRPr="00B31535" w:rsidRDefault="00BB6F1F" w:rsidP="00AC68FF">
            <w:pPr>
              <w:spacing w:after="40"/>
              <w:ind w:left="180" w:hanging="180"/>
              <w:rPr>
                <w:rFonts w:ascii="Calibri" w:eastAsia="Times New Roman" w:hAnsi="Calibri" w:cs="Times New Roman"/>
                <w:szCs w:val="18"/>
              </w:rPr>
            </w:pPr>
            <w:r w:rsidRPr="00B31535">
              <w:rPr>
                <w:rFonts w:ascii="Calibri" w:eastAsia="Times New Roman" w:hAnsi="Calibri" w:cs="Times New Roman"/>
                <w:szCs w:val="18"/>
              </w:rPr>
              <w:t xml:space="preserve">Section 24(1) </w:t>
            </w:r>
          </w:p>
        </w:tc>
        <w:tc>
          <w:tcPr>
            <w:tcW w:w="4183" w:type="dxa"/>
            <w:tcBorders>
              <w:top w:val="single" w:sz="4" w:space="0" w:color="auto"/>
            </w:tcBorders>
            <w:shd w:val="clear" w:color="auto" w:fill="auto"/>
          </w:tcPr>
          <w:p w:rsidR="00BB6F1F" w:rsidRPr="00B31535" w:rsidRDefault="00BB6F1F" w:rsidP="00AC68FF">
            <w:pPr>
              <w:spacing w:after="40"/>
              <w:rPr>
                <w:rFonts w:ascii="Calibri" w:eastAsia="Times New Roman" w:hAnsi="Calibri" w:cs="Times New Roman"/>
                <w:szCs w:val="18"/>
              </w:rPr>
            </w:pPr>
            <w:r w:rsidRPr="00B31535">
              <w:rPr>
                <w:rFonts w:ascii="Calibri" w:eastAsia="Times New Roman" w:hAnsi="Calibri" w:cs="Times New Roman"/>
                <w:szCs w:val="18"/>
              </w:rPr>
              <w:t>The Minister must prepare an annual financial report for each financial year.</w:t>
            </w:r>
          </w:p>
        </w:tc>
        <w:tc>
          <w:tcPr>
            <w:tcW w:w="3240" w:type="dxa"/>
            <w:tcBorders>
              <w:top w:val="single" w:sz="4" w:space="0" w:color="auto"/>
            </w:tcBorders>
            <w:shd w:val="clear" w:color="auto" w:fill="auto"/>
          </w:tcPr>
          <w:p w:rsidR="00BB6F1F" w:rsidRPr="00B31535" w:rsidRDefault="00BB6F1F" w:rsidP="00AC68FF">
            <w:pPr>
              <w:spacing w:after="40"/>
              <w:rPr>
                <w:rFonts w:ascii="Calibri" w:eastAsia="Times New Roman" w:hAnsi="Calibri" w:cs="Times New Roman"/>
                <w:szCs w:val="18"/>
              </w:rPr>
            </w:pPr>
            <w:r w:rsidRPr="00B31535">
              <w:rPr>
                <w:rFonts w:ascii="Calibri" w:eastAsia="Times New Roman" w:hAnsi="Calibri" w:cs="Times New Roman"/>
                <w:szCs w:val="18"/>
              </w:rPr>
              <w:t>Refer to Chapter 4</w:t>
            </w:r>
          </w:p>
        </w:tc>
      </w:tr>
      <w:tr w:rsidR="00BB6F1F" w:rsidRPr="00B31535" w:rsidTr="00AC68FF">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rPr>
            </w:pPr>
            <w:r w:rsidRPr="00B31535">
              <w:rPr>
                <w:rFonts w:ascii="Calibri" w:eastAsia="Times New Roman" w:hAnsi="Calibri" w:cs="Times New Roman"/>
                <w:szCs w:val="18"/>
              </w:rPr>
              <w:t>Section 24(2)</w:t>
            </w:r>
          </w:p>
        </w:tc>
        <w:tc>
          <w:tcPr>
            <w:tcW w:w="4183" w:type="dxa"/>
            <w:shd w:val="clear" w:color="auto" w:fill="auto"/>
          </w:tcPr>
          <w:p w:rsidR="00BB6F1F" w:rsidRPr="00B31535" w:rsidRDefault="00BB6F1F" w:rsidP="00AC68FF">
            <w:pPr>
              <w:spacing w:after="40"/>
              <w:rPr>
                <w:rFonts w:ascii="Calibri" w:eastAsia="Times New Roman" w:hAnsi="Calibri" w:cs="Times New Roman"/>
                <w:szCs w:val="18"/>
              </w:rPr>
            </w:pPr>
            <w:r w:rsidRPr="00B31535">
              <w:rPr>
                <w:rFonts w:ascii="Calibri" w:eastAsia="Times New Roman" w:hAnsi="Calibri" w:cs="Times New Roman"/>
                <w:szCs w:val="18"/>
              </w:rPr>
              <w:t>The annual financial report:</w:t>
            </w:r>
          </w:p>
          <w:p w:rsidR="00BB6F1F" w:rsidRPr="00B31535" w:rsidRDefault="00BB6F1F"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(a)</w:t>
            </w:r>
            <w:r w:rsidRPr="00B31535">
              <w:rPr>
                <w:rFonts w:ascii="Calibri" w:eastAsia="Times New Roman" w:hAnsi="Calibri" w:cs="Times New Roman"/>
                <w:szCs w:val="20"/>
              </w:rPr>
              <w:tab/>
              <w:t>must be prepared in the manner and form determined by the Minister, having regard to appropriate financial reporting frameworks;</w:t>
            </w:r>
          </w:p>
        </w:tc>
        <w:tc>
          <w:tcPr>
            <w:tcW w:w="3240" w:type="dxa"/>
            <w:shd w:val="clear" w:color="auto" w:fill="auto"/>
          </w:tcPr>
          <w:p w:rsidR="00BB6F1F" w:rsidRPr="00B31535" w:rsidRDefault="00BB6F1F" w:rsidP="00AC68FF">
            <w:pPr>
              <w:spacing w:after="40"/>
              <w:rPr>
                <w:rFonts w:ascii="Calibri" w:eastAsia="Times New Roman" w:hAnsi="Calibri" w:cs="Times New Roman"/>
                <w:szCs w:val="18"/>
              </w:rPr>
            </w:pPr>
            <w:r w:rsidRPr="00B31535">
              <w:rPr>
                <w:rFonts w:ascii="Calibri" w:eastAsia="Times New Roman" w:hAnsi="Calibri" w:cs="Times New Roman"/>
                <w:szCs w:val="18"/>
              </w:rPr>
              <w:t>Manner is in accordance with Australian Accounting Standards and Ministerial Directions. Form is consolidated comprehensive operating statement, consolidated balance sheet, consolidated cash flow statement, consolidated statement of changes in equity and accompanying notes. Refer to Chapter 4</w:t>
            </w:r>
          </w:p>
        </w:tc>
      </w:tr>
      <w:tr w:rsidR="00BB6F1F" w:rsidRPr="00B31535" w:rsidTr="00AC68FF">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rPr>
            </w:pPr>
          </w:p>
        </w:tc>
        <w:tc>
          <w:tcPr>
            <w:tcW w:w="4183" w:type="dxa"/>
            <w:shd w:val="clear" w:color="auto" w:fill="auto"/>
          </w:tcPr>
          <w:p w:rsidR="00BB6F1F" w:rsidRPr="00B31535" w:rsidRDefault="00BB6F1F" w:rsidP="00AC68FF">
            <w:pPr>
              <w:tabs>
                <w:tab w:val="left" w:pos="344"/>
              </w:tabs>
              <w:spacing w:after="40"/>
              <w:ind w:left="360" w:hanging="360"/>
              <w:rPr>
                <w:rFonts w:ascii="Calibri" w:eastAsia="Times New Roman" w:hAnsi="Calibri" w:cs="Times New Roman"/>
                <w:szCs w:val="18"/>
              </w:rPr>
            </w:pPr>
            <w:r w:rsidRPr="00B31535">
              <w:rPr>
                <w:rFonts w:ascii="Calibri" w:eastAsia="Times New Roman" w:hAnsi="Calibri" w:cs="Times New Roman"/>
                <w:szCs w:val="18"/>
              </w:rPr>
              <w:t>(b)</w:t>
            </w:r>
            <w:r w:rsidRPr="00B31535">
              <w:rPr>
                <w:rFonts w:ascii="Calibri" w:eastAsia="Times New Roman" w:hAnsi="Calibri" w:cs="Times New Roman"/>
                <w:szCs w:val="18"/>
              </w:rPr>
              <w:tab/>
              <w:t>must present fairly the financial position of the State and the Victorian general government sector at the end of the financial year; and</w:t>
            </w:r>
          </w:p>
        </w:tc>
        <w:tc>
          <w:tcPr>
            <w:tcW w:w="3240" w:type="dxa"/>
            <w:shd w:val="clear" w:color="auto" w:fill="auto"/>
          </w:tcPr>
          <w:p w:rsidR="00BB6F1F" w:rsidRPr="00B31535" w:rsidRDefault="00BB6F1F" w:rsidP="00AC68FF">
            <w:pPr>
              <w:spacing w:after="40"/>
              <w:rPr>
                <w:rFonts w:ascii="Calibri" w:eastAsia="Times New Roman" w:hAnsi="Calibri" w:cs="Times New Roman"/>
                <w:szCs w:val="18"/>
              </w:rPr>
            </w:pPr>
            <w:r w:rsidRPr="00B31535">
              <w:rPr>
                <w:rFonts w:ascii="Calibri" w:eastAsia="Times New Roman" w:hAnsi="Calibri" w:cs="Times New Roman"/>
                <w:szCs w:val="18"/>
              </w:rPr>
              <w:t>Consolidated balance</w:t>
            </w:r>
            <w:r>
              <w:rPr>
                <w:rFonts w:ascii="Calibri" w:eastAsia="Times New Roman" w:hAnsi="Calibri" w:cs="Times New Roman"/>
                <w:szCs w:val="18"/>
              </w:rPr>
              <w:t xml:space="preserve"> sheet, page 31</w:t>
            </w:r>
          </w:p>
        </w:tc>
      </w:tr>
      <w:tr w:rsidR="00BB6F1F" w:rsidRPr="00B31535" w:rsidTr="00AC68FF">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rPr>
            </w:pPr>
          </w:p>
        </w:tc>
        <w:tc>
          <w:tcPr>
            <w:tcW w:w="4183" w:type="dxa"/>
            <w:shd w:val="clear" w:color="auto" w:fill="auto"/>
          </w:tcPr>
          <w:p w:rsidR="00BB6F1F" w:rsidRPr="00B31535" w:rsidRDefault="00BB6F1F" w:rsidP="00AC68FF">
            <w:pPr>
              <w:spacing w:after="40"/>
              <w:ind w:left="720" w:hanging="360"/>
              <w:rPr>
                <w:rFonts w:ascii="Calibri" w:eastAsia="Times New Roman" w:hAnsi="Calibri" w:cs="Times New Roman"/>
                <w:szCs w:val="18"/>
              </w:rPr>
            </w:pPr>
            <w:r w:rsidRPr="00B31535">
              <w:rPr>
                <w:rFonts w:ascii="Calibri" w:eastAsia="Times New Roman" w:hAnsi="Calibri" w:cs="Times New Roman"/>
                <w:szCs w:val="18"/>
              </w:rPr>
              <w:t>(</w:t>
            </w:r>
            <w:proofErr w:type="spellStart"/>
            <w:r w:rsidRPr="00B31535">
              <w:rPr>
                <w:rFonts w:ascii="Calibri" w:eastAsia="Times New Roman" w:hAnsi="Calibri" w:cs="Times New Roman"/>
                <w:szCs w:val="18"/>
              </w:rPr>
              <w:t>i</w:t>
            </w:r>
            <w:proofErr w:type="spellEnd"/>
            <w:r w:rsidRPr="00B31535">
              <w:rPr>
                <w:rFonts w:ascii="Calibri" w:eastAsia="Times New Roman" w:hAnsi="Calibri" w:cs="Times New Roman"/>
                <w:szCs w:val="18"/>
              </w:rPr>
              <w:t>)</w:t>
            </w:r>
            <w:r w:rsidRPr="00B31535">
              <w:rPr>
                <w:rFonts w:ascii="Calibri" w:eastAsia="Times New Roman" w:hAnsi="Calibri" w:cs="Times New Roman"/>
                <w:szCs w:val="18"/>
              </w:rPr>
              <w:tab/>
              <w:t>the transactions o</w:t>
            </w:r>
            <w:r>
              <w:rPr>
                <w:rFonts w:ascii="Calibri" w:eastAsia="Times New Roman" w:hAnsi="Calibri" w:cs="Times New Roman"/>
                <w:szCs w:val="18"/>
              </w:rPr>
              <w:t>n</w:t>
            </w:r>
            <w:r w:rsidRPr="00B31535">
              <w:rPr>
                <w:rFonts w:ascii="Calibri" w:eastAsia="Times New Roman" w:hAnsi="Calibri" w:cs="Times New Roman"/>
                <w:szCs w:val="18"/>
              </w:rPr>
              <w:t xml:space="preserve"> the Public Account;</w:t>
            </w:r>
          </w:p>
        </w:tc>
        <w:tc>
          <w:tcPr>
            <w:tcW w:w="3240" w:type="dxa"/>
            <w:shd w:val="clear" w:color="auto" w:fill="auto"/>
          </w:tcPr>
          <w:p w:rsidR="00BB6F1F" w:rsidRPr="00B31535" w:rsidRDefault="00BB6F1F" w:rsidP="00C14F47">
            <w:pPr>
              <w:spacing w:after="40"/>
              <w:rPr>
                <w:rFonts w:ascii="Calibri" w:eastAsia="Times New Roman" w:hAnsi="Calibri" w:cs="Times New Roman"/>
                <w:szCs w:val="18"/>
              </w:rPr>
            </w:pPr>
            <w:r>
              <w:rPr>
                <w:rFonts w:ascii="Calibri" w:eastAsia="Times New Roman" w:hAnsi="Calibri" w:cs="Times New Roman"/>
                <w:szCs w:val="18"/>
              </w:rPr>
              <w:t xml:space="preserve">Refer Chapter 4, </w:t>
            </w:r>
            <w:r w:rsidRPr="00EB2F27">
              <w:rPr>
                <w:rFonts w:ascii="Calibri" w:eastAsia="Times New Roman" w:hAnsi="Calibri" w:cs="Times New Roman"/>
                <w:szCs w:val="18"/>
              </w:rPr>
              <w:t>Note 8.2</w:t>
            </w:r>
            <w:r w:rsidR="009C6A5E">
              <w:rPr>
                <w:rFonts w:ascii="Calibri" w:eastAsia="Times New Roman" w:hAnsi="Calibri" w:cs="Times New Roman"/>
                <w:szCs w:val="18"/>
              </w:rPr>
              <w:t>,</w:t>
            </w:r>
            <w:r w:rsidR="00C14F47">
              <w:rPr>
                <w:rFonts w:ascii="Calibri" w:eastAsia="Times New Roman" w:hAnsi="Calibri" w:cs="Times New Roman"/>
                <w:szCs w:val="18"/>
              </w:rPr>
              <w:t xml:space="preserve"> pages 116-128</w:t>
            </w:r>
          </w:p>
        </w:tc>
      </w:tr>
      <w:tr w:rsidR="00BB6F1F" w:rsidRPr="00B31535" w:rsidTr="00AC68FF">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rPr>
            </w:pPr>
          </w:p>
        </w:tc>
        <w:tc>
          <w:tcPr>
            <w:tcW w:w="4183" w:type="dxa"/>
            <w:shd w:val="clear" w:color="auto" w:fill="auto"/>
          </w:tcPr>
          <w:p w:rsidR="00BB6F1F" w:rsidRPr="00B31535" w:rsidRDefault="00BB6F1F" w:rsidP="00AC68FF">
            <w:pPr>
              <w:spacing w:after="40"/>
              <w:ind w:left="720" w:hanging="360"/>
              <w:rPr>
                <w:rFonts w:ascii="Calibri" w:eastAsia="Times New Roman" w:hAnsi="Calibri" w:cs="Times New Roman"/>
                <w:szCs w:val="18"/>
              </w:rPr>
            </w:pPr>
            <w:r>
              <w:rPr>
                <w:rFonts w:ascii="Calibri" w:eastAsia="Times New Roman" w:hAnsi="Calibri" w:cs="Times New Roman"/>
                <w:szCs w:val="18"/>
              </w:rPr>
              <w:t>(ii)</w:t>
            </w:r>
            <w:r>
              <w:rPr>
                <w:rFonts w:ascii="Calibri" w:eastAsia="Times New Roman" w:hAnsi="Calibri" w:cs="Times New Roman"/>
                <w:szCs w:val="18"/>
              </w:rPr>
              <w:tab/>
              <w:t>the transactions of</w:t>
            </w:r>
            <w:r w:rsidRPr="00B31535">
              <w:rPr>
                <w:rFonts w:ascii="Calibri" w:eastAsia="Times New Roman" w:hAnsi="Calibri" w:cs="Times New Roman"/>
                <w:szCs w:val="18"/>
              </w:rPr>
              <w:t xml:space="preserve"> the Victorian general government sector; and</w:t>
            </w:r>
          </w:p>
        </w:tc>
        <w:tc>
          <w:tcPr>
            <w:tcW w:w="3240" w:type="dxa"/>
            <w:shd w:val="clear" w:color="auto" w:fill="auto"/>
          </w:tcPr>
          <w:p w:rsidR="00BB6F1F" w:rsidRPr="00B31535" w:rsidRDefault="00BB6F1F" w:rsidP="00AC68FF">
            <w:pPr>
              <w:spacing w:after="40"/>
              <w:rPr>
                <w:rFonts w:ascii="Calibri" w:eastAsia="Times New Roman" w:hAnsi="Calibri" w:cs="Times New Roman"/>
                <w:szCs w:val="18"/>
              </w:rPr>
            </w:pPr>
            <w:r w:rsidRPr="00B31535">
              <w:rPr>
                <w:rFonts w:ascii="Calibri" w:eastAsia="Times New Roman" w:hAnsi="Calibri" w:cs="Times New Roman"/>
                <w:szCs w:val="18"/>
              </w:rPr>
              <w:t>Refer Chapter 4, consolidated comprehensive operating statement page </w:t>
            </w:r>
            <w:r>
              <w:rPr>
                <w:rFonts w:ascii="Calibri" w:eastAsia="Times New Roman" w:hAnsi="Calibri" w:cs="Times New Roman"/>
                <w:szCs w:val="18"/>
              </w:rPr>
              <w:t>30</w:t>
            </w:r>
            <w:r w:rsidRPr="00B31535">
              <w:rPr>
                <w:rFonts w:ascii="Calibri" w:eastAsia="Times New Roman" w:hAnsi="Calibri" w:cs="Times New Roman"/>
                <w:szCs w:val="18"/>
              </w:rPr>
              <w:t>, consolidated cash flow statement page </w:t>
            </w:r>
            <w:r w:rsidRPr="00EB2F27">
              <w:rPr>
                <w:rFonts w:ascii="Calibri" w:eastAsia="Times New Roman" w:hAnsi="Calibri" w:cs="Times New Roman"/>
                <w:szCs w:val="18"/>
              </w:rPr>
              <w:t>3</w:t>
            </w:r>
            <w:r>
              <w:rPr>
                <w:rFonts w:ascii="Calibri" w:eastAsia="Times New Roman" w:hAnsi="Calibri" w:cs="Times New Roman"/>
                <w:szCs w:val="18"/>
              </w:rPr>
              <w:t>2</w:t>
            </w:r>
            <w:r w:rsidRPr="00B31535">
              <w:rPr>
                <w:rFonts w:ascii="Calibri" w:eastAsia="Times New Roman" w:hAnsi="Calibri" w:cs="Times New Roman"/>
                <w:szCs w:val="18"/>
              </w:rPr>
              <w:t xml:space="preserve"> and selected notes</w:t>
            </w:r>
          </w:p>
        </w:tc>
      </w:tr>
      <w:tr w:rsidR="00BB6F1F" w:rsidRPr="00B31535" w:rsidTr="00AC68FF">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rPr>
            </w:pPr>
          </w:p>
        </w:tc>
        <w:tc>
          <w:tcPr>
            <w:tcW w:w="4183" w:type="dxa"/>
            <w:shd w:val="clear" w:color="auto" w:fill="auto"/>
          </w:tcPr>
          <w:p w:rsidR="00BB6F1F" w:rsidRPr="00B31535" w:rsidRDefault="00BB6F1F" w:rsidP="00AC68FF">
            <w:pPr>
              <w:spacing w:after="40"/>
              <w:ind w:left="720" w:hanging="360"/>
              <w:rPr>
                <w:rFonts w:ascii="Calibri" w:eastAsia="Times New Roman" w:hAnsi="Calibri" w:cs="Times New Roman"/>
                <w:szCs w:val="18"/>
              </w:rPr>
            </w:pPr>
            <w:r w:rsidRPr="00B31535">
              <w:rPr>
                <w:rFonts w:ascii="Calibri" w:eastAsia="Times New Roman" w:hAnsi="Calibri" w:cs="Times New Roman"/>
                <w:szCs w:val="18"/>
              </w:rPr>
              <w:t>(iii)</w:t>
            </w:r>
            <w:r w:rsidRPr="00B31535">
              <w:rPr>
                <w:rFonts w:ascii="Calibri" w:eastAsia="Times New Roman" w:hAnsi="Calibri" w:cs="Times New Roman"/>
                <w:szCs w:val="18"/>
              </w:rPr>
              <w:tab/>
              <w:t>other financial transactions of the State;</w:t>
            </w:r>
          </w:p>
        </w:tc>
        <w:tc>
          <w:tcPr>
            <w:tcW w:w="3240" w:type="dxa"/>
            <w:shd w:val="clear" w:color="auto" w:fill="auto"/>
          </w:tcPr>
          <w:p w:rsidR="00BB6F1F" w:rsidRPr="00B31535" w:rsidRDefault="00BB6F1F" w:rsidP="00C14F47">
            <w:pPr>
              <w:spacing w:after="40"/>
              <w:rPr>
                <w:rFonts w:ascii="Calibri" w:eastAsia="Times New Roman" w:hAnsi="Calibri" w:cs="Times New Roman"/>
                <w:szCs w:val="18"/>
              </w:rPr>
            </w:pPr>
            <w:r w:rsidRPr="00B31535">
              <w:rPr>
                <w:rFonts w:ascii="Calibri" w:eastAsia="Times New Roman" w:hAnsi="Calibri" w:cs="Times New Roman"/>
                <w:szCs w:val="18"/>
              </w:rPr>
              <w:t xml:space="preserve">Refer Chapter 4, consolidated comprehensive operating statement page </w:t>
            </w:r>
            <w:r>
              <w:rPr>
                <w:rFonts w:ascii="Calibri" w:eastAsia="Times New Roman" w:hAnsi="Calibri" w:cs="Times New Roman"/>
                <w:szCs w:val="18"/>
              </w:rPr>
              <w:t>30</w:t>
            </w:r>
            <w:r w:rsidRPr="00B31535">
              <w:rPr>
                <w:rFonts w:ascii="Calibri" w:eastAsia="Times New Roman" w:hAnsi="Calibri" w:cs="Times New Roman"/>
                <w:szCs w:val="18"/>
              </w:rPr>
              <w:t>, consolidated cash flow statement pa</w:t>
            </w:r>
            <w:r>
              <w:rPr>
                <w:rFonts w:ascii="Calibri" w:eastAsia="Times New Roman" w:hAnsi="Calibri" w:cs="Times New Roman"/>
                <w:szCs w:val="18"/>
              </w:rPr>
              <w:t xml:space="preserve">ge 32 and </w:t>
            </w:r>
            <w:r w:rsidRPr="00EB2F27">
              <w:rPr>
                <w:rFonts w:ascii="Calibri" w:eastAsia="Times New Roman" w:hAnsi="Calibri" w:cs="Times New Roman"/>
                <w:szCs w:val="18"/>
              </w:rPr>
              <w:t>Notes 1-8, pages 3</w:t>
            </w:r>
            <w:r w:rsidR="00C14F47">
              <w:rPr>
                <w:rFonts w:ascii="Calibri" w:eastAsia="Times New Roman" w:hAnsi="Calibri" w:cs="Times New Roman"/>
                <w:szCs w:val="18"/>
              </w:rPr>
              <w:t>4-128</w:t>
            </w:r>
          </w:p>
        </w:tc>
      </w:tr>
      <w:tr w:rsidR="00BB6F1F" w:rsidRPr="00B31535" w:rsidTr="00AC68FF">
        <w:trPr>
          <w:cantSplit/>
        </w:trPr>
        <w:tc>
          <w:tcPr>
            <w:tcW w:w="2250" w:type="dxa"/>
            <w:shd w:val="clear" w:color="auto" w:fill="auto"/>
          </w:tcPr>
          <w:p w:rsidR="00BB6F1F" w:rsidRPr="00B31535" w:rsidRDefault="00BB6F1F" w:rsidP="00AC68FF">
            <w:pPr>
              <w:pageBreakBefore/>
              <w:spacing w:after="40"/>
              <w:ind w:left="187" w:hanging="187"/>
              <w:rPr>
                <w:rFonts w:ascii="Calibri" w:eastAsia="Times New Roman" w:hAnsi="Calibri" w:cs="Times New Roman"/>
                <w:szCs w:val="18"/>
              </w:rPr>
            </w:pPr>
          </w:p>
        </w:tc>
        <w:tc>
          <w:tcPr>
            <w:tcW w:w="4183" w:type="dxa"/>
            <w:shd w:val="clear" w:color="auto" w:fill="auto"/>
          </w:tcPr>
          <w:p w:rsidR="00BB6F1F" w:rsidRPr="00B31535" w:rsidRDefault="00BB6F1F" w:rsidP="00AC68FF">
            <w:pPr>
              <w:spacing w:after="40"/>
              <w:rPr>
                <w:rFonts w:ascii="Calibri" w:eastAsia="Times New Roman" w:hAnsi="Calibri" w:cs="Times New Roman"/>
                <w:szCs w:val="18"/>
              </w:rPr>
            </w:pPr>
            <w:r w:rsidRPr="00B31535">
              <w:rPr>
                <w:rFonts w:ascii="Calibri" w:eastAsia="Times New Roman" w:hAnsi="Calibri" w:cs="Times New Roman"/>
                <w:szCs w:val="18"/>
              </w:rPr>
              <w:t>in respect of the financial year;</w:t>
            </w:r>
          </w:p>
        </w:tc>
        <w:tc>
          <w:tcPr>
            <w:tcW w:w="3240" w:type="dxa"/>
            <w:shd w:val="clear" w:color="auto" w:fill="auto"/>
          </w:tcPr>
          <w:p w:rsidR="00BB6F1F" w:rsidRPr="00B31535" w:rsidRDefault="00BB6F1F" w:rsidP="00AC68FF">
            <w:pPr>
              <w:spacing w:after="40"/>
              <w:rPr>
                <w:rFonts w:ascii="Calibri" w:eastAsia="Times New Roman" w:hAnsi="Calibri" w:cs="Times New Roman"/>
                <w:szCs w:val="18"/>
              </w:rPr>
            </w:pPr>
          </w:p>
        </w:tc>
      </w:tr>
      <w:tr w:rsidR="00BB6F1F" w:rsidRPr="00B31535" w:rsidTr="00AC68FF">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rPr>
            </w:pPr>
          </w:p>
        </w:tc>
        <w:tc>
          <w:tcPr>
            <w:tcW w:w="4183" w:type="dxa"/>
            <w:shd w:val="clear" w:color="auto" w:fill="auto"/>
          </w:tcPr>
          <w:p w:rsidR="00BB6F1F" w:rsidRPr="00B31535" w:rsidRDefault="00BB6F1F"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(c)</w:t>
            </w:r>
            <w:r w:rsidRPr="00B31535">
              <w:rPr>
                <w:rFonts w:ascii="Calibri" w:eastAsia="Times New Roman" w:hAnsi="Calibri" w:cs="Times New Roman"/>
                <w:szCs w:val="20"/>
              </w:rPr>
              <w:tab/>
              <w:t>must include details of amounts paid into working accounts under section 23;</w:t>
            </w:r>
          </w:p>
        </w:tc>
        <w:tc>
          <w:tcPr>
            <w:tcW w:w="3240" w:type="dxa"/>
            <w:shd w:val="clear" w:color="auto" w:fill="auto"/>
          </w:tcPr>
          <w:p w:rsidR="00BB6F1F" w:rsidRPr="00B31535" w:rsidRDefault="00BB6F1F" w:rsidP="00AC68FF">
            <w:pPr>
              <w:spacing w:after="40"/>
              <w:rPr>
                <w:rFonts w:ascii="Calibri" w:eastAsia="Times New Roman" w:hAnsi="Calibri" w:cs="Times New Roman"/>
                <w:szCs w:val="18"/>
              </w:rPr>
            </w:pPr>
            <w:r>
              <w:rPr>
                <w:rFonts w:ascii="Calibri" w:eastAsia="Times New Roman" w:hAnsi="Calibri" w:cs="Times New Roman"/>
                <w:szCs w:val="18"/>
              </w:rPr>
              <w:t xml:space="preserve">Refer Chapter 4, </w:t>
            </w:r>
            <w:r w:rsidR="00C14F47">
              <w:rPr>
                <w:rFonts w:ascii="Calibri" w:eastAsia="Times New Roman" w:hAnsi="Calibri" w:cs="Times New Roman"/>
                <w:szCs w:val="18"/>
              </w:rPr>
              <w:t>Note 8.2.9, page 123</w:t>
            </w:r>
          </w:p>
        </w:tc>
      </w:tr>
      <w:tr w:rsidR="00BB6F1F" w:rsidRPr="00B31535" w:rsidTr="00AC68FF">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rPr>
            </w:pPr>
          </w:p>
        </w:tc>
        <w:tc>
          <w:tcPr>
            <w:tcW w:w="4183" w:type="dxa"/>
            <w:shd w:val="clear" w:color="auto" w:fill="auto"/>
          </w:tcPr>
          <w:p w:rsidR="00BB6F1F" w:rsidRPr="00B31535" w:rsidRDefault="00BB6F1F"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(d)</w:t>
            </w:r>
            <w:r w:rsidRPr="00B31535">
              <w:rPr>
                <w:rFonts w:ascii="Calibri" w:eastAsia="Times New Roman" w:hAnsi="Calibri" w:cs="Times New Roman"/>
                <w:szCs w:val="20"/>
              </w:rPr>
              <w:tab/>
              <w:t>must include details of amounts allocated to departments during the financial year under section 28;</w:t>
            </w:r>
          </w:p>
        </w:tc>
        <w:tc>
          <w:tcPr>
            <w:tcW w:w="3240" w:type="dxa"/>
            <w:shd w:val="clear" w:color="auto" w:fill="auto"/>
          </w:tcPr>
          <w:p w:rsidR="00BB6F1F" w:rsidRPr="00B31535" w:rsidRDefault="00BB6F1F" w:rsidP="00AC68FF">
            <w:pPr>
              <w:spacing w:after="40"/>
              <w:rPr>
                <w:rFonts w:ascii="Calibri" w:eastAsia="Times New Roman" w:hAnsi="Calibri" w:cs="Times New Roman"/>
                <w:szCs w:val="18"/>
              </w:rPr>
            </w:pPr>
            <w:r w:rsidRPr="00EB2F27">
              <w:rPr>
                <w:rFonts w:ascii="Calibri" w:eastAsia="Times New Roman" w:hAnsi="Calibri" w:cs="Times New Roman"/>
                <w:szCs w:val="18"/>
              </w:rPr>
              <w:t xml:space="preserve">Refer </w:t>
            </w:r>
            <w:r w:rsidR="00C14F47">
              <w:rPr>
                <w:rFonts w:ascii="Calibri" w:eastAsia="Times New Roman" w:hAnsi="Calibri" w:cs="Times New Roman"/>
                <w:szCs w:val="18"/>
              </w:rPr>
              <w:t>Chapter 4, Note 8.2.10, page 123</w:t>
            </w:r>
          </w:p>
        </w:tc>
      </w:tr>
      <w:tr w:rsidR="00BB6F1F" w:rsidRPr="00B31535" w:rsidTr="00AC68FF">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rPr>
            </w:pPr>
          </w:p>
        </w:tc>
        <w:tc>
          <w:tcPr>
            <w:tcW w:w="4183" w:type="dxa"/>
            <w:shd w:val="clear" w:color="auto" w:fill="auto"/>
          </w:tcPr>
          <w:p w:rsidR="00BB6F1F" w:rsidRPr="00B31535" w:rsidRDefault="00BB6F1F"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(e)</w:t>
            </w:r>
            <w:r w:rsidRPr="00B31535">
              <w:rPr>
                <w:rFonts w:ascii="Calibri" w:eastAsia="Times New Roman" w:hAnsi="Calibri" w:cs="Times New Roman"/>
                <w:szCs w:val="20"/>
              </w:rPr>
              <w:tab/>
              <w:t>must include details of money credited under section 29 to an item in a schedule to an appropriation Act for that financial year;</w:t>
            </w:r>
          </w:p>
        </w:tc>
        <w:tc>
          <w:tcPr>
            <w:tcW w:w="3240" w:type="dxa"/>
            <w:shd w:val="clear" w:color="auto" w:fill="auto"/>
          </w:tcPr>
          <w:p w:rsidR="00BB6F1F" w:rsidRPr="00B31535" w:rsidRDefault="00BB6F1F" w:rsidP="00AC68FF">
            <w:pPr>
              <w:spacing w:after="40"/>
              <w:rPr>
                <w:rFonts w:ascii="Calibri" w:eastAsia="Times New Roman" w:hAnsi="Calibri" w:cs="Times New Roman"/>
                <w:szCs w:val="18"/>
              </w:rPr>
            </w:pPr>
            <w:r w:rsidRPr="00EB2F27">
              <w:rPr>
                <w:rFonts w:ascii="Calibri" w:eastAsia="Times New Roman" w:hAnsi="Calibri" w:cs="Times New Roman"/>
                <w:szCs w:val="18"/>
              </w:rPr>
              <w:t xml:space="preserve">Refer </w:t>
            </w:r>
            <w:r w:rsidR="00C14F47">
              <w:rPr>
                <w:rFonts w:ascii="Calibri" w:eastAsia="Times New Roman" w:hAnsi="Calibri" w:cs="Times New Roman"/>
                <w:szCs w:val="18"/>
              </w:rPr>
              <w:t>Chapter 4, Note 8.2.12, page 124</w:t>
            </w:r>
          </w:p>
        </w:tc>
      </w:tr>
      <w:tr w:rsidR="00BB6F1F" w:rsidRPr="00B31535" w:rsidTr="00AC68FF">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rPr>
            </w:pPr>
          </w:p>
        </w:tc>
        <w:tc>
          <w:tcPr>
            <w:tcW w:w="4183" w:type="dxa"/>
            <w:shd w:val="clear" w:color="auto" w:fill="auto"/>
          </w:tcPr>
          <w:p w:rsidR="00BB6F1F" w:rsidRPr="00B31535" w:rsidRDefault="00BB6F1F"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(f)</w:t>
            </w:r>
            <w:r w:rsidRPr="00B31535">
              <w:rPr>
                <w:rFonts w:ascii="Calibri" w:eastAsia="Times New Roman" w:hAnsi="Calibri" w:cs="Times New Roman"/>
                <w:szCs w:val="20"/>
              </w:rPr>
              <w:tab/>
              <w:t>must include particulars of amounts transferred in accordance with determinations under section 30 or 31;</w:t>
            </w:r>
          </w:p>
        </w:tc>
        <w:tc>
          <w:tcPr>
            <w:tcW w:w="3240" w:type="dxa"/>
            <w:shd w:val="clear" w:color="auto" w:fill="auto"/>
          </w:tcPr>
          <w:p w:rsidR="00BB6F1F" w:rsidRPr="00B31535" w:rsidRDefault="00BB6F1F" w:rsidP="00AC68FF">
            <w:pPr>
              <w:spacing w:after="40"/>
              <w:rPr>
                <w:rFonts w:ascii="Calibri" w:eastAsia="Times New Roman" w:hAnsi="Calibri" w:cs="Times New Roman"/>
                <w:szCs w:val="18"/>
              </w:rPr>
            </w:pPr>
            <w:r>
              <w:rPr>
                <w:rFonts w:ascii="Calibri" w:eastAsia="Times New Roman" w:hAnsi="Calibri" w:cs="Times New Roman"/>
                <w:szCs w:val="18"/>
              </w:rPr>
              <w:t xml:space="preserve">Refer Chapter 4, </w:t>
            </w:r>
            <w:r w:rsidR="00C14F47">
              <w:rPr>
                <w:rFonts w:ascii="Calibri" w:eastAsia="Times New Roman" w:hAnsi="Calibri" w:cs="Times New Roman"/>
                <w:szCs w:val="18"/>
              </w:rPr>
              <w:t>Note 8.2.11, page 124</w:t>
            </w:r>
          </w:p>
        </w:tc>
      </w:tr>
      <w:tr w:rsidR="00BB6F1F" w:rsidRPr="00B31535" w:rsidTr="00AC68FF">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rPr>
            </w:pPr>
          </w:p>
        </w:tc>
        <w:tc>
          <w:tcPr>
            <w:tcW w:w="4183" w:type="dxa"/>
            <w:shd w:val="clear" w:color="auto" w:fill="auto"/>
          </w:tcPr>
          <w:p w:rsidR="00BB6F1F" w:rsidRPr="00B31535" w:rsidRDefault="00BB6F1F"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(g)</w:t>
            </w:r>
            <w:r w:rsidRPr="00B31535">
              <w:rPr>
                <w:rFonts w:ascii="Calibri" w:eastAsia="Times New Roman" w:hAnsi="Calibri" w:cs="Times New Roman"/>
                <w:szCs w:val="20"/>
              </w:rPr>
              <w:tab/>
              <w:t>must include details of;</w:t>
            </w:r>
          </w:p>
        </w:tc>
        <w:tc>
          <w:tcPr>
            <w:tcW w:w="3240" w:type="dxa"/>
            <w:shd w:val="clear" w:color="auto" w:fill="auto"/>
          </w:tcPr>
          <w:p w:rsidR="00BB6F1F" w:rsidRPr="00B31535" w:rsidRDefault="00BB6F1F" w:rsidP="00AC68FF">
            <w:pPr>
              <w:spacing w:after="40"/>
              <w:rPr>
                <w:rFonts w:ascii="Calibri" w:eastAsia="Times New Roman" w:hAnsi="Calibri" w:cs="Times New Roman"/>
                <w:szCs w:val="18"/>
              </w:rPr>
            </w:pPr>
          </w:p>
        </w:tc>
      </w:tr>
      <w:tr w:rsidR="00BB6F1F" w:rsidRPr="00B31535" w:rsidTr="00AC68FF">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rPr>
            </w:pPr>
          </w:p>
        </w:tc>
        <w:tc>
          <w:tcPr>
            <w:tcW w:w="4183" w:type="dxa"/>
            <w:shd w:val="clear" w:color="auto" w:fill="auto"/>
          </w:tcPr>
          <w:p w:rsidR="00BB6F1F" w:rsidRPr="00B31535" w:rsidRDefault="00BB6F1F" w:rsidP="00AC68FF">
            <w:pPr>
              <w:spacing w:after="40"/>
              <w:ind w:left="720" w:hanging="360"/>
              <w:rPr>
                <w:rFonts w:ascii="Calibri" w:eastAsia="Times New Roman" w:hAnsi="Calibri" w:cs="Times New Roman"/>
                <w:szCs w:val="18"/>
              </w:rPr>
            </w:pPr>
            <w:r w:rsidRPr="00B31535">
              <w:rPr>
                <w:rFonts w:ascii="Calibri" w:eastAsia="Times New Roman" w:hAnsi="Calibri" w:cs="Times New Roman"/>
                <w:szCs w:val="18"/>
              </w:rPr>
              <w:t>(</w:t>
            </w:r>
            <w:proofErr w:type="spellStart"/>
            <w:r w:rsidRPr="00B31535">
              <w:rPr>
                <w:rFonts w:ascii="Calibri" w:eastAsia="Times New Roman" w:hAnsi="Calibri" w:cs="Times New Roman"/>
                <w:szCs w:val="18"/>
              </w:rPr>
              <w:t>i</w:t>
            </w:r>
            <w:proofErr w:type="spellEnd"/>
            <w:r w:rsidRPr="00B31535">
              <w:rPr>
                <w:rFonts w:ascii="Calibri" w:eastAsia="Times New Roman" w:hAnsi="Calibri" w:cs="Times New Roman"/>
                <w:szCs w:val="18"/>
              </w:rPr>
              <w:t>)</w:t>
            </w:r>
            <w:r w:rsidRPr="00B31535">
              <w:rPr>
                <w:rFonts w:ascii="Calibri" w:eastAsia="Times New Roman" w:hAnsi="Calibri" w:cs="Times New Roman"/>
                <w:szCs w:val="18"/>
              </w:rPr>
              <w:tab/>
              <w:t>amounts appropriated in respect of the financial year as a result of a determination under section 32 in respect of unused appropriation for the preceding financial year;</w:t>
            </w:r>
          </w:p>
        </w:tc>
        <w:tc>
          <w:tcPr>
            <w:tcW w:w="3240" w:type="dxa"/>
            <w:shd w:val="clear" w:color="auto" w:fill="auto"/>
          </w:tcPr>
          <w:p w:rsidR="00BB6F1F" w:rsidRPr="00B31535" w:rsidRDefault="00BB6F1F" w:rsidP="00AC68FF">
            <w:pPr>
              <w:spacing w:after="40"/>
              <w:rPr>
                <w:rFonts w:ascii="Calibri" w:eastAsia="Times New Roman" w:hAnsi="Calibri" w:cs="Times New Roman"/>
                <w:szCs w:val="18"/>
              </w:rPr>
            </w:pPr>
            <w:r w:rsidRPr="00EB2F27">
              <w:rPr>
                <w:rFonts w:ascii="Calibri" w:eastAsia="Times New Roman" w:hAnsi="Calibri" w:cs="Times New Roman"/>
                <w:szCs w:val="18"/>
              </w:rPr>
              <w:t xml:space="preserve">Refer </w:t>
            </w:r>
            <w:r w:rsidR="00C14F47">
              <w:rPr>
                <w:rFonts w:ascii="Calibri" w:eastAsia="Times New Roman" w:hAnsi="Calibri" w:cs="Times New Roman"/>
                <w:szCs w:val="18"/>
              </w:rPr>
              <w:t>Chapter 4, Note 8.2.13, page 125</w:t>
            </w:r>
          </w:p>
        </w:tc>
      </w:tr>
      <w:tr w:rsidR="00BB6F1F" w:rsidRPr="00B31535" w:rsidTr="00AC68FF">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rPr>
            </w:pPr>
          </w:p>
        </w:tc>
        <w:tc>
          <w:tcPr>
            <w:tcW w:w="4183" w:type="dxa"/>
            <w:shd w:val="clear" w:color="auto" w:fill="auto"/>
          </w:tcPr>
          <w:p w:rsidR="00BB6F1F" w:rsidRPr="00B31535" w:rsidRDefault="00BB6F1F" w:rsidP="00AC68FF">
            <w:pPr>
              <w:spacing w:after="40"/>
              <w:ind w:left="720" w:hanging="360"/>
              <w:rPr>
                <w:rFonts w:ascii="Calibri" w:eastAsia="Times New Roman" w:hAnsi="Calibri" w:cs="Times New Roman"/>
                <w:szCs w:val="18"/>
              </w:rPr>
            </w:pPr>
            <w:r w:rsidRPr="00B31535">
              <w:rPr>
                <w:rFonts w:ascii="Calibri" w:eastAsia="Times New Roman" w:hAnsi="Calibri" w:cs="Times New Roman"/>
                <w:szCs w:val="18"/>
              </w:rPr>
              <w:t>(ii)</w:t>
            </w:r>
            <w:r w:rsidRPr="00B31535">
              <w:rPr>
                <w:rFonts w:ascii="Calibri" w:eastAsia="Times New Roman" w:hAnsi="Calibri" w:cs="Times New Roman"/>
                <w:szCs w:val="18"/>
              </w:rPr>
              <w:tab/>
              <w:t>the application during the financial year of amounts referred to in subparagraph (</w:t>
            </w:r>
            <w:proofErr w:type="spellStart"/>
            <w:r w:rsidRPr="00B31535">
              <w:rPr>
                <w:rFonts w:ascii="Calibri" w:eastAsia="Times New Roman" w:hAnsi="Calibri" w:cs="Times New Roman"/>
                <w:szCs w:val="18"/>
              </w:rPr>
              <w:t>i</w:t>
            </w:r>
            <w:proofErr w:type="spellEnd"/>
            <w:r w:rsidRPr="00B31535">
              <w:rPr>
                <w:rFonts w:ascii="Calibri" w:eastAsia="Times New Roman" w:hAnsi="Calibri" w:cs="Times New Roman"/>
                <w:szCs w:val="18"/>
              </w:rPr>
              <w:t>); and</w:t>
            </w:r>
          </w:p>
        </w:tc>
        <w:tc>
          <w:tcPr>
            <w:tcW w:w="3240" w:type="dxa"/>
            <w:shd w:val="clear" w:color="auto" w:fill="auto"/>
          </w:tcPr>
          <w:p w:rsidR="00BB6F1F" w:rsidRPr="00B31535" w:rsidRDefault="00BB6F1F" w:rsidP="00AC68FF">
            <w:pPr>
              <w:spacing w:after="40"/>
              <w:rPr>
                <w:rFonts w:ascii="Calibri" w:eastAsia="Times New Roman" w:hAnsi="Calibri" w:cs="Times New Roman"/>
                <w:szCs w:val="18"/>
              </w:rPr>
            </w:pPr>
            <w:r w:rsidRPr="00EB2F27">
              <w:rPr>
                <w:rFonts w:ascii="Calibri" w:eastAsia="Times New Roman" w:hAnsi="Calibri" w:cs="Times New Roman"/>
                <w:szCs w:val="18"/>
              </w:rPr>
              <w:t>Refer Chapter 4, N</w:t>
            </w:r>
            <w:r w:rsidR="00C14F47">
              <w:rPr>
                <w:rFonts w:ascii="Calibri" w:eastAsia="Times New Roman" w:hAnsi="Calibri" w:cs="Times New Roman"/>
                <w:szCs w:val="18"/>
              </w:rPr>
              <w:t>ote 8.2.13, page 125</w:t>
            </w:r>
          </w:p>
        </w:tc>
      </w:tr>
      <w:tr w:rsidR="00BB6F1F" w:rsidRPr="00B31535" w:rsidTr="00AC68FF">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rPr>
            </w:pPr>
          </w:p>
        </w:tc>
        <w:tc>
          <w:tcPr>
            <w:tcW w:w="4183" w:type="dxa"/>
            <w:shd w:val="clear" w:color="auto" w:fill="auto"/>
          </w:tcPr>
          <w:p w:rsidR="00BB6F1F" w:rsidRPr="00B31535" w:rsidRDefault="00BB6F1F" w:rsidP="00AC68FF">
            <w:pPr>
              <w:spacing w:after="40"/>
              <w:ind w:left="720" w:hanging="360"/>
              <w:rPr>
                <w:rFonts w:ascii="Calibri" w:eastAsia="Times New Roman" w:hAnsi="Calibri" w:cs="Times New Roman"/>
                <w:szCs w:val="18"/>
              </w:rPr>
            </w:pPr>
            <w:r w:rsidRPr="00B31535">
              <w:rPr>
                <w:rFonts w:ascii="Calibri" w:eastAsia="Times New Roman" w:hAnsi="Calibri" w:cs="Times New Roman"/>
                <w:szCs w:val="18"/>
              </w:rPr>
              <w:t>(iii)</w:t>
            </w:r>
            <w:r w:rsidRPr="00B31535">
              <w:rPr>
                <w:rFonts w:ascii="Calibri" w:eastAsia="Times New Roman" w:hAnsi="Calibri" w:cs="Times New Roman"/>
                <w:szCs w:val="18"/>
              </w:rPr>
              <w:tab/>
              <w:t>amounts appropriated in respect of the next financial year as a result of a determination under section 32 in respect of unused appropriation for the financial year;</w:t>
            </w:r>
          </w:p>
        </w:tc>
        <w:tc>
          <w:tcPr>
            <w:tcW w:w="3240" w:type="dxa"/>
            <w:shd w:val="clear" w:color="auto" w:fill="auto"/>
          </w:tcPr>
          <w:p w:rsidR="00BB6F1F" w:rsidRPr="00B31535" w:rsidRDefault="00BB6F1F" w:rsidP="00AC68FF">
            <w:pPr>
              <w:spacing w:after="40"/>
              <w:rPr>
                <w:rFonts w:ascii="Calibri" w:eastAsia="Times New Roman" w:hAnsi="Calibri" w:cs="Times New Roman"/>
                <w:szCs w:val="18"/>
              </w:rPr>
            </w:pPr>
            <w:r w:rsidRPr="00EB2F27">
              <w:rPr>
                <w:rFonts w:ascii="Calibri" w:eastAsia="Times New Roman" w:hAnsi="Calibri" w:cs="Times New Roman"/>
                <w:szCs w:val="18"/>
              </w:rPr>
              <w:t>Refer Chapter 4, Note 8.2.13,</w:t>
            </w:r>
            <w:r w:rsidR="00C14F47">
              <w:rPr>
                <w:rFonts w:ascii="Calibri" w:eastAsia="Times New Roman" w:hAnsi="Calibri" w:cs="Times New Roman"/>
                <w:szCs w:val="18"/>
              </w:rPr>
              <w:t xml:space="preserve"> page 125</w:t>
            </w:r>
          </w:p>
        </w:tc>
      </w:tr>
      <w:tr w:rsidR="00BB6F1F" w:rsidRPr="00B31535" w:rsidTr="00AC68FF">
        <w:trPr>
          <w:cantSplit/>
        </w:trPr>
        <w:tc>
          <w:tcPr>
            <w:tcW w:w="2250" w:type="dxa"/>
            <w:shd w:val="clear" w:color="auto" w:fill="auto"/>
          </w:tcPr>
          <w:p w:rsidR="00BB6F1F" w:rsidRPr="00B31535" w:rsidRDefault="00BB6F1F" w:rsidP="00AC68FF">
            <w:pPr>
              <w:spacing w:after="40"/>
              <w:ind w:left="187" w:hanging="187"/>
              <w:rPr>
                <w:rFonts w:ascii="Calibri" w:eastAsia="Times New Roman" w:hAnsi="Calibri" w:cs="Times New Roman"/>
                <w:szCs w:val="18"/>
              </w:rPr>
            </w:pPr>
          </w:p>
        </w:tc>
        <w:tc>
          <w:tcPr>
            <w:tcW w:w="4183" w:type="dxa"/>
            <w:shd w:val="clear" w:color="auto" w:fill="auto"/>
          </w:tcPr>
          <w:p w:rsidR="00BB6F1F" w:rsidRPr="00B31535" w:rsidRDefault="00BB6F1F"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(h)</w:t>
            </w:r>
            <w:r w:rsidRPr="00B31535">
              <w:rPr>
                <w:rFonts w:ascii="Calibri" w:eastAsia="Times New Roman" w:hAnsi="Calibri" w:cs="Times New Roman"/>
                <w:szCs w:val="20"/>
              </w:rPr>
              <w:tab/>
              <w:t>must include;</w:t>
            </w:r>
          </w:p>
        </w:tc>
        <w:tc>
          <w:tcPr>
            <w:tcW w:w="3240" w:type="dxa"/>
            <w:shd w:val="clear" w:color="auto" w:fill="auto"/>
          </w:tcPr>
          <w:p w:rsidR="00BB6F1F" w:rsidRPr="00B31535" w:rsidRDefault="00BB6F1F" w:rsidP="00AC68FF">
            <w:pPr>
              <w:spacing w:after="40"/>
              <w:rPr>
                <w:rFonts w:ascii="Calibri" w:eastAsia="Times New Roman" w:hAnsi="Calibri" w:cs="Times New Roman"/>
                <w:szCs w:val="18"/>
              </w:rPr>
            </w:pPr>
          </w:p>
        </w:tc>
      </w:tr>
      <w:tr w:rsidR="00BB6F1F" w:rsidRPr="00B31535" w:rsidTr="00AC68FF">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rPr>
            </w:pPr>
          </w:p>
        </w:tc>
        <w:tc>
          <w:tcPr>
            <w:tcW w:w="4183" w:type="dxa"/>
            <w:shd w:val="clear" w:color="auto" w:fill="auto"/>
          </w:tcPr>
          <w:p w:rsidR="00BB6F1F" w:rsidRPr="00B31535" w:rsidRDefault="00BB6F1F" w:rsidP="00AC68FF">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w:t>
            </w:r>
            <w:proofErr w:type="spellStart"/>
            <w:r w:rsidRPr="00B31535">
              <w:rPr>
                <w:rFonts w:ascii="Calibri" w:eastAsia="Times New Roman" w:hAnsi="Calibri" w:cs="Times New Roman"/>
                <w:szCs w:val="18"/>
              </w:rPr>
              <w:t>i</w:t>
            </w:r>
            <w:proofErr w:type="spellEnd"/>
            <w:r w:rsidRPr="00B31535">
              <w:rPr>
                <w:rFonts w:ascii="Calibri" w:eastAsia="Times New Roman" w:hAnsi="Calibri" w:cs="Times New Roman"/>
                <w:szCs w:val="18"/>
              </w:rPr>
              <w:t>)</w:t>
            </w:r>
            <w:r w:rsidRPr="00B31535">
              <w:rPr>
                <w:rFonts w:ascii="Calibri" w:eastAsia="Times New Roman" w:hAnsi="Calibri" w:cs="Times New Roman"/>
                <w:szCs w:val="18"/>
              </w:rPr>
              <w:tab/>
              <w:t>details of expenses and obligations met from money advanced to the Minister under section 35(1) during the financial year; and</w:t>
            </w:r>
          </w:p>
        </w:tc>
        <w:tc>
          <w:tcPr>
            <w:tcW w:w="3240" w:type="dxa"/>
            <w:shd w:val="clear" w:color="auto" w:fill="auto"/>
          </w:tcPr>
          <w:p w:rsidR="00BB6F1F" w:rsidRPr="00B31535" w:rsidRDefault="00BB6F1F" w:rsidP="00AC68FF">
            <w:pPr>
              <w:spacing w:after="40"/>
              <w:rPr>
                <w:rFonts w:ascii="Calibri" w:eastAsia="Times New Roman" w:hAnsi="Calibri" w:cs="Times New Roman"/>
                <w:szCs w:val="18"/>
              </w:rPr>
            </w:pPr>
            <w:r>
              <w:rPr>
                <w:rFonts w:ascii="Calibri" w:eastAsia="Times New Roman" w:hAnsi="Calibri" w:cs="Times New Roman"/>
                <w:szCs w:val="18"/>
              </w:rPr>
              <w:t>Refer Chapter 4</w:t>
            </w:r>
            <w:r w:rsidR="00C14F47">
              <w:rPr>
                <w:rFonts w:ascii="Calibri" w:eastAsia="Times New Roman" w:hAnsi="Calibri" w:cs="Times New Roman"/>
                <w:szCs w:val="18"/>
              </w:rPr>
              <w:t>, Note 8.2.15, page 128</w:t>
            </w:r>
          </w:p>
        </w:tc>
      </w:tr>
      <w:tr w:rsidR="00BB6F1F" w:rsidRPr="00B31535" w:rsidTr="009C6A5E">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rPr>
            </w:pPr>
          </w:p>
        </w:tc>
        <w:tc>
          <w:tcPr>
            <w:tcW w:w="4183" w:type="dxa"/>
            <w:shd w:val="clear" w:color="auto" w:fill="auto"/>
          </w:tcPr>
          <w:p w:rsidR="00BB6F1F" w:rsidRPr="00B31535" w:rsidRDefault="00BB6F1F" w:rsidP="00AC68FF">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(ii)</w:t>
            </w:r>
            <w:r w:rsidRPr="00B31535">
              <w:rPr>
                <w:rFonts w:ascii="Calibri" w:eastAsia="Times New Roman" w:hAnsi="Calibri" w:cs="Times New Roman"/>
                <w:szCs w:val="18"/>
              </w:rPr>
              <w:tab/>
              <w:t>a statement of the reasons for carrying forward any part of an unused advance to the next financial year under section 35(4);</w:t>
            </w:r>
          </w:p>
        </w:tc>
        <w:tc>
          <w:tcPr>
            <w:tcW w:w="3240" w:type="dxa"/>
            <w:shd w:val="clear" w:color="auto" w:fill="auto"/>
          </w:tcPr>
          <w:p w:rsidR="00BB6F1F" w:rsidRPr="00B31535" w:rsidRDefault="00BB6F1F" w:rsidP="00AC68FF">
            <w:pPr>
              <w:spacing w:after="40"/>
              <w:rPr>
                <w:rFonts w:ascii="Calibri" w:eastAsia="Times New Roman" w:hAnsi="Calibri" w:cs="Times New Roman"/>
                <w:szCs w:val="18"/>
              </w:rPr>
            </w:pPr>
            <w:r>
              <w:rPr>
                <w:rFonts w:ascii="Calibri" w:eastAsia="Times New Roman" w:hAnsi="Calibri" w:cs="Times New Roman"/>
                <w:szCs w:val="18"/>
              </w:rPr>
              <w:t xml:space="preserve">Refer </w:t>
            </w:r>
            <w:r w:rsidR="00C14F47">
              <w:rPr>
                <w:rFonts w:ascii="Calibri" w:eastAsia="Times New Roman" w:hAnsi="Calibri" w:cs="Times New Roman"/>
                <w:szCs w:val="18"/>
              </w:rPr>
              <w:t>Chapter 4, Note 8.2.16, page 128</w:t>
            </w:r>
          </w:p>
        </w:tc>
      </w:tr>
      <w:tr w:rsidR="00BB6F1F" w:rsidRPr="00B31535" w:rsidTr="009C6A5E">
        <w:trPr>
          <w:cantSplit/>
        </w:trPr>
        <w:tc>
          <w:tcPr>
            <w:tcW w:w="2250" w:type="dxa"/>
            <w:tcBorders>
              <w:bottom w:val="single" w:sz="6" w:space="0" w:color="auto"/>
            </w:tcBorders>
            <w:shd w:val="clear" w:color="auto" w:fill="auto"/>
          </w:tcPr>
          <w:p w:rsidR="00BB6F1F" w:rsidRPr="00B31535" w:rsidRDefault="00BB6F1F" w:rsidP="00AC68FF">
            <w:pPr>
              <w:spacing w:after="40"/>
              <w:ind w:left="180" w:hanging="180"/>
              <w:rPr>
                <w:rFonts w:ascii="Calibri" w:eastAsia="Times New Roman" w:hAnsi="Calibri" w:cs="Times New Roman"/>
                <w:szCs w:val="18"/>
              </w:rPr>
            </w:pPr>
          </w:p>
        </w:tc>
        <w:tc>
          <w:tcPr>
            <w:tcW w:w="4183" w:type="dxa"/>
            <w:tcBorders>
              <w:bottom w:val="single" w:sz="6" w:space="0" w:color="auto"/>
            </w:tcBorders>
            <w:shd w:val="clear" w:color="auto" w:fill="auto"/>
          </w:tcPr>
          <w:p w:rsidR="00BB6F1F" w:rsidRPr="00B31535" w:rsidRDefault="00BB6F1F"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w:t>
            </w:r>
            <w:proofErr w:type="spellStart"/>
            <w:r w:rsidRPr="00B31535">
              <w:rPr>
                <w:rFonts w:ascii="Calibri" w:eastAsia="Times New Roman" w:hAnsi="Calibri" w:cs="Times New Roman"/>
                <w:szCs w:val="20"/>
              </w:rPr>
              <w:t>i</w:t>
            </w:r>
            <w:proofErr w:type="spellEnd"/>
            <w:r w:rsidRPr="00B31535">
              <w:rPr>
                <w:rFonts w:ascii="Calibri" w:eastAsia="Times New Roman" w:hAnsi="Calibri" w:cs="Times New Roman"/>
                <w:szCs w:val="20"/>
              </w:rPr>
              <w:t>)</w:t>
            </w:r>
            <w:r w:rsidRPr="00B31535">
              <w:rPr>
                <w:rFonts w:ascii="Calibri" w:eastAsia="Times New Roman" w:hAnsi="Calibri" w:cs="Times New Roman"/>
                <w:szCs w:val="20"/>
              </w:rPr>
              <w:tab/>
              <w:t>must include details of payments made during the financial year out of money advanced to the Treasurer in an annual appropriation Act for that year to meet urgent claims;</w:t>
            </w:r>
          </w:p>
        </w:tc>
        <w:tc>
          <w:tcPr>
            <w:tcW w:w="3240" w:type="dxa"/>
            <w:tcBorders>
              <w:bottom w:val="single" w:sz="6" w:space="0" w:color="auto"/>
            </w:tcBorders>
            <w:shd w:val="clear" w:color="auto" w:fill="auto"/>
          </w:tcPr>
          <w:p w:rsidR="00BB6F1F" w:rsidRPr="00B31535" w:rsidRDefault="00BB6F1F" w:rsidP="00AC68FF">
            <w:pPr>
              <w:spacing w:after="40"/>
              <w:rPr>
                <w:rFonts w:ascii="Calibri" w:eastAsia="Times New Roman" w:hAnsi="Calibri" w:cs="Times New Roman"/>
                <w:szCs w:val="18"/>
              </w:rPr>
            </w:pPr>
            <w:r w:rsidRPr="00B31535">
              <w:rPr>
                <w:rFonts w:ascii="Calibri" w:eastAsia="Times New Roman" w:hAnsi="Calibri" w:cs="Times New Roman"/>
                <w:szCs w:val="18"/>
              </w:rPr>
              <w:t xml:space="preserve">Refer Chapter 4, </w:t>
            </w:r>
            <w:r w:rsidR="00C14F47">
              <w:rPr>
                <w:rFonts w:ascii="Calibri" w:eastAsia="Times New Roman" w:hAnsi="Calibri" w:cs="Times New Roman"/>
                <w:szCs w:val="18"/>
              </w:rPr>
              <w:t>Note 8.2.14, pages 126-128</w:t>
            </w:r>
          </w:p>
        </w:tc>
      </w:tr>
      <w:tr w:rsidR="00BB6F1F" w:rsidRPr="00B31535" w:rsidTr="009C6A5E">
        <w:trPr>
          <w:cantSplit/>
        </w:trPr>
        <w:tc>
          <w:tcPr>
            <w:tcW w:w="2250" w:type="dxa"/>
            <w:tcBorders>
              <w:top w:val="single" w:sz="6" w:space="0" w:color="auto"/>
            </w:tcBorders>
            <w:shd w:val="clear" w:color="auto" w:fill="auto"/>
          </w:tcPr>
          <w:p w:rsidR="00BB6F1F" w:rsidRPr="00B31535" w:rsidRDefault="00BB6F1F" w:rsidP="00AC68FF">
            <w:pPr>
              <w:pageBreakBefore/>
              <w:ind w:left="187" w:hanging="187"/>
              <w:rPr>
                <w:rFonts w:ascii="Calibri" w:eastAsia="Times New Roman" w:hAnsi="Calibri" w:cs="Times New Roman"/>
                <w:szCs w:val="18"/>
                <w:highlight w:val="yellow"/>
              </w:rPr>
            </w:pPr>
          </w:p>
        </w:tc>
        <w:tc>
          <w:tcPr>
            <w:tcW w:w="4183" w:type="dxa"/>
            <w:tcBorders>
              <w:top w:val="single" w:sz="6" w:space="0" w:color="auto"/>
            </w:tcBorders>
            <w:shd w:val="clear" w:color="auto" w:fill="auto"/>
          </w:tcPr>
          <w:p w:rsidR="00BB6F1F" w:rsidRPr="00B31535" w:rsidRDefault="00BB6F1F" w:rsidP="00AC68FF">
            <w:pPr>
              <w:tabs>
                <w:tab w:val="left" w:pos="344"/>
              </w:tabs>
              <w:ind w:left="362" w:hanging="362"/>
              <w:rPr>
                <w:rFonts w:ascii="Calibri" w:eastAsia="Times New Roman" w:hAnsi="Calibri" w:cs="Times New Roman"/>
                <w:szCs w:val="18"/>
              </w:rPr>
            </w:pPr>
            <w:r w:rsidRPr="00B31535">
              <w:rPr>
                <w:rFonts w:ascii="Calibri" w:eastAsia="Times New Roman" w:hAnsi="Calibri" w:cs="Times New Roman"/>
                <w:szCs w:val="18"/>
              </w:rPr>
              <w:t>(j)</w:t>
            </w:r>
            <w:r w:rsidRPr="00B31535">
              <w:rPr>
                <w:rFonts w:ascii="Calibri" w:eastAsia="Times New Roman" w:hAnsi="Calibri" w:cs="Times New Roman"/>
                <w:szCs w:val="18"/>
              </w:rPr>
              <w:tab/>
              <w:t>must include details of;</w:t>
            </w:r>
          </w:p>
        </w:tc>
        <w:tc>
          <w:tcPr>
            <w:tcW w:w="3240" w:type="dxa"/>
            <w:tcBorders>
              <w:top w:val="single" w:sz="6" w:space="0" w:color="auto"/>
            </w:tcBorders>
            <w:shd w:val="clear" w:color="auto" w:fill="auto"/>
          </w:tcPr>
          <w:p w:rsidR="00BB6F1F" w:rsidRPr="00B31535" w:rsidRDefault="00BB6F1F" w:rsidP="00AC68FF">
            <w:pPr>
              <w:rPr>
                <w:rFonts w:ascii="Calibri" w:eastAsia="Times New Roman" w:hAnsi="Calibri" w:cs="Times New Roman"/>
                <w:szCs w:val="18"/>
              </w:rPr>
            </w:pPr>
          </w:p>
        </w:tc>
      </w:tr>
      <w:tr w:rsidR="00BB6F1F" w:rsidRPr="00B31535" w:rsidTr="00AC68FF">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highlight w:val="yellow"/>
              </w:rPr>
            </w:pPr>
          </w:p>
        </w:tc>
        <w:tc>
          <w:tcPr>
            <w:tcW w:w="4183" w:type="dxa"/>
            <w:shd w:val="clear" w:color="auto" w:fill="auto"/>
          </w:tcPr>
          <w:p w:rsidR="00BB6F1F" w:rsidRPr="00B31535" w:rsidRDefault="00BB6F1F" w:rsidP="00AC68FF">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w:t>
            </w:r>
            <w:proofErr w:type="spellStart"/>
            <w:r w:rsidRPr="00B31535">
              <w:rPr>
                <w:rFonts w:ascii="Calibri" w:eastAsia="Times New Roman" w:hAnsi="Calibri" w:cs="Times New Roman"/>
                <w:szCs w:val="18"/>
              </w:rPr>
              <w:t>i</w:t>
            </w:r>
            <w:proofErr w:type="spellEnd"/>
            <w:r w:rsidRPr="00B31535">
              <w:rPr>
                <w:rFonts w:ascii="Calibri" w:eastAsia="Times New Roman" w:hAnsi="Calibri" w:cs="Times New Roman"/>
                <w:szCs w:val="18"/>
              </w:rPr>
              <w:t>)</w:t>
            </w:r>
            <w:r w:rsidRPr="00B31535">
              <w:rPr>
                <w:rFonts w:ascii="Calibri" w:eastAsia="Times New Roman" w:hAnsi="Calibri" w:cs="Times New Roman"/>
                <w:szCs w:val="18"/>
              </w:rPr>
              <w:tab/>
              <w:t>payments made during the financial year in fulfilment of any guarantee by the Government under any Act; and</w:t>
            </w:r>
          </w:p>
        </w:tc>
        <w:tc>
          <w:tcPr>
            <w:tcW w:w="3240" w:type="dxa"/>
            <w:shd w:val="clear" w:color="auto" w:fill="auto"/>
          </w:tcPr>
          <w:p w:rsidR="00BB6F1F" w:rsidRPr="00B31535" w:rsidRDefault="00BB6F1F" w:rsidP="00AC68FF">
            <w:pPr>
              <w:spacing w:after="40"/>
              <w:rPr>
                <w:rFonts w:ascii="Calibri" w:eastAsia="Times New Roman" w:hAnsi="Calibri" w:cs="Times New Roman"/>
                <w:szCs w:val="18"/>
              </w:rPr>
            </w:pPr>
            <w:r>
              <w:rPr>
                <w:rFonts w:ascii="Calibri" w:eastAsia="Times New Roman" w:hAnsi="Calibri" w:cs="Times New Roman"/>
                <w:szCs w:val="18"/>
              </w:rPr>
              <w:t xml:space="preserve">Refer </w:t>
            </w:r>
            <w:r w:rsidR="00C14F47">
              <w:rPr>
                <w:rFonts w:ascii="Calibri" w:eastAsia="Times New Roman" w:hAnsi="Calibri" w:cs="Times New Roman"/>
                <w:szCs w:val="18"/>
              </w:rPr>
              <w:t>Chapter 4, Note 8.2.17, page 128</w:t>
            </w:r>
          </w:p>
        </w:tc>
      </w:tr>
      <w:tr w:rsidR="00BB6F1F" w:rsidRPr="00B31535" w:rsidTr="00AC68FF">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highlight w:val="yellow"/>
              </w:rPr>
            </w:pPr>
          </w:p>
        </w:tc>
        <w:tc>
          <w:tcPr>
            <w:tcW w:w="4183" w:type="dxa"/>
            <w:shd w:val="clear" w:color="auto" w:fill="auto"/>
          </w:tcPr>
          <w:p w:rsidR="00BB6F1F" w:rsidRPr="00B31535" w:rsidRDefault="00BB6F1F" w:rsidP="00AC68FF">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(ii)</w:t>
            </w:r>
            <w:r w:rsidRPr="00B31535">
              <w:rPr>
                <w:rFonts w:ascii="Calibri" w:eastAsia="Times New Roman" w:hAnsi="Calibri" w:cs="Times New Roman"/>
                <w:szCs w:val="18"/>
              </w:rPr>
              <w:tab/>
              <w:t>money received or recovered by the Minister or Treasurer during the financial year in respect of any guarantee payments;</w:t>
            </w:r>
          </w:p>
        </w:tc>
        <w:tc>
          <w:tcPr>
            <w:tcW w:w="3240" w:type="dxa"/>
            <w:shd w:val="clear" w:color="auto" w:fill="auto"/>
          </w:tcPr>
          <w:p w:rsidR="00BB6F1F" w:rsidRPr="00B31535" w:rsidRDefault="00BB6F1F" w:rsidP="00AC68FF">
            <w:pPr>
              <w:spacing w:after="40"/>
              <w:rPr>
                <w:rFonts w:ascii="Calibri" w:eastAsia="Times New Roman" w:hAnsi="Calibri" w:cs="Times New Roman"/>
                <w:szCs w:val="18"/>
              </w:rPr>
            </w:pPr>
            <w:r w:rsidRPr="00EB2F27">
              <w:rPr>
                <w:rFonts w:ascii="Calibri" w:eastAsia="Times New Roman" w:hAnsi="Calibri" w:cs="Times New Roman"/>
                <w:szCs w:val="18"/>
              </w:rPr>
              <w:t xml:space="preserve">Refer </w:t>
            </w:r>
            <w:r w:rsidR="00C14F47">
              <w:rPr>
                <w:rFonts w:ascii="Calibri" w:eastAsia="Times New Roman" w:hAnsi="Calibri" w:cs="Times New Roman"/>
                <w:szCs w:val="18"/>
              </w:rPr>
              <w:t>Chapter 4, Note 8.2.17, page 128</w:t>
            </w:r>
          </w:p>
        </w:tc>
      </w:tr>
      <w:tr w:rsidR="00BB6F1F" w:rsidRPr="00B31535" w:rsidTr="00AC68FF">
        <w:trPr>
          <w:cantSplit/>
        </w:trPr>
        <w:tc>
          <w:tcPr>
            <w:tcW w:w="2250" w:type="dxa"/>
            <w:shd w:val="clear" w:color="auto" w:fill="auto"/>
          </w:tcPr>
          <w:p w:rsidR="00BB6F1F" w:rsidRPr="00B31535" w:rsidRDefault="00BB6F1F" w:rsidP="00AC68FF">
            <w:pPr>
              <w:spacing w:after="40"/>
              <w:ind w:left="187" w:hanging="187"/>
              <w:rPr>
                <w:rFonts w:ascii="Calibri" w:eastAsia="Times New Roman" w:hAnsi="Calibri" w:cs="Times New Roman"/>
                <w:szCs w:val="18"/>
                <w:highlight w:val="yellow"/>
              </w:rPr>
            </w:pPr>
            <w:r w:rsidRPr="00B31535">
              <w:rPr>
                <w:rFonts w:ascii="Calibri" w:eastAsia="Times New Roman" w:hAnsi="Calibri" w:cs="Times New Roman"/>
                <w:szCs w:val="18"/>
                <w:highlight w:val="yellow"/>
              </w:rPr>
              <w:br w:type="page"/>
            </w:r>
          </w:p>
        </w:tc>
        <w:tc>
          <w:tcPr>
            <w:tcW w:w="4183" w:type="dxa"/>
            <w:shd w:val="clear" w:color="auto" w:fill="auto"/>
          </w:tcPr>
          <w:p w:rsidR="00BB6F1F" w:rsidRPr="00B31535" w:rsidRDefault="00BB6F1F"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(k)</w:t>
            </w:r>
            <w:r w:rsidRPr="00B31535">
              <w:rPr>
                <w:rFonts w:ascii="Calibri" w:eastAsia="Times New Roman" w:hAnsi="Calibri" w:cs="Times New Roman"/>
                <w:szCs w:val="20"/>
              </w:rPr>
              <w:tab/>
              <w:t>must include details, as at the end of the financial year, of;</w:t>
            </w:r>
          </w:p>
        </w:tc>
        <w:tc>
          <w:tcPr>
            <w:tcW w:w="3240" w:type="dxa"/>
            <w:shd w:val="clear" w:color="auto" w:fill="auto"/>
          </w:tcPr>
          <w:p w:rsidR="00BB6F1F" w:rsidRPr="00B31535" w:rsidRDefault="00BB6F1F" w:rsidP="00AC68FF">
            <w:pPr>
              <w:spacing w:after="40"/>
              <w:rPr>
                <w:rFonts w:ascii="Calibri" w:eastAsia="Times New Roman" w:hAnsi="Calibri" w:cs="Times New Roman"/>
                <w:szCs w:val="18"/>
              </w:rPr>
            </w:pPr>
          </w:p>
        </w:tc>
      </w:tr>
      <w:tr w:rsidR="00BB6F1F" w:rsidRPr="00B31535" w:rsidTr="00AC68FF">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highlight w:val="yellow"/>
              </w:rPr>
            </w:pPr>
          </w:p>
        </w:tc>
        <w:tc>
          <w:tcPr>
            <w:tcW w:w="4183" w:type="dxa"/>
            <w:shd w:val="clear" w:color="auto" w:fill="auto"/>
          </w:tcPr>
          <w:p w:rsidR="00BB6F1F" w:rsidRPr="00B31535" w:rsidRDefault="00BB6F1F" w:rsidP="00AC68FF">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w:t>
            </w:r>
            <w:proofErr w:type="spellStart"/>
            <w:r w:rsidRPr="00B31535">
              <w:rPr>
                <w:rFonts w:ascii="Calibri" w:eastAsia="Times New Roman" w:hAnsi="Calibri" w:cs="Times New Roman"/>
                <w:szCs w:val="18"/>
              </w:rPr>
              <w:t>i</w:t>
            </w:r>
            <w:proofErr w:type="spellEnd"/>
            <w:r w:rsidRPr="00B31535">
              <w:rPr>
                <w:rFonts w:ascii="Calibri" w:eastAsia="Times New Roman" w:hAnsi="Calibri" w:cs="Times New Roman"/>
                <w:szCs w:val="18"/>
              </w:rPr>
              <w:t>)</w:t>
            </w:r>
            <w:r w:rsidRPr="00B31535">
              <w:rPr>
                <w:rFonts w:ascii="Calibri" w:eastAsia="Times New Roman" w:hAnsi="Calibri" w:cs="Times New Roman"/>
                <w:szCs w:val="18"/>
              </w:rPr>
              <w:tab/>
              <w:t>the liabilities (including contingent liabilities under guarantees and indemnities or in respect of superannuation payments and all other contingent liabilities) and assets of the State; and</w:t>
            </w:r>
          </w:p>
        </w:tc>
        <w:tc>
          <w:tcPr>
            <w:tcW w:w="3240" w:type="dxa"/>
            <w:shd w:val="clear" w:color="auto" w:fill="auto"/>
          </w:tcPr>
          <w:p w:rsidR="00BB6F1F" w:rsidRPr="00B31535" w:rsidRDefault="00BB6F1F" w:rsidP="005154CE">
            <w:pPr>
              <w:spacing w:after="40"/>
              <w:rPr>
                <w:rFonts w:ascii="Calibri" w:eastAsia="Times New Roman" w:hAnsi="Calibri" w:cs="Times New Roman"/>
                <w:szCs w:val="18"/>
              </w:rPr>
            </w:pPr>
            <w:r>
              <w:rPr>
                <w:rFonts w:ascii="Calibri" w:eastAsia="Times New Roman" w:hAnsi="Calibri" w:cs="Times New Roman"/>
                <w:szCs w:val="18"/>
              </w:rPr>
              <w:t xml:space="preserve">Refer </w:t>
            </w:r>
            <w:r w:rsidR="00C14F47">
              <w:rPr>
                <w:rFonts w:ascii="Calibri" w:eastAsia="Times New Roman" w:hAnsi="Calibri" w:cs="Times New Roman"/>
                <w:szCs w:val="18"/>
              </w:rPr>
              <w:t>Chapter 4, Note 7.2 pages 91-95</w:t>
            </w:r>
            <w:r w:rsidRPr="00EB2F27">
              <w:rPr>
                <w:rFonts w:ascii="Calibri" w:eastAsia="Times New Roman" w:hAnsi="Calibri" w:cs="Times New Roman"/>
                <w:szCs w:val="18"/>
              </w:rPr>
              <w:t>, Note 3.2 page 43 and consolidated balance sheet page 31</w:t>
            </w:r>
          </w:p>
        </w:tc>
      </w:tr>
      <w:tr w:rsidR="00BB6F1F" w:rsidRPr="00B31535" w:rsidTr="00AC68FF">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highlight w:val="yellow"/>
              </w:rPr>
            </w:pPr>
          </w:p>
        </w:tc>
        <w:tc>
          <w:tcPr>
            <w:tcW w:w="4183" w:type="dxa"/>
            <w:shd w:val="clear" w:color="auto" w:fill="auto"/>
          </w:tcPr>
          <w:p w:rsidR="00BB6F1F" w:rsidRPr="00B31535" w:rsidRDefault="00BB6F1F" w:rsidP="00AC68FF">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(ii)</w:t>
            </w:r>
            <w:r w:rsidRPr="00B31535">
              <w:rPr>
                <w:rFonts w:ascii="Calibri" w:eastAsia="Times New Roman" w:hAnsi="Calibri" w:cs="Times New Roman"/>
                <w:szCs w:val="18"/>
              </w:rPr>
              <w:tab/>
              <w:t>prescribed assets and prescribed liabilities of prescribed bodies;</w:t>
            </w:r>
          </w:p>
        </w:tc>
        <w:tc>
          <w:tcPr>
            <w:tcW w:w="3240" w:type="dxa"/>
            <w:shd w:val="clear" w:color="auto" w:fill="auto"/>
          </w:tcPr>
          <w:p w:rsidR="00BB6F1F" w:rsidRPr="00B31535" w:rsidRDefault="00BB6F1F" w:rsidP="005154CE">
            <w:pPr>
              <w:spacing w:after="40"/>
              <w:rPr>
                <w:rFonts w:ascii="Calibri" w:eastAsia="Times New Roman" w:hAnsi="Calibri" w:cs="Times New Roman"/>
                <w:szCs w:val="18"/>
              </w:rPr>
            </w:pPr>
            <w:r w:rsidRPr="00EB2F27">
              <w:rPr>
                <w:rFonts w:ascii="Calibri" w:eastAsia="Times New Roman" w:hAnsi="Calibri" w:cs="Times New Roman"/>
                <w:szCs w:val="18"/>
              </w:rPr>
              <w:t>Refer Chapter 4, Note 9.1</w:t>
            </w:r>
            <w:r w:rsidR="009C6A5E">
              <w:rPr>
                <w:rFonts w:ascii="Calibri" w:eastAsia="Times New Roman" w:hAnsi="Calibri" w:cs="Times New Roman"/>
                <w:szCs w:val="18"/>
              </w:rPr>
              <w:t>,</w:t>
            </w:r>
            <w:r w:rsidRPr="00EB2F27">
              <w:rPr>
                <w:rFonts w:ascii="Calibri" w:eastAsia="Times New Roman" w:hAnsi="Calibri" w:cs="Times New Roman"/>
                <w:szCs w:val="18"/>
              </w:rPr>
              <w:t xml:space="preserve"> </w:t>
            </w:r>
            <w:r w:rsidR="009C6A5E">
              <w:rPr>
                <w:rFonts w:ascii="Calibri" w:eastAsia="Times New Roman" w:hAnsi="Calibri" w:cs="Times New Roman"/>
                <w:szCs w:val="18"/>
              </w:rPr>
              <w:br/>
              <w:t>p</w:t>
            </w:r>
            <w:r w:rsidR="005154CE">
              <w:rPr>
                <w:rFonts w:ascii="Calibri" w:eastAsia="Times New Roman" w:hAnsi="Calibri" w:cs="Times New Roman"/>
                <w:szCs w:val="18"/>
              </w:rPr>
              <w:t>ages 130</w:t>
            </w:r>
            <w:r w:rsidRPr="00EB2F27">
              <w:rPr>
                <w:rFonts w:ascii="Calibri" w:eastAsia="Times New Roman" w:hAnsi="Calibri" w:cs="Times New Roman"/>
                <w:szCs w:val="18"/>
              </w:rPr>
              <w:t>-1</w:t>
            </w:r>
            <w:r w:rsidR="005154CE">
              <w:rPr>
                <w:rFonts w:ascii="Calibri" w:eastAsia="Times New Roman" w:hAnsi="Calibri" w:cs="Times New Roman"/>
                <w:szCs w:val="18"/>
              </w:rPr>
              <w:t>37</w:t>
            </w:r>
            <w:r w:rsidRPr="00EB2F27">
              <w:rPr>
                <w:rFonts w:ascii="Calibri" w:eastAsia="Times New Roman" w:hAnsi="Calibri" w:cs="Times New Roman"/>
                <w:szCs w:val="18"/>
              </w:rPr>
              <w:t xml:space="preserve">, </w:t>
            </w:r>
            <w:r w:rsidR="009C6A5E">
              <w:rPr>
                <w:rFonts w:ascii="Calibri" w:eastAsia="Times New Roman" w:hAnsi="Calibri" w:cs="Times New Roman"/>
                <w:szCs w:val="18"/>
              </w:rPr>
              <w:t xml:space="preserve">and </w:t>
            </w:r>
            <w:r w:rsidRPr="00EB2F27">
              <w:rPr>
                <w:rFonts w:ascii="Calibri" w:eastAsia="Times New Roman" w:hAnsi="Calibri" w:cs="Times New Roman"/>
                <w:szCs w:val="18"/>
              </w:rPr>
              <w:t>Chapter 5, Table 5.2</w:t>
            </w:r>
            <w:r w:rsidR="009C6A5E">
              <w:rPr>
                <w:rFonts w:ascii="Calibri" w:eastAsia="Times New Roman" w:hAnsi="Calibri" w:cs="Times New Roman"/>
                <w:szCs w:val="18"/>
              </w:rPr>
              <w:t>,</w:t>
            </w:r>
            <w:r w:rsidRPr="00EB2F27">
              <w:rPr>
                <w:rFonts w:ascii="Calibri" w:eastAsia="Times New Roman" w:hAnsi="Calibri" w:cs="Times New Roman"/>
                <w:szCs w:val="18"/>
              </w:rPr>
              <w:t xml:space="preserve"> page 15</w:t>
            </w:r>
            <w:r w:rsidR="005154CE">
              <w:rPr>
                <w:rFonts w:ascii="Calibri" w:eastAsia="Times New Roman" w:hAnsi="Calibri" w:cs="Times New Roman"/>
                <w:szCs w:val="18"/>
              </w:rPr>
              <w:t>5</w:t>
            </w:r>
          </w:p>
        </w:tc>
      </w:tr>
      <w:tr w:rsidR="00BB6F1F" w:rsidRPr="00B31535" w:rsidTr="00AC68FF">
        <w:trPr>
          <w:cantSplit/>
        </w:trPr>
        <w:tc>
          <w:tcPr>
            <w:tcW w:w="2250" w:type="dxa"/>
            <w:shd w:val="clear" w:color="auto" w:fill="auto"/>
          </w:tcPr>
          <w:p w:rsidR="00BB6F1F" w:rsidRPr="00B31535" w:rsidRDefault="00BB6F1F" w:rsidP="00AC68FF">
            <w:pPr>
              <w:spacing w:after="40"/>
              <w:ind w:left="187" w:hanging="187"/>
              <w:rPr>
                <w:rFonts w:ascii="Calibri" w:eastAsia="Times New Roman" w:hAnsi="Calibri" w:cs="Times New Roman"/>
                <w:szCs w:val="18"/>
              </w:rPr>
            </w:pPr>
          </w:p>
        </w:tc>
        <w:tc>
          <w:tcPr>
            <w:tcW w:w="4183" w:type="dxa"/>
            <w:shd w:val="clear" w:color="auto" w:fill="auto"/>
          </w:tcPr>
          <w:p w:rsidR="00BB6F1F" w:rsidRPr="00B31535" w:rsidRDefault="00BB6F1F"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w:t>
            </w:r>
            <w:r>
              <w:rPr>
                <w:rFonts w:ascii="Calibri" w:eastAsia="Times New Roman" w:hAnsi="Calibri" w:cs="Times New Roman"/>
                <w:szCs w:val="20"/>
              </w:rPr>
              <w:t>l</w:t>
            </w:r>
            <w:r w:rsidRPr="00B31535">
              <w:rPr>
                <w:rFonts w:ascii="Calibri" w:eastAsia="Times New Roman" w:hAnsi="Calibri" w:cs="Times New Roman"/>
                <w:szCs w:val="20"/>
              </w:rPr>
              <w:t xml:space="preserve">) </w:t>
            </w:r>
            <w:r>
              <w:rPr>
                <w:rFonts w:ascii="Calibri" w:eastAsia="Times New Roman" w:hAnsi="Calibri" w:cs="Times New Roman"/>
                <w:szCs w:val="20"/>
              </w:rPr>
              <w:tab/>
            </w:r>
            <w:r w:rsidRPr="00B31535">
              <w:rPr>
                <w:rFonts w:ascii="Calibri" w:eastAsia="Times New Roman" w:hAnsi="Calibri" w:cs="Times New Roman"/>
                <w:szCs w:val="20"/>
              </w:rPr>
              <w:t>must be audited by the Auditor</w:t>
            </w:r>
            <w:r w:rsidRPr="00B31535">
              <w:rPr>
                <w:rFonts w:ascii="Calibri" w:eastAsia="Times New Roman" w:hAnsi="Calibri" w:cs="Times New Roman"/>
                <w:szCs w:val="20"/>
              </w:rPr>
              <w:noBreakHyphen/>
              <w:t>General.</w:t>
            </w:r>
          </w:p>
        </w:tc>
        <w:tc>
          <w:tcPr>
            <w:tcW w:w="3240" w:type="dxa"/>
            <w:shd w:val="clear" w:color="auto" w:fill="auto"/>
          </w:tcPr>
          <w:p w:rsidR="00BB6F1F" w:rsidRPr="00B31535" w:rsidRDefault="00BB6F1F" w:rsidP="00AC68FF">
            <w:pPr>
              <w:spacing w:after="40"/>
              <w:rPr>
                <w:rFonts w:ascii="Calibri" w:eastAsia="Times New Roman" w:hAnsi="Calibri" w:cs="Times New Roman"/>
                <w:szCs w:val="18"/>
              </w:rPr>
            </w:pPr>
            <w:r w:rsidRPr="00B31535">
              <w:rPr>
                <w:rFonts w:ascii="Calibri" w:eastAsia="Times New Roman" w:hAnsi="Calibri" w:cs="Times New Roman"/>
                <w:szCs w:val="18"/>
              </w:rPr>
              <w:t xml:space="preserve">Refer Chapter 4, </w:t>
            </w:r>
            <w:r w:rsidRPr="009C6A5E">
              <w:rPr>
                <w:rFonts w:ascii="Calibri" w:eastAsia="Times New Roman" w:hAnsi="Calibri" w:cs="Times New Roman"/>
                <w:i/>
                <w:szCs w:val="18"/>
              </w:rPr>
              <w:t>Report of the Auditor</w:t>
            </w:r>
            <w:r w:rsidRPr="009C6A5E">
              <w:rPr>
                <w:rFonts w:ascii="Calibri" w:eastAsia="Times New Roman" w:hAnsi="Calibri" w:cs="Times New Roman"/>
                <w:i/>
                <w:szCs w:val="18"/>
              </w:rPr>
              <w:noBreakHyphen/>
              <w:t>General</w:t>
            </w:r>
            <w:r w:rsidRPr="00B31535">
              <w:rPr>
                <w:rFonts w:ascii="Calibri" w:eastAsia="Times New Roman" w:hAnsi="Calibri" w:cs="Times New Roman"/>
                <w:szCs w:val="18"/>
              </w:rPr>
              <w:t>, pages </w:t>
            </w:r>
            <w:r w:rsidRPr="00EB2F27">
              <w:rPr>
                <w:rFonts w:ascii="Calibri" w:eastAsia="Times New Roman" w:hAnsi="Calibri" w:cs="Times New Roman"/>
                <w:szCs w:val="18"/>
              </w:rPr>
              <w:t>25-28</w:t>
            </w:r>
          </w:p>
        </w:tc>
      </w:tr>
      <w:tr w:rsidR="00BB6F1F" w:rsidRPr="00A17F72" w:rsidTr="00AC68FF">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rPr>
            </w:pPr>
            <w:r w:rsidRPr="00B31535">
              <w:rPr>
                <w:rFonts w:ascii="Calibri" w:eastAsia="Times New Roman" w:hAnsi="Calibri" w:cs="Times New Roman"/>
                <w:szCs w:val="18"/>
              </w:rPr>
              <w:t>Section 26(1)</w:t>
            </w:r>
          </w:p>
        </w:tc>
        <w:tc>
          <w:tcPr>
            <w:tcW w:w="4183" w:type="dxa"/>
            <w:shd w:val="clear" w:color="auto" w:fill="auto"/>
          </w:tcPr>
          <w:p w:rsidR="00BB6F1F" w:rsidRPr="00B31535" w:rsidRDefault="00BB6F1F" w:rsidP="00AC68FF">
            <w:pPr>
              <w:spacing w:after="40"/>
              <w:rPr>
                <w:rFonts w:ascii="Calibri" w:eastAsia="Times New Roman" w:hAnsi="Calibri" w:cs="Times New Roman"/>
                <w:szCs w:val="18"/>
              </w:rPr>
            </w:pPr>
            <w:r w:rsidRPr="00B31535">
              <w:rPr>
                <w:rFonts w:ascii="Calibri" w:eastAsia="Times New Roman" w:hAnsi="Calibri" w:cs="Times New Roman"/>
                <w:szCs w:val="18"/>
              </w:rPr>
              <w:t xml:space="preserve">The Minister must prepare a </w:t>
            </w:r>
            <w:r w:rsidRPr="00B31535">
              <w:rPr>
                <w:rFonts w:ascii="Calibri" w:eastAsia="Times New Roman" w:hAnsi="Calibri" w:cs="Times New Roman"/>
                <w:szCs w:val="24"/>
              </w:rPr>
              <w:t>quarterly</w:t>
            </w:r>
            <w:r w:rsidRPr="00B31535">
              <w:rPr>
                <w:rFonts w:ascii="Calibri" w:eastAsia="Times New Roman" w:hAnsi="Calibri" w:cs="Times New Roman"/>
                <w:szCs w:val="18"/>
              </w:rPr>
              <w:t xml:space="preserve"> financial report for each quarter of each financial year.</w:t>
            </w:r>
          </w:p>
        </w:tc>
        <w:tc>
          <w:tcPr>
            <w:tcW w:w="3240" w:type="dxa"/>
            <w:shd w:val="clear" w:color="auto" w:fill="auto"/>
          </w:tcPr>
          <w:p w:rsidR="00BB6F1F" w:rsidRPr="00A17F72" w:rsidRDefault="00BB6F1F" w:rsidP="005154CE">
            <w:pPr>
              <w:spacing w:after="40"/>
              <w:rPr>
                <w:rFonts w:ascii="Calibri" w:eastAsia="Times New Roman" w:hAnsi="Calibri" w:cs="Times New Roman"/>
                <w:szCs w:val="18"/>
              </w:rPr>
            </w:pPr>
            <w:r w:rsidRPr="00A17F72">
              <w:rPr>
                <w:rFonts w:ascii="Calibri" w:eastAsia="Times New Roman" w:hAnsi="Calibri" w:cs="Times New Roman"/>
                <w:szCs w:val="18"/>
              </w:rPr>
              <w:t xml:space="preserve">Refer Appendix A, pages </w:t>
            </w:r>
            <w:r w:rsidRPr="00EB2F27">
              <w:rPr>
                <w:rFonts w:ascii="Calibri" w:eastAsia="Times New Roman" w:hAnsi="Calibri" w:cs="Times New Roman"/>
                <w:szCs w:val="18"/>
              </w:rPr>
              <w:t>16</w:t>
            </w:r>
            <w:r w:rsidR="005154CE">
              <w:rPr>
                <w:rFonts w:ascii="Calibri" w:eastAsia="Times New Roman" w:hAnsi="Calibri" w:cs="Times New Roman"/>
                <w:szCs w:val="18"/>
              </w:rPr>
              <w:t>3</w:t>
            </w:r>
            <w:r w:rsidRPr="00EB2F27">
              <w:rPr>
                <w:rFonts w:ascii="Calibri" w:eastAsia="Times New Roman" w:hAnsi="Calibri" w:cs="Times New Roman"/>
                <w:szCs w:val="18"/>
              </w:rPr>
              <w:t>-16</w:t>
            </w:r>
            <w:r w:rsidR="005154CE">
              <w:rPr>
                <w:rFonts w:ascii="Calibri" w:eastAsia="Times New Roman" w:hAnsi="Calibri" w:cs="Times New Roman"/>
                <w:szCs w:val="18"/>
              </w:rPr>
              <w:t>5</w:t>
            </w:r>
          </w:p>
        </w:tc>
      </w:tr>
      <w:tr w:rsidR="00BB6F1F" w:rsidRPr="00A17F72" w:rsidTr="00AC68FF">
        <w:trPr>
          <w:cantSplit/>
        </w:trPr>
        <w:tc>
          <w:tcPr>
            <w:tcW w:w="2250" w:type="dxa"/>
            <w:shd w:val="clear" w:color="auto" w:fill="auto"/>
          </w:tcPr>
          <w:p w:rsidR="00BB6F1F" w:rsidRPr="00B31535" w:rsidRDefault="00BB6F1F" w:rsidP="00AC68FF">
            <w:pPr>
              <w:ind w:left="180" w:hanging="180"/>
              <w:rPr>
                <w:rFonts w:ascii="Calibri" w:eastAsia="Times New Roman" w:hAnsi="Calibri" w:cs="Times New Roman"/>
                <w:szCs w:val="18"/>
              </w:rPr>
            </w:pPr>
            <w:r w:rsidRPr="00B31535">
              <w:rPr>
                <w:rFonts w:ascii="Calibri" w:eastAsia="Times New Roman" w:hAnsi="Calibri" w:cs="Times New Roman"/>
                <w:szCs w:val="18"/>
              </w:rPr>
              <w:t>Section 26(2)</w:t>
            </w:r>
          </w:p>
        </w:tc>
        <w:tc>
          <w:tcPr>
            <w:tcW w:w="4183" w:type="dxa"/>
            <w:shd w:val="clear" w:color="auto" w:fill="auto"/>
          </w:tcPr>
          <w:p w:rsidR="00BB6F1F" w:rsidRPr="00B31535" w:rsidRDefault="00BB6F1F" w:rsidP="00AC68FF">
            <w:pPr>
              <w:rPr>
                <w:rFonts w:ascii="Calibri" w:eastAsia="Times New Roman" w:hAnsi="Calibri" w:cs="Times New Roman"/>
                <w:szCs w:val="18"/>
              </w:rPr>
            </w:pPr>
            <w:r w:rsidRPr="00B31535">
              <w:rPr>
                <w:rFonts w:ascii="Calibri" w:eastAsia="Times New Roman" w:hAnsi="Calibri" w:cs="Times New Roman"/>
                <w:szCs w:val="18"/>
              </w:rPr>
              <w:t>A quarterly financial report comprises:</w:t>
            </w:r>
          </w:p>
        </w:tc>
        <w:tc>
          <w:tcPr>
            <w:tcW w:w="3240" w:type="dxa"/>
            <w:shd w:val="clear" w:color="auto" w:fill="auto"/>
          </w:tcPr>
          <w:p w:rsidR="00BB6F1F" w:rsidRPr="00A17F72" w:rsidRDefault="00BB6F1F" w:rsidP="00AC68FF">
            <w:pPr>
              <w:rPr>
                <w:rFonts w:ascii="Calibri" w:eastAsia="Times New Roman" w:hAnsi="Calibri" w:cs="Times New Roman"/>
                <w:szCs w:val="18"/>
              </w:rPr>
            </w:pPr>
          </w:p>
        </w:tc>
      </w:tr>
      <w:tr w:rsidR="00BB6F1F" w:rsidRPr="00A17F72" w:rsidTr="00AC68FF">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rPr>
            </w:pPr>
          </w:p>
        </w:tc>
        <w:tc>
          <w:tcPr>
            <w:tcW w:w="4183" w:type="dxa"/>
            <w:shd w:val="clear" w:color="auto" w:fill="auto"/>
          </w:tcPr>
          <w:p w:rsidR="00BB6F1F" w:rsidRPr="00B31535" w:rsidRDefault="00BB6F1F"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(a)</w:t>
            </w:r>
            <w:r w:rsidRPr="00B31535">
              <w:rPr>
                <w:rFonts w:ascii="Calibri" w:eastAsia="Times New Roman" w:hAnsi="Calibri" w:cs="Times New Roman"/>
                <w:szCs w:val="20"/>
              </w:rPr>
              <w:tab/>
              <w:t>a statement of financial performance of the Victorian general government sector for the quarter;</w:t>
            </w:r>
          </w:p>
        </w:tc>
        <w:tc>
          <w:tcPr>
            <w:tcW w:w="3240" w:type="dxa"/>
            <w:shd w:val="clear" w:color="auto" w:fill="auto"/>
          </w:tcPr>
          <w:p w:rsidR="00BB6F1F" w:rsidRPr="00EB2F27" w:rsidRDefault="00BB6F1F" w:rsidP="009C6A5E">
            <w:pPr>
              <w:spacing w:after="40"/>
              <w:rPr>
                <w:rFonts w:ascii="Calibri" w:eastAsia="Times New Roman" w:hAnsi="Calibri" w:cs="Times New Roman"/>
                <w:szCs w:val="18"/>
              </w:rPr>
            </w:pPr>
            <w:r w:rsidRPr="00EB2F27">
              <w:rPr>
                <w:rFonts w:ascii="Calibri" w:eastAsia="Times New Roman" w:hAnsi="Calibri" w:cs="Times New Roman"/>
                <w:szCs w:val="18"/>
              </w:rPr>
              <w:t>Refer Appendix A, page</w:t>
            </w:r>
            <w:r w:rsidR="009C6A5E">
              <w:rPr>
                <w:rFonts w:ascii="Calibri" w:eastAsia="Times New Roman" w:hAnsi="Calibri" w:cs="Times New Roman"/>
                <w:szCs w:val="18"/>
              </w:rPr>
              <w:t xml:space="preserve"> </w:t>
            </w:r>
            <w:r w:rsidR="005154CE">
              <w:rPr>
                <w:rFonts w:ascii="Calibri" w:eastAsia="Times New Roman" w:hAnsi="Calibri" w:cs="Times New Roman"/>
                <w:szCs w:val="18"/>
              </w:rPr>
              <w:t>163</w:t>
            </w:r>
          </w:p>
        </w:tc>
      </w:tr>
      <w:tr w:rsidR="00BB6F1F" w:rsidRPr="00A17F72" w:rsidTr="00AC68FF">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rPr>
            </w:pPr>
          </w:p>
        </w:tc>
        <w:tc>
          <w:tcPr>
            <w:tcW w:w="4183" w:type="dxa"/>
            <w:shd w:val="clear" w:color="auto" w:fill="auto"/>
          </w:tcPr>
          <w:p w:rsidR="00BB6F1F" w:rsidRPr="00B31535" w:rsidRDefault="00BB6F1F"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(b)</w:t>
            </w:r>
            <w:r w:rsidRPr="00B31535">
              <w:rPr>
                <w:rFonts w:ascii="Calibri" w:eastAsia="Times New Roman" w:hAnsi="Calibri" w:cs="Times New Roman"/>
                <w:szCs w:val="20"/>
              </w:rPr>
              <w:tab/>
              <w:t>a statement of financial position of the Victorian general government sector at the end of the quarter;</w:t>
            </w:r>
          </w:p>
        </w:tc>
        <w:tc>
          <w:tcPr>
            <w:tcW w:w="3240" w:type="dxa"/>
            <w:shd w:val="clear" w:color="auto" w:fill="auto"/>
          </w:tcPr>
          <w:p w:rsidR="00BB6F1F" w:rsidRPr="00EB2F27" w:rsidRDefault="005154CE" w:rsidP="00AC68FF">
            <w:pPr>
              <w:spacing w:after="40"/>
              <w:rPr>
                <w:rFonts w:ascii="Calibri" w:eastAsia="Times New Roman" w:hAnsi="Calibri" w:cs="Times New Roman"/>
                <w:szCs w:val="18"/>
              </w:rPr>
            </w:pPr>
            <w:r>
              <w:rPr>
                <w:rFonts w:ascii="Calibri" w:eastAsia="Times New Roman" w:hAnsi="Calibri" w:cs="Times New Roman"/>
                <w:szCs w:val="18"/>
              </w:rPr>
              <w:t>Refer Appendix A, page 164</w:t>
            </w:r>
          </w:p>
        </w:tc>
      </w:tr>
      <w:tr w:rsidR="00BB6F1F" w:rsidRPr="00A17F72" w:rsidTr="009C6A5E">
        <w:trPr>
          <w:cantSplit/>
        </w:trPr>
        <w:tc>
          <w:tcPr>
            <w:tcW w:w="2250" w:type="dxa"/>
            <w:shd w:val="clear" w:color="auto" w:fill="auto"/>
          </w:tcPr>
          <w:p w:rsidR="00BB6F1F" w:rsidRPr="00B31535" w:rsidRDefault="00BB6F1F" w:rsidP="00AC68FF">
            <w:pPr>
              <w:spacing w:after="40"/>
              <w:ind w:left="180" w:hanging="180"/>
              <w:rPr>
                <w:rFonts w:ascii="Calibri" w:eastAsia="Times New Roman" w:hAnsi="Calibri" w:cs="Times New Roman"/>
                <w:szCs w:val="18"/>
              </w:rPr>
            </w:pPr>
          </w:p>
        </w:tc>
        <w:tc>
          <w:tcPr>
            <w:tcW w:w="4183" w:type="dxa"/>
            <w:shd w:val="clear" w:color="auto" w:fill="auto"/>
          </w:tcPr>
          <w:p w:rsidR="00BB6F1F" w:rsidRPr="00B31535" w:rsidRDefault="00BB6F1F"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(c)</w:t>
            </w:r>
            <w:r w:rsidRPr="00B31535">
              <w:rPr>
                <w:rFonts w:ascii="Calibri" w:eastAsia="Times New Roman" w:hAnsi="Calibri" w:cs="Times New Roman"/>
                <w:szCs w:val="20"/>
              </w:rPr>
              <w:tab/>
              <w:t>a statement of cash flows of the Victorian general government sector for the quarter; and</w:t>
            </w:r>
          </w:p>
        </w:tc>
        <w:tc>
          <w:tcPr>
            <w:tcW w:w="3240" w:type="dxa"/>
            <w:shd w:val="clear" w:color="auto" w:fill="auto"/>
          </w:tcPr>
          <w:p w:rsidR="00BB6F1F" w:rsidRPr="00EB2F27" w:rsidRDefault="005154CE" w:rsidP="00AC68FF">
            <w:pPr>
              <w:spacing w:after="40"/>
              <w:rPr>
                <w:rFonts w:ascii="Calibri" w:eastAsia="Times New Roman" w:hAnsi="Calibri" w:cs="Times New Roman"/>
                <w:szCs w:val="18"/>
              </w:rPr>
            </w:pPr>
            <w:r>
              <w:rPr>
                <w:rFonts w:ascii="Calibri" w:eastAsia="Times New Roman" w:hAnsi="Calibri" w:cs="Times New Roman"/>
                <w:szCs w:val="18"/>
              </w:rPr>
              <w:t>Refer Appendix A, page 165</w:t>
            </w:r>
          </w:p>
        </w:tc>
      </w:tr>
      <w:tr w:rsidR="00BB6F1F" w:rsidRPr="00B31535" w:rsidTr="009C6A5E">
        <w:trPr>
          <w:cantSplit/>
        </w:trPr>
        <w:tc>
          <w:tcPr>
            <w:tcW w:w="2250" w:type="dxa"/>
            <w:tcBorders>
              <w:bottom w:val="single" w:sz="6" w:space="0" w:color="auto"/>
            </w:tcBorders>
            <w:shd w:val="clear" w:color="auto" w:fill="auto"/>
          </w:tcPr>
          <w:p w:rsidR="00BB6F1F" w:rsidRPr="00B31535" w:rsidRDefault="00BB6F1F" w:rsidP="00AC68FF">
            <w:pPr>
              <w:spacing w:after="40"/>
              <w:ind w:left="180" w:hanging="180"/>
              <w:rPr>
                <w:rFonts w:ascii="Calibri" w:eastAsia="Times New Roman" w:hAnsi="Calibri" w:cs="Times New Roman"/>
                <w:szCs w:val="18"/>
              </w:rPr>
            </w:pPr>
          </w:p>
        </w:tc>
        <w:tc>
          <w:tcPr>
            <w:tcW w:w="4183" w:type="dxa"/>
            <w:tcBorders>
              <w:bottom w:val="single" w:sz="6" w:space="0" w:color="auto"/>
            </w:tcBorders>
            <w:shd w:val="clear" w:color="auto" w:fill="auto"/>
          </w:tcPr>
          <w:p w:rsidR="00BB6F1F" w:rsidRPr="00B31535" w:rsidRDefault="00BB6F1F"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(d)</w:t>
            </w:r>
            <w:r w:rsidRPr="00B31535">
              <w:rPr>
                <w:rFonts w:ascii="Calibri" w:eastAsia="Times New Roman" w:hAnsi="Calibri" w:cs="Times New Roman"/>
                <w:szCs w:val="20"/>
              </w:rPr>
              <w:tab/>
              <w:t>a statement of the accounting policies on which the statements required by paragraphs (a), (b) and (c) are based.</w:t>
            </w:r>
          </w:p>
        </w:tc>
        <w:tc>
          <w:tcPr>
            <w:tcW w:w="3240" w:type="dxa"/>
            <w:tcBorders>
              <w:bottom w:val="single" w:sz="6" w:space="0" w:color="auto"/>
            </w:tcBorders>
            <w:shd w:val="clear" w:color="auto" w:fill="auto"/>
          </w:tcPr>
          <w:p w:rsidR="00BB6F1F" w:rsidRPr="00B31535" w:rsidRDefault="00BB6F1F" w:rsidP="00AC68FF">
            <w:pPr>
              <w:spacing w:after="40"/>
              <w:rPr>
                <w:rFonts w:ascii="Calibri" w:eastAsia="Times New Roman" w:hAnsi="Calibri" w:cs="Times New Roman"/>
                <w:szCs w:val="18"/>
              </w:rPr>
            </w:pPr>
            <w:r>
              <w:rPr>
                <w:rFonts w:ascii="Calibri" w:eastAsia="Times New Roman" w:hAnsi="Calibri" w:cs="Times New Roman"/>
                <w:szCs w:val="18"/>
              </w:rPr>
              <w:t>Refer Chapter 4</w:t>
            </w:r>
          </w:p>
        </w:tc>
      </w:tr>
      <w:tr w:rsidR="00BB6F1F" w:rsidRPr="00B31535" w:rsidTr="009C6A5E">
        <w:trPr>
          <w:cantSplit/>
        </w:trPr>
        <w:tc>
          <w:tcPr>
            <w:tcW w:w="2250" w:type="dxa"/>
            <w:tcBorders>
              <w:top w:val="single" w:sz="6" w:space="0" w:color="auto"/>
            </w:tcBorders>
            <w:shd w:val="clear" w:color="auto" w:fill="auto"/>
          </w:tcPr>
          <w:p w:rsidR="00BB6F1F" w:rsidRPr="00B31535" w:rsidRDefault="00BB6F1F" w:rsidP="00AC68FF">
            <w:pPr>
              <w:pageBreakBefore/>
              <w:spacing w:after="40"/>
              <w:ind w:left="181" w:hanging="181"/>
              <w:rPr>
                <w:rFonts w:ascii="Calibri" w:eastAsia="Times New Roman" w:hAnsi="Calibri" w:cs="Times New Roman"/>
                <w:szCs w:val="18"/>
              </w:rPr>
            </w:pPr>
            <w:r w:rsidRPr="00B31535">
              <w:rPr>
                <w:rFonts w:ascii="Calibri" w:eastAsia="Times New Roman" w:hAnsi="Calibri" w:cs="Times New Roman"/>
                <w:szCs w:val="18"/>
              </w:rPr>
              <w:lastRenderedPageBreak/>
              <w:t>Section 26(2A)</w:t>
            </w:r>
          </w:p>
        </w:tc>
        <w:tc>
          <w:tcPr>
            <w:tcW w:w="4183" w:type="dxa"/>
            <w:tcBorders>
              <w:top w:val="single" w:sz="6" w:space="0" w:color="auto"/>
            </w:tcBorders>
            <w:shd w:val="clear" w:color="auto" w:fill="auto"/>
          </w:tcPr>
          <w:p w:rsidR="00BB6F1F" w:rsidRPr="00B31535" w:rsidRDefault="00BB6F1F" w:rsidP="00AC68FF">
            <w:pPr>
              <w:spacing w:after="40"/>
              <w:rPr>
                <w:rFonts w:ascii="Calibri" w:eastAsia="Times New Roman" w:hAnsi="Calibri" w:cs="Times New Roman"/>
                <w:szCs w:val="18"/>
              </w:rPr>
            </w:pPr>
            <w:r w:rsidRPr="00B31535">
              <w:rPr>
                <w:rFonts w:ascii="Calibri" w:eastAsia="Times New Roman" w:hAnsi="Calibri" w:cs="Times New Roman"/>
                <w:szCs w:val="18"/>
              </w:rPr>
              <w:t>A quarterly financial report must be prepared in the manner and form determined by the Minister, having regard to appropriate financial reporting frameworks.</w:t>
            </w:r>
          </w:p>
        </w:tc>
        <w:tc>
          <w:tcPr>
            <w:tcW w:w="3240" w:type="dxa"/>
            <w:tcBorders>
              <w:top w:val="single" w:sz="6" w:space="0" w:color="auto"/>
            </w:tcBorders>
            <w:shd w:val="clear" w:color="auto" w:fill="auto"/>
          </w:tcPr>
          <w:p w:rsidR="00BB6F1F" w:rsidRPr="00B31535" w:rsidRDefault="00BB6F1F" w:rsidP="005154CE">
            <w:pPr>
              <w:spacing w:after="40"/>
              <w:rPr>
                <w:rFonts w:ascii="Calibri" w:eastAsia="Times New Roman" w:hAnsi="Calibri" w:cs="Times New Roman"/>
                <w:szCs w:val="18"/>
                <w:highlight w:val="yellow"/>
              </w:rPr>
            </w:pPr>
            <w:r w:rsidRPr="00A17F72">
              <w:rPr>
                <w:rFonts w:ascii="Calibri" w:eastAsia="Times New Roman" w:hAnsi="Calibri" w:cs="Times New Roman"/>
                <w:szCs w:val="18"/>
              </w:rPr>
              <w:t xml:space="preserve">Refer to Appendix A for agreed form, pages </w:t>
            </w:r>
            <w:r w:rsidRPr="00EB2F27">
              <w:rPr>
                <w:rFonts w:ascii="Calibri" w:eastAsia="Times New Roman" w:hAnsi="Calibri" w:cs="Times New Roman"/>
                <w:szCs w:val="18"/>
              </w:rPr>
              <w:t>16</w:t>
            </w:r>
            <w:r w:rsidR="005154CE">
              <w:rPr>
                <w:rFonts w:ascii="Calibri" w:eastAsia="Times New Roman" w:hAnsi="Calibri" w:cs="Times New Roman"/>
                <w:szCs w:val="18"/>
              </w:rPr>
              <w:t>3</w:t>
            </w:r>
            <w:r w:rsidRPr="00EB2F27">
              <w:rPr>
                <w:rFonts w:ascii="Calibri" w:eastAsia="Times New Roman" w:hAnsi="Calibri" w:cs="Times New Roman"/>
                <w:szCs w:val="18"/>
              </w:rPr>
              <w:t>-16</w:t>
            </w:r>
            <w:r w:rsidR="005154CE">
              <w:rPr>
                <w:rFonts w:ascii="Calibri" w:eastAsia="Times New Roman" w:hAnsi="Calibri" w:cs="Times New Roman"/>
                <w:szCs w:val="18"/>
              </w:rPr>
              <w:t>5</w:t>
            </w:r>
          </w:p>
        </w:tc>
      </w:tr>
      <w:tr w:rsidR="00BB6F1F" w:rsidRPr="00B31535" w:rsidTr="00AC68FF">
        <w:trPr>
          <w:cantSplit/>
        </w:trPr>
        <w:tc>
          <w:tcPr>
            <w:tcW w:w="2250" w:type="dxa"/>
            <w:tcBorders>
              <w:bottom w:val="single" w:sz="12" w:space="0" w:color="auto"/>
            </w:tcBorders>
            <w:shd w:val="clear" w:color="auto" w:fill="auto"/>
          </w:tcPr>
          <w:p w:rsidR="00BB6F1F" w:rsidRPr="00B31535" w:rsidRDefault="00BB6F1F" w:rsidP="00AC68FF">
            <w:pPr>
              <w:spacing w:after="40"/>
              <w:ind w:left="187" w:hanging="187"/>
              <w:rPr>
                <w:rFonts w:ascii="Calibri" w:eastAsia="Times New Roman" w:hAnsi="Calibri" w:cs="Times New Roman"/>
                <w:szCs w:val="18"/>
              </w:rPr>
            </w:pPr>
            <w:r w:rsidRPr="00B31535">
              <w:rPr>
                <w:rFonts w:ascii="Calibri" w:eastAsia="Times New Roman" w:hAnsi="Calibri" w:cs="Times New Roman"/>
                <w:szCs w:val="18"/>
              </w:rPr>
              <w:t>Section 26(3A)</w:t>
            </w:r>
          </w:p>
        </w:tc>
        <w:tc>
          <w:tcPr>
            <w:tcW w:w="4183" w:type="dxa"/>
            <w:tcBorders>
              <w:bottom w:val="single" w:sz="12" w:space="0" w:color="auto"/>
            </w:tcBorders>
            <w:shd w:val="clear" w:color="auto" w:fill="auto"/>
          </w:tcPr>
          <w:p w:rsidR="00BB6F1F" w:rsidRPr="00B31535" w:rsidRDefault="00BB6F1F" w:rsidP="00AC68FF">
            <w:pPr>
              <w:spacing w:after="40"/>
              <w:rPr>
                <w:rFonts w:ascii="Calibri" w:eastAsia="Times New Roman" w:hAnsi="Calibri" w:cs="Times New Roman"/>
                <w:szCs w:val="18"/>
              </w:rPr>
            </w:pPr>
            <w:r w:rsidRPr="00B31535">
              <w:rPr>
                <w:rFonts w:ascii="Calibri" w:eastAsia="Times New Roman" w:hAnsi="Calibri" w:cs="Times New Roman"/>
                <w:szCs w:val="18"/>
              </w:rPr>
              <w:t>The quarterly financial report for the quarter ending on 30 June in a financial year must include, in addition to the statements referred to in sub</w:t>
            </w:r>
            <w:r w:rsidRPr="00B31535">
              <w:rPr>
                <w:rFonts w:ascii="Calibri" w:eastAsia="Times New Roman" w:hAnsi="Calibri" w:cs="Times New Roman"/>
                <w:szCs w:val="18"/>
              </w:rPr>
              <w:noBreakHyphen/>
              <w:t>section (2)(a) to (d) for that quarter, those statements for the period of 12 months ending on that 30 June.</w:t>
            </w:r>
          </w:p>
        </w:tc>
        <w:tc>
          <w:tcPr>
            <w:tcW w:w="3240" w:type="dxa"/>
            <w:tcBorders>
              <w:bottom w:val="single" w:sz="12" w:space="0" w:color="auto"/>
            </w:tcBorders>
            <w:shd w:val="clear" w:color="auto" w:fill="auto"/>
          </w:tcPr>
          <w:p w:rsidR="00BB6F1F" w:rsidRPr="00B31535" w:rsidRDefault="00BB6F1F" w:rsidP="00AC68FF">
            <w:pPr>
              <w:spacing w:after="40"/>
              <w:rPr>
                <w:rFonts w:ascii="Calibri" w:eastAsia="Times New Roman" w:hAnsi="Calibri" w:cs="Times New Roman"/>
                <w:szCs w:val="18"/>
              </w:rPr>
            </w:pPr>
            <w:r w:rsidRPr="00B31535">
              <w:rPr>
                <w:rFonts w:ascii="Calibri" w:eastAsia="Times New Roman" w:hAnsi="Calibri" w:cs="Times New Roman"/>
                <w:szCs w:val="18"/>
              </w:rPr>
              <w:t>Refer to Chapter 4, consolidated comprehensive operating statement page </w:t>
            </w:r>
            <w:r>
              <w:rPr>
                <w:rFonts w:ascii="Calibri" w:eastAsia="Times New Roman" w:hAnsi="Calibri" w:cs="Times New Roman"/>
                <w:szCs w:val="18"/>
              </w:rPr>
              <w:t>30</w:t>
            </w:r>
            <w:r w:rsidRPr="00B31535">
              <w:rPr>
                <w:rFonts w:ascii="Calibri" w:eastAsia="Times New Roman" w:hAnsi="Calibri" w:cs="Times New Roman"/>
                <w:szCs w:val="18"/>
              </w:rPr>
              <w:t>, consolidated balance sheet page </w:t>
            </w:r>
            <w:r>
              <w:rPr>
                <w:rFonts w:ascii="Calibri" w:eastAsia="Times New Roman" w:hAnsi="Calibri" w:cs="Times New Roman"/>
                <w:szCs w:val="18"/>
              </w:rPr>
              <w:t>31</w:t>
            </w:r>
            <w:r w:rsidRPr="00B31535">
              <w:rPr>
                <w:rFonts w:ascii="Calibri" w:eastAsia="Times New Roman" w:hAnsi="Calibri" w:cs="Times New Roman"/>
                <w:szCs w:val="18"/>
              </w:rPr>
              <w:t xml:space="preserve">, consolidated cash flow statement </w:t>
            </w:r>
            <w:r w:rsidRPr="00EB2F27">
              <w:rPr>
                <w:rFonts w:ascii="Calibri" w:eastAsia="Times New Roman" w:hAnsi="Calibri" w:cs="Times New Roman"/>
                <w:szCs w:val="18"/>
              </w:rPr>
              <w:t xml:space="preserve">page 32 </w:t>
            </w:r>
            <w:r w:rsidRPr="00B31535">
              <w:rPr>
                <w:rFonts w:ascii="Calibri" w:eastAsia="Times New Roman" w:hAnsi="Calibri" w:cs="Times New Roman"/>
                <w:szCs w:val="18"/>
              </w:rPr>
              <w:t>and selected notes</w:t>
            </w:r>
          </w:p>
        </w:tc>
      </w:tr>
    </w:tbl>
    <w:p w:rsidR="00BB6F1F" w:rsidRDefault="00BB6F1F">
      <w:pPr>
        <w:keepLines w:val="0"/>
      </w:pPr>
    </w:p>
    <w:p w:rsidR="00BB6F1F" w:rsidRDefault="00BB6F1F">
      <w:pPr>
        <w:keepLines w:val="0"/>
      </w:pPr>
    </w:p>
    <w:p w:rsidR="00BB6F1F" w:rsidRDefault="00BB6F1F" w:rsidP="00AC68FF">
      <w:pPr>
        <w:keepLines w:val="0"/>
        <w:sectPr w:rsidR="00BB6F1F" w:rsidSect="00AC68FF">
          <w:headerReference w:type="even" r:id="rId186"/>
          <w:headerReference w:type="default" r:id="rId187"/>
          <w:footerReference w:type="even" r:id="rId188"/>
          <w:footerReference w:type="default" r:id="rId189"/>
          <w:type w:val="continuous"/>
          <w:pgSz w:w="11907" w:h="16839" w:code="9"/>
          <w:pgMar w:top="1134" w:right="1134" w:bottom="1134" w:left="1134" w:header="624" w:footer="567" w:gutter="0"/>
          <w:cols w:sep="1" w:space="567"/>
          <w:docGrid w:linePitch="360"/>
        </w:sectPr>
      </w:pPr>
    </w:p>
    <w:p w:rsidR="00BB6F1F" w:rsidRDefault="00BB6F1F">
      <w:pPr>
        <w:keepLines w:val="0"/>
      </w:pPr>
      <w:r>
        <w:lastRenderedPageBreak/>
        <w:br w:type="page"/>
      </w:r>
    </w:p>
    <w:p w:rsidR="00BB6F1F" w:rsidRDefault="00BB6F1F" w:rsidP="00A46F1A"/>
    <w:p w:rsidR="00BB6F1F" w:rsidRDefault="00BB6F1F" w:rsidP="00A46F1A"/>
    <w:p w:rsidR="00BB6F1F" w:rsidRDefault="00BB6F1F" w:rsidP="00A46F1A">
      <w:pPr>
        <w:sectPr w:rsidR="00BB6F1F" w:rsidSect="00A46F1A">
          <w:headerReference w:type="even" r:id="rId190"/>
          <w:headerReference w:type="default" r:id="rId191"/>
          <w:footerReference w:type="even" r:id="rId192"/>
          <w:footerReference w:type="default" r:id="rId193"/>
          <w:type w:val="continuous"/>
          <w:pgSz w:w="11907" w:h="16839" w:code="9"/>
          <w:pgMar w:top="1134" w:right="1134" w:bottom="1134" w:left="1134" w:header="624" w:footer="567" w:gutter="0"/>
          <w:cols w:space="567"/>
          <w:docGrid w:linePitch="360"/>
        </w:sectPr>
      </w:pPr>
    </w:p>
    <w:p w:rsidR="00BB6F1F" w:rsidRDefault="00BB6F1F" w:rsidP="000C43CD">
      <w:pPr>
        <w:pStyle w:val="Chapterheading"/>
      </w:pPr>
      <w:bookmarkStart w:id="109" w:name="_Toc492985884"/>
      <w:r>
        <w:lastRenderedPageBreak/>
        <w:t>Style conventions</w:t>
      </w:r>
      <w:bookmarkEnd w:id="109"/>
    </w:p>
    <w:p w:rsidR="00BB6F1F" w:rsidRPr="006E6031" w:rsidRDefault="00BB6F1F" w:rsidP="00AC68FF">
      <w:r w:rsidRPr="006E6031">
        <w:t>Figures in the tables and in the text have been rounded. Discrepancies in tables between totals and sums of components reflect rounding. Percentage variations in all tables are based on the underlying unrounded amounts.</w:t>
      </w:r>
    </w:p>
    <w:p w:rsidR="00BB6F1F" w:rsidRPr="006E6031" w:rsidRDefault="00BB6F1F" w:rsidP="00AC68FF">
      <w:r w:rsidRPr="006E6031">
        <w:t>The notation used in the tables is as follows:</w:t>
      </w:r>
    </w:p>
    <w:p w:rsidR="00BB6F1F" w:rsidRPr="006E6031" w:rsidRDefault="00BB6F1F" w:rsidP="00AC68FF">
      <w:pPr>
        <w:tabs>
          <w:tab w:val="left" w:pos="2694"/>
        </w:tabs>
        <w:ind w:left="851"/>
      </w:pPr>
      <w:proofErr w:type="spellStart"/>
      <w:r w:rsidRPr="006E6031">
        <w:t>n.a</w:t>
      </w:r>
      <w:proofErr w:type="spellEnd"/>
      <w:r w:rsidRPr="006E6031">
        <w:t>.</w:t>
      </w:r>
      <w:r w:rsidRPr="006E6031">
        <w:tab/>
        <w:t>not available or not applicable</w:t>
      </w:r>
    </w:p>
    <w:p w:rsidR="00BB6F1F" w:rsidRPr="006E6031" w:rsidRDefault="00BB6F1F" w:rsidP="00AC68FF">
      <w:pPr>
        <w:tabs>
          <w:tab w:val="left" w:pos="2694"/>
        </w:tabs>
        <w:ind w:left="851"/>
      </w:pPr>
      <w:r w:rsidRPr="006E6031">
        <w:t>1</w:t>
      </w:r>
      <w:r>
        <w:t> billion</w:t>
      </w:r>
      <w:r w:rsidRPr="006E6031">
        <w:tab/>
        <w:t>1</w:t>
      </w:r>
      <w:r>
        <w:t> </w:t>
      </w:r>
      <w:r w:rsidRPr="006E6031">
        <w:t>000</w:t>
      </w:r>
      <w:r>
        <w:t> million</w:t>
      </w:r>
    </w:p>
    <w:p w:rsidR="00BB6F1F" w:rsidRPr="006E6031" w:rsidRDefault="00BB6F1F" w:rsidP="00AC68FF">
      <w:pPr>
        <w:tabs>
          <w:tab w:val="left" w:pos="2694"/>
        </w:tabs>
        <w:ind w:left="851"/>
      </w:pPr>
      <w:r w:rsidRPr="006E6031">
        <w:t>1 basis point</w:t>
      </w:r>
      <w:r w:rsidRPr="006E6031">
        <w:tab/>
        <w:t>0.01</w:t>
      </w:r>
      <w:r>
        <w:t> per cent</w:t>
      </w:r>
    </w:p>
    <w:p w:rsidR="00BB6F1F" w:rsidRPr="006E6031" w:rsidRDefault="00BB6F1F" w:rsidP="00AC68FF">
      <w:pPr>
        <w:tabs>
          <w:tab w:val="left" w:pos="2694"/>
        </w:tabs>
        <w:ind w:left="851"/>
      </w:pPr>
      <w:r w:rsidRPr="006E6031">
        <w:t>..</w:t>
      </w:r>
      <w:r w:rsidRPr="006E6031">
        <w:tab/>
        <w:t>zero, or rounded to zero</w:t>
      </w:r>
    </w:p>
    <w:p w:rsidR="00BB6F1F" w:rsidRPr="006E6031" w:rsidRDefault="00BB6F1F" w:rsidP="00AC68FF">
      <w:pPr>
        <w:tabs>
          <w:tab w:val="left" w:pos="2694"/>
        </w:tabs>
        <w:ind w:left="851"/>
      </w:pPr>
      <w:r w:rsidRPr="006E6031">
        <w:t xml:space="preserve">(x </w:t>
      </w:r>
      <w:proofErr w:type="spellStart"/>
      <w:r w:rsidRPr="006E6031">
        <w:t>xxx.x</w:t>
      </w:r>
      <w:proofErr w:type="spellEnd"/>
      <w:r w:rsidRPr="006E6031">
        <w:t>)</w:t>
      </w:r>
      <w:r w:rsidRPr="006E6031">
        <w:tab/>
      </w:r>
      <w:r>
        <w:t>negati</w:t>
      </w:r>
      <w:r w:rsidRPr="006E6031">
        <w:t>ve amount</w:t>
      </w:r>
    </w:p>
    <w:p w:rsidR="00BB6F1F" w:rsidRPr="006E6031" w:rsidRDefault="00BB6F1F" w:rsidP="00AC68FF">
      <w:pPr>
        <w:tabs>
          <w:tab w:val="left" w:pos="2694"/>
        </w:tabs>
        <w:ind w:left="851"/>
      </w:pPr>
      <w:r w:rsidRPr="006E6031">
        <w:t>x xxx.0</w:t>
      </w:r>
      <w:r w:rsidRPr="006E6031">
        <w:tab/>
        <w:t>rounded amount</w:t>
      </w:r>
    </w:p>
    <w:p w:rsidR="00BB6F1F" w:rsidRPr="006E6031" w:rsidRDefault="00BB6F1F" w:rsidP="00AC68FF">
      <w:pPr>
        <w:tabs>
          <w:tab w:val="left" w:pos="2694"/>
        </w:tabs>
        <w:ind w:left="851"/>
      </w:pPr>
      <w:r>
        <w:t>201x</w:t>
      </w:r>
      <w:r>
        <w:tab/>
        <w:t>financial year</w:t>
      </w:r>
    </w:p>
    <w:p w:rsidR="00BB6F1F" w:rsidRPr="006E6031" w:rsidRDefault="00BB6F1F" w:rsidP="00AC68FF"/>
    <w:p w:rsidR="00BB6F1F" w:rsidRPr="00C47FE8" w:rsidRDefault="00BB6F1F" w:rsidP="00AC68FF">
      <w:pPr>
        <w:rPr>
          <w:color w:val="000000" w:themeColor="text1"/>
        </w:rPr>
      </w:pPr>
      <w:r w:rsidRPr="00C47FE8">
        <w:rPr>
          <w:color w:val="000000" w:themeColor="text1"/>
        </w:rPr>
        <w:t xml:space="preserve">Please refer to the </w:t>
      </w:r>
      <w:r w:rsidRPr="00C47FE8">
        <w:rPr>
          <w:b/>
          <w:color w:val="000000" w:themeColor="text1"/>
        </w:rPr>
        <w:t xml:space="preserve">Treasury and Finance glossary for budget and financial reports </w:t>
      </w:r>
      <w:r w:rsidRPr="00C47FE8">
        <w:rPr>
          <w:color w:val="000000" w:themeColor="text1"/>
        </w:rPr>
        <w:t xml:space="preserve">at </w:t>
      </w:r>
      <w:hyperlink r:id="rId194" w:history="1">
        <w:r w:rsidRPr="00DA3BBD">
          <w:rPr>
            <w:rStyle w:val="Hyperlink"/>
            <w:color w:val="000000" w:themeColor="text1"/>
          </w:rPr>
          <w:t>dtf.vic.gov.au</w:t>
        </w:r>
      </w:hyperlink>
      <w:r w:rsidRPr="00C47FE8">
        <w:rPr>
          <w:color w:val="000000" w:themeColor="text1"/>
        </w:rPr>
        <w:t xml:space="preserve"> for additional terms and references.</w:t>
      </w:r>
    </w:p>
    <w:p w:rsidR="00BB6F1F" w:rsidRDefault="00BB6F1F" w:rsidP="00AC68FF"/>
    <w:p w:rsidR="00BB6F1F" w:rsidRDefault="00BB6F1F" w:rsidP="00AC68FF">
      <w:r w:rsidRPr="00CE752E">
        <w:t>The Annual Financial Report</w:t>
      </w:r>
      <w:r w:rsidRPr="006E6031">
        <w:rPr>
          <w:i/>
        </w:rPr>
        <w:t xml:space="preserve"> </w:t>
      </w:r>
      <w:r w:rsidRPr="006E6031">
        <w:t>is based on the style set in the example of a general purpose financial report for a government in</w:t>
      </w:r>
      <w:r>
        <w:t xml:space="preserve"> illustrative example A of AASB </w:t>
      </w:r>
      <w:r w:rsidRPr="006E6031">
        <w:t xml:space="preserve">1049 </w:t>
      </w:r>
      <w:r w:rsidRPr="006E6031">
        <w:rPr>
          <w:i/>
        </w:rPr>
        <w:t>Whole of Government and General Government Sector Financial Reporting</w:t>
      </w:r>
      <w:r w:rsidRPr="006E6031">
        <w:t>. The styles used in other chapters of this document are generally consistent with those used in other publications relating to the annual budget papers</w:t>
      </w:r>
      <w:r>
        <w:t>.</w:t>
      </w:r>
    </w:p>
    <w:p w:rsidR="00BB6F1F" w:rsidRDefault="00BB6F1F" w:rsidP="00A171DC"/>
    <w:p w:rsidR="00BB6F1F" w:rsidRPr="00F63294" w:rsidRDefault="00BB6F1F" w:rsidP="00F63294"/>
    <w:sectPr w:rsidR="00BB6F1F" w:rsidRPr="00F63294" w:rsidSect="00AC68FF">
      <w:footerReference w:type="even" r:id="rId195"/>
      <w:footerReference w:type="default" r:id="rId196"/>
      <w:type w:val="continuous"/>
      <w:pgSz w:w="11907" w:h="16839" w:code="9"/>
      <w:pgMar w:top="1134" w:right="1134" w:bottom="1134" w:left="1134" w:header="624" w:footer="567" w:gutter="0"/>
      <w:cols w:sep="1"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AEA" w:rsidRDefault="00B82AEA">
      <w:pPr>
        <w:spacing w:before="0"/>
      </w:pPr>
      <w:r>
        <w:separator/>
      </w:r>
    </w:p>
  </w:endnote>
  <w:endnote w:type="continuationSeparator" w:id="0">
    <w:p w:rsidR="00B82AEA" w:rsidRDefault="00B82AE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967F9B">
    <w:pPr>
      <w:pStyle w:val="Footereven"/>
      <w:tabs>
        <w:tab w:val="right" w:pos="14742"/>
      </w:tabs>
    </w:pPr>
    <w:r w:rsidRPr="005B0F23">
      <w:fldChar w:fldCharType="begin"/>
    </w:r>
    <w:r w:rsidRPr="005B0F23">
      <w:instrText xml:space="preserve"> PAGE </w:instrText>
    </w:r>
    <w:r w:rsidRPr="005B0F23">
      <w:fldChar w:fldCharType="separate"/>
    </w:r>
    <w:r w:rsidRPr="005B0F23">
      <w:t>4</w:t>
    </w:r>
    <w:r w:rsidRPr="005B0F23">
      <w:fldChar w:fldCharType="end"/>
    </w:r>
    <w:r w:rsidRPr="005B0F23">
      <w:tab/>
      <w:t>Chapter 1</w:t>
    </w:r>
    <w:r w:rsidRPr="005B0F23">
      <w:tab/>
      <w:t>2016-17 Financial Report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ED1ABD">
    <w:pPr>
      <w:pStyle w:val="Footereven"/>
    </w:pPr>
    <w:r w:rsidRPr="005B0F23">
      <w:fldChar w:fldCharType="begin"/>
    </w:r>
    <w:r w:rsidRPr="005B0F23">
      <w:instrText xml:space="preserve"> PAGE  \* Arabic  \* MERGEFORMAT </w:instrText>
    </w:r>
    <w:r w:rsidRPr="005B0F23">
      <w:fldChar w:fldCharType="separate"/>
    </w:r>
    <w:r w:rsidR="00E73501">
      <w:rPr>
        <w:noProof/>
      </w:rPr>
      <w:t>12</w:t>
    </w:r>
    <w:r w:rsidRPr="005B0F23">
      <w:fldChar w:fldCharType="end"/>
    </w:r>
    <w:r w:rsidRPr="005B0F23">
      <w:tab/>
      <w:t>Chapter 2</w:t>
    </w:r>
    <w:r w:rsidRPr="005B0F23">
      <w:tab/>
      <w:t>2016-17 Financial Report</w:t>
    </w:r>
    <w:r w:rsidRPr="005B0F23">
      <w:tab/>
      <w:t>2016-17 Financial Report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D90086">
    <w:pPr>
      <w:pStyle w:val="Footereven"/>
    </w:pPr>
    <w:r w:rsidRPr="005B0F23">
      <w:fldChar w:fldCharType="begin"/>
    </w:r>
    <w:r w:rsidRPr="005B0F23">
      <w:instrText xml:space="preserve"> PAGE </w:instrText>
    </w:r>
    <w:r w:rsidRPr="005B0F23">
      <w:fldChar w:fldCharType="separate"/>
    </w:r>
    <w:r w:rsidR="00E73501">
      <w:rPr>
        <w:noProof/>
      </w:rPr>
      <w:t>20</w:t>
    </w:r>
    <w:r w:rsidRPr="005B0F23">
      <w:fldChar w:fldCharType="end"/>
    </w:r>
    <w:r w:rsidRPr="005B0F23">
      <w:tab/>
      <w:t>Chapter 3</w:t>
    </w:r>
    <w:r w:rsidRPr="005B0F23">
      <w:tab/>
      <w:t xml:space="preserve">2016-17 Financial Report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8155D0">
    <w:pPr>
      <w:pStyle w:val="Footerodd"/>
    </w:pPr>
    <w:r w:rsidRPr="005B0F23">
      <w:t>2016-17 Financial Report</w:t>
    </w:r>
    <w:r w:rsidRPr="005B0F23">
      <w:tab/>
      <w:t>Chapter 3</w:t>
    </w:r>
    <w:r w:rsidRPr="005B0F23">
      <w:tab/>
    </w:r>
    <w:r w:rsidRPr="005B0F23">
      <w:fldChar w:fldCharType="begin"/>
    </w:r>
    <w:r w:rsidRPr="005B0F23">
      <w:instrText xml:space="preserve"> PAGE </w:instrText>
    </w:r>
    <w:r w:rsidRPr="005B0F23">
      <w:fldChar w:fldCharType="separate"/>
    </w:r>
    <w:r w:rsidR="00E73501">
      <w:rPr>
        <w:noProof/>
      </w:rPr>
      <w:t>19</w:t>
    </w:r>
    <w:r w:rsidRPr="005B0F23">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8155D0">
    <w:pPr>
      <w:pStyle w:val="Footerodd"/>
    </w:pPr>
    <w:r w:rsidRPr="005B0F23">
      <w:t>2016-17 Financial Report</w:t>
    </w:r>
    <w:r w:rsidRPr="005B0F23">
      <w:tab/>
      <w:t>Chapter 4</w:t>
    </w:r>
    <w:r w:rsidRPr="005B0F23">
      <w:tab/>
    </w:r>
    <w:r w:rsidRPr="005B0F23">
      <w:fldChar w:fldCharType="begin"/>
    </w:r>
    <w:r w:rsidRPr="005B0F23">
      <w:instrText xml:space="preserve"> PAGE </w:instrText>
    </w:r>
    <w:r w:rsidRPr="005B0F23">
      <w:fldChar w:fldCharType="separate"/>
    </w:r>
    <w:r w:rsidR="00E73501">
      <w:rPr>
        <w:noProof/>
      </w:rPr>
      <w:t>21</w:t>
    </w:r>
    <w:r w:rsidRPr="005B0F23">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477551">
    <w:pPr>
      <w:pStyle w:val="Footereven"/>
    </w:pPr>
    <w:r w:rsidRPr="005B0F23">
      <w:fldChar w:fldCharType="begin"/>
    </w:r>
    <w:r w:rsidRPr="005B0F23">
      <w:instrText xml:space="preserve"> PAGE </w:instrText>
    </w:r>
    <w:r w:rsidRPr="005B0F23">
      <w:fldChar w:fldCharType="separate"/>
    </w:r>
    <w:r w:rsidR="00E73501">
      <w:rPr>
        <w:noProof/>
      </w:rPr>
      <w:t>28</w:t>
    </w:r>
    <w:r w:rsidRPr="005B0F23">
      <w:fldChar w:fldCharType="end"/>
    </w:r>
    <w:r w:rsidRPr="005B0F23">
      <w:tab/>
      <w:t>Chapter 4</w:t>
    </w:r>
    <w:r w:rsidRPr="005B0F23">
      <w:tab/>
      <w:t xml:space="preserve">2016-17 Financial Report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6B29FF">
    <w:pPr>
      <w:pStyle w:val="Footerodd"/>
    </w:pPr>
    <w:r w:rsidRPr="005B0F23">
      <w:t>2016-17 Financial Report</w:t>
    </w:r>
    <w:r w:rsidRPr="005B0F23">
      <w:tab/>
      <w:t>Chapter 4</w:t>
    </w:r>
    <w:r w:rsidRPr="005B0F23">
      <w:tab/>
    </w:r>
    <w:r w:rsidRPr="005B0F23">
      <w:fldChar w:fldCharType="begin"/>
    </w:r>
    <w:r w:rsidRPr="005B0F23">
      <w:instrText xml:space="preserve"> PAGE </w:instrText>
    </w:r>
    <w:r w:rsidRPr="005B0F23">
      <w:fldChar w:fldCharType="separate"/>
    </w:r>
    <w:r w:rsidR="00E73501">
      <w:rPr>
        <w:noProof/>
      </w:rPr>
      <w:t>29</w:t>
    </w:r>
    <w:r w:rsidRPr="005B0F23">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AC68FF">
    <w:r w:rsidRPr="005B0F23">
      <w:rPr>
        <w:noProof/>
        <w:lang w:eastAsia="en-AU"/>
      </w:rPr>
      <mc:AlternateContent>
        <mc:Choice Requires="wps">
          <w:drawing>
            <wp:anchor distT="0" distB="0" distL="114300" distR="114300" simplePos="0" relativeHeight="251660288" behindDoc="0" locked="0" layoutInCell="1" allowOverlap="1" wp14:anchorId="77085DB5" wp14:editId="16FFD1F5">
              <wp:simplePos x="0" y="0"/>
              <wp:positionH relativeFrom="column">
                <wp:posOffset>-504045</wp:posOffset>
              </wp:positionH>
              <wp:positionV relativeFrom="paragraph">
                <wp:posOffset>-6294565</wp:posOffset>
              </wp:positionV>
              <wp:extent cx="396000" cy="619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Pr="00A46F1A" w:rsidRDefault="00B82AEA" w:rsidP="00AC68FF">
                          <w:pPr>
                            <w:pStyle w:val="Footereven"/>
                          </w:pPr>
                          <w:r w:rsidRPr="00A46F1A">
                            <w:rPr>
                              <w:rStyle w:val="PageNumber"/>
                            </w:rPr>
                            <w:fldChar w:fldCharType="begin"/>
                          </w:r>
                          <w:r w:rsidRPr="00A46F1A">
                            <w:rPr>
                              <w:rStyle w:val="PageNumber"/>
                            </w:rPr>
                            <w:instrText xml:space="preserve"> PAGE </w:instrText>
                          </w:r>
                          <w:r w:rsidRPr="00A46F1A">
                            <w:rPr>
                              <w:rStyle w:val="PageNumber"/>
                            </w:rPr>
                            <w:fldChar w:fldCharType="separate"/>
                          </w:r>
                          <w:r w:rsidR="00D705FE">
                            <w:rPr>
                              <w:rStyle w:val="PageNumber"/>
                              <w:noProof/>
                            </w:rPr>
                            <w:t>34</w:t>
                          </w:r>
                          <w:r w:rsidRPr="00A46F1A">
                            <w:rPr>
                              <w:rStyle w:val="PageNumber"/>
                            </w:rPr>
                            <w:fldChar w:fldCharType="end"/>
                          </w:r>
                          <w:r w:rsidRPr="00A46F1A">
                            <w:tab/>
                            <w:t>Chapter 4</w:t>
                          </w:r>
                          <w:r w:rsidRPr="00A46F1A">
                            <w:tab/>
                          </w:r>
                          <w:r w:rsidRPr="00A46F1A">
                            <w:rPr>
                              <w:rStyle w:val="PageNumber"/>
                            </w:rPr>
                            <w:t>Annual Financial Report</w:t>
                          </w:r>
                          <w:r w:rsidRPr="00A46F1A">
                            <w:t xml:space="preserve"> </w:t>
                          </w:r>
                        </w:p>
                        <w:p w:rsidR="00B82AEA" w:rsidRPr="00A46F1A" w:rsidRDefault="00B82AEA" w:rsidP="00AC68FF">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9.7pt;margin-top:-495.65pt;width:31.2pt;height:487.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" filled="f" stroked="f" strokeweight=".5pt">
              <v:textbox style="layout-flow:vertical">
                <w:txbxContent>
                  <w:p w:rsidR="00B82AEA" w:rsidRPr="00A46F1A" w:rsidRDefault="00B82AEA" w:rsidP="00AC68FF">
                    <w:pPr>
                      <w:pStyle w:val="Footereven"/>
                    </w:pPr>
                    <w:r w:rsidRPr="00A46F1A">
                      <w:rPr>
                        <w:rStyle w:val="PageNumber"/>
                      </w:rPr>
                      <w:fldChar w:fldCharType="begin"/>
                    </w:r>
                    <w:r w:rsidRPr="00A46F1A">
                      <w:rPr>
                        <w:rStyle w:val="PageNumber"/>
                      </w:rPr>
                      <w:instrText xml:space="preserve"> PAGE </w:instrText>
                    </w:r>
                    <w:r w:rsidRPr="00A46F1A">
                      <w:rPr>
                        <w:rStyle w:val="PageNumber"/>
                      </w:rPr>
                      <w:fldChar w:fldCharType="separate"/>
                    </w:r>
                    <w:r w:rsidR="00D705FE">
                      <w:rPr>
                        <w:rStyle w:val="PageNumber"/>
                        <w:noProof/>
                      </w:rPr>
                      <w:t>34</w:t>
                    </w:r>
                    <w:r w:rsidRPr="00A46F1A">
                      <w:rPr>
                        <w:rStyle w:val="PageNumber"/>
                      </w:rPr>
                      <w:fldChar w:fldCharType="end"/>
                    </w:r>
                    <w:r w:rsidRPr="00A46F1A">
                      <w:tab/>
                      <w:t>Chapter 4</w:t>
                    </w:r>
                    <w:r w:rsidRPr="00A46F1A">
                      <w:tab/>
                    </w:r>
                    <w:r w:rsidRPr="00A46F1A">
                      <w:rPr>
                        <w:rStyle w:val="PageNumber"/>
                      </w:rPr>
                      <w:t>Annual Financial Report</w:t>
                    </w:r>
                    <w:r w:rsidRPr="00A46F1A">
                      <w:t xml:space="preserve"> </w:t>
                    </w:r>
                  </w:p>
                  <w:p w:rsidR="00B82AEA" w:rsidRPr="00A46F1A" w:rsidRDefault="00B82AEA" w:rsidP="00AC68FF">
                    <w:pPr>
                      <w:pStyle w:val="Footereven"/>
                    </w:pP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A534B1">
    <w:r w:rsidRPr="005B0F23">
      <w:rPr>
        <w:noProof/>
        <w:lang w:eastAsia="en-AU"/>
      </w:rPr>
      <mc:AlternateContent>
        <mc:Choice Requires="wps">
          <w:drawing>
            <wp:anchor distT="0" distB="0" distL="114300" distR="114300" simplePos="0" relativeHeight="251659264" behindDoc="0" locked="0" layoutInCell="1" allowOverlap="1" wp14:anchorId="6F265860" wp14:editId="2D1959CE">
              <wp:simplePos x="0" y="0"/>
              <wp:positionH relativeFrom="column">
                <wp:posOffset>-504045</wp:posOffset>
              </wp:positionH>
              <wp:positionV relativeFrom="paragraph">
                <wp:posOffset>-6294565</wp:posOffset>
              </wp:positionV>
              <wp:extent cx="396000" cy="6192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Pr="00A534B1" w:rsidRDefault="00B82AEA" w:rsidP="00A534B1">
                          <w:pPr>
                            <w:pStyle w:val="Footerodd"/>
                          </w:pPr>
                          <w:r w:rsidRPr="00A534B1">
                            <w:rPr>
                              <w:rStyle w:val="PageNumber"/>
                              <w:rFonts w:asciiTheme="majorHAnsi" w:hAnsiTheme="majorHAnsi"/>
                            </w:rPr>
                            <w:t>2016-17 Financial Report</w:t>
                          </w:r>
                          <w:r w:rsidRPr="00A534B1">
                            <w:tab/>
                            <w:t>Chapter 4</w:t>
                          </w:r>
                          <w:r w:rsidRPr="00A534B1">
                            <w:tab/>
                          </w:r>
                          <w:r w:rsidRPr="00A534B1">
                            <w:rPr>
                              <w:rStyle w:val="PageNumber"/>
                              <w:rFonts w:asciiTheme="majorHAnsi" w:hAnsiTheme="majorHAnsi"/>
                            </w:rPr>
                            <w:fldChar w:fldCharType="begin"/>
                          </w:r>
                          <w:r w:rsidRPr="00A534B1">
                            <w:rPr>
                              <w:rStyle w:val="PageNumber"/>
                              <w:rFonts w:asciiTheme="majorHAnsi" w:hAnsiTheme="majorHAnsi"/>
                            </w:rPr>
                            <w:instrText xml:space="preserve"> PAGE </w:instrText>
                          </w:r>
                          <w:r w:rsidRPr="00A534B1">
                            <w:rPr>
                              <w:rStyle w:val="PageNumber"/>
                              <w:rFonts w:asciiTheme="majorHAnsi" w:hAnsiTheme="majorHAnsi"/>
                            </w:rPr>
                            <w:fldChar w:fldCharType="separate"/>
                          </w:r>
                          <w:r w:rsidR="00E73501">
                            <w:rPr>
                              <w:rStyle w:val="PageNumber"/>
                              <w:rFonts w:asciiTheme="majorHAnsi" w:hAnsiTheme="majorHAnsi"/>
                              <w:noProof/>
                            </w:rPr>
                            <w:t>33</w:t>
                          </w:r>
                          <w:r w:rsidRPr="00A534B1">
                            <w:rPr>
                              <w:rStyle w:val="PageNumber"/>
                              <w:rFonts w:asciiTheme="majorHAnsi" w:hAnsiTheme="majorHAnsi"/>
                            </w:rPr>
                            <w:fldChar w:fldCharType="end"/>
                          </w:r>
                        </w:p>
                        <w:p w:rsidR="00B82AEA" w:rsidRPr="00A534B1" w:rsidRDefault="00B82AEA" w:rsidP="00A534B1">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9.7pt;margin-top:-495.65pt;width:31.2pt;height:487.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" filled="f" stroked="f" strokeweight=".5pt">
              <v:textbox style="layout-flow:vertical">
                <w:txbxContent>
                  <w:p w:rsidR="00B82AEA" w:rsidRPr="00A534B1" w:rsidRDefault="00B82AEA" w:rsidP="00A534B1">
                    <w:pPr>
                      <w:pStyle w:val="Footerodd"/>
                    </w:pPr>
                    <w:r w:rsidRPr="00A534B1">
                      <w:rPr>
                        <w:rStyle w:val="PageNumber"/>
                        <w:rFonts w:asciiTheme="majorHAnsi" w:hAnsiTheme="majorHAnsi"/>
                      </w:rPr>
                      <w:t>2016-17 Financial Report</w:t>
                    </w:r>
                    <w:r w:rsidRPr="00A534B1">
                      <w:tab/>
                      <w:t>Chapter 4</w:t>
                    </w:r>
                    <w:r w:rsidRPr="00A534B1">
                      <w:tab/>
                    </w:r>
                    <w:r w:rsidRPr="00A534B1">
                      <w:rPr>
                        <w:rStyle w:val="PageNumber"/>
                        <w:rFonts w:asciiTheme="majorHAnsi" w:hAnsiTheme="majorHAnsi"/>
                      </w:rPr>
                      <w:fldChar w:fldCharType="begin"/>
                    </w:r>
                    <w:r w:rsidRPr="00A534B1">
                      <w:rPr>
                        <w:rStyle w:val="PageNumber"/>
                        <w:rFonts w:asciiTheme="majorHAnsi" w:hAnsiTheme="majorHAnsi"/>
                      </w:rPr>
                      <w:instrText xml:space="preserve"> PAGE </w:instrText>
                    </w:r>
                    <w:r w:rsidRPr="00A534B1">
                      <w:rPr>
                        <w:rStyle w:val="PageNumber"/>
                        <w:rFonts w:asciiTheme="majorHAnsi" w:hAnsiTheme="majorHAnsi"/>
                      </w:rPr>
                      <w:fldChar w:fldCharType="separate"/>
                    </w:r>
                    <w:r w:rsidR="00E73501">
                      <w:rPr>
                        <w:rStyle w:val="PageNumber"/>
                        <w:rFonts w:asciiTheme="majorHAnsi" w:hAnsiTheme="majorHAnsi"/>
                        <w:noProof/>
                      </w:rPr>
                      <w:t>33</w:t>
                    </w:r>
                    <w:r w:rsidRPr="00A534B1">
                      <w:rPr>
                        <w:rStyle w:val="PageNumber"/>
                        <w:rFonts w:asciiTheme="majorHAnsi" w:hAnsiTheme="majorHAnsi"/>
                      </w:rPr>
                      <w:fldChar w:fldCharType="end"/>
                    </w:r>
                  </w:p>
                  <w:p w:rsidR="00B82AEA" w:rsidRPr="00A534B1" w:rsidRDefault="00B82AEA" w:rsidP="00A534B1">
                    <w:pPr>
                      <w:pStyle w:val="Footerodd"/>
                    </w:pP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6B29FF">
    <w:pPr>
      <w:pStyle w:val="Footereven"/>
    </w:pPr>
    <w:r w:rsidRPr="005B0F23">
      <w:fldChar w:fldCharType="begin"/>
    </w:r>
    <w:r w:rsidRPr="005B0F23">
      <w:instrText xml:space="preserve"> PAGE </w:instrText>
    </w:r>
    <w:r w:rsidRPr="005B0F23">
      <w:fldChar w:fldCharType="separate"/>
    </w:r>
    <w:r w:rsidR="00E73501">
      <w:rPr>
        <w:noProof/>
      </w:rPr>
      <w:t>50</w:t>
    </w:r>
    <w:r w:rsidRPr="005B0F23">
      <w:fldChar w:fldCharType="end"/>
    </w:r>
    <w:r w:rsidRPr="005B0F23">
      <w:tab/>
      <w:t>Chapter 4</w:t>
    </w:r>
    <w:r w:rsidRPr="005B0F23">
      <w:tab/>
      <w:t>2016-17 Financial Report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8155D0">
    <w:pPr>
      <w:pStyle w:val="Footerodd"/>
    </w:pPr>
    <w:r w:rsidRPr="005B0F23">
      <w:t>2016-17 Financial Report</w:t>
    </w:r>
    <w:r w:rsidRPr="005B0F23">
      <w:tab/>
      <w:t>Chapter 1</w:t>
    </w:r>
    <w:r w:rsidRPr="005B0F23">
      <w:tab/>
    </w:r>
    <w:r w:rsidRPr="005B0F23">
      <w:fldChar w:fldCharType="begin"/>
    </w:r>
    <w:r w:rsidRPr="005B0F23">
      <w:instrText xml:space="preserve"> PAGE </w:instrText>
    </w:r>
    <w:r w:rsidRPr="005B0F23">
      <w:fldChar w:fldCharType="separate"/>
    </w:r>
    <w:r w:rsidR="00E73501">
      <w:rPr>
        <w:noProof/>
      </w:rPr>
      <w:t>1</w:t>
    </w:r>
    <w:r w:rsidRPr="005B0F23">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6B29FF">
    <w:pPr>
      <w:pStyle w:val="Footerodd"/>
    </w:pPr>
    <w:r w:rsidRPr="005B0F23">
      <w:t>2016-17 Financial Report</w:t>
    </w:r>
    <w:r w:rsidRPr="005B0F23">
      <w:tab/>
      <w:t>Chapter 4</w:t>
    </w:r>
    <w:r w:rsidRPr="005B0F23">
      <w:tab/>
    </w:r>
    <w:r w:rsidRPr="005B0F23">
      <w:fldChar w:fldCharType="begin"/>
    </w:r>
    <w:r w:rsidRPr="005B0F23">
      <w:instrText xml:space="preserve"> PAGE </w:instrText>
    </w:r>
    <w:r w:rsidRPr="005B0F23">
      <w:fldChar w:fldCharType="separate"/>
    </w:r>
    <w:r w:rsidR="00E73501">
      <w:rPr>
        <w:noProof/>
      </w:rPr>
      <w:t>51</w:t>
    </w:r>
    <w:r w:rsidRPr="005B0F23">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AC68FF">
    <w:r w:rsidRPr="005B0F23">
      <w:rPr>
        <w:noProof/>
        <w:lang w:eastAsia="en-AU"/>
      </w:rPr>
      <mc:AlternateContent>
        <mc:Choice Requires="wps">
          <w:drawing>
            <wp:anchor distT="0" distB="0" distL="114300" distR="114300" simplePos="0" relativeHeight="251662336" behindDoc="0" locked="0" layoutInCell="1" allowOverlap="1" wp14:anchorId="698864FB" wp14:editId="3096D477">
              <wp:simplePos x="0" y="0"/>
              <wp:positionH relativeFrom="column">
                <wp:posOffset>-504045</wp:posOffset>
              </wp:positionH>
              <wp:positionV relativeFrom="paragraph">
                <wp:posOffset>-6294565</wp:posOffset>
              </wp:positionV>
              <wp:extent cx="396000" cy="6228000"/>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Pr="00B82AEA" w:rsidRDefault="00B82AEA" w:rsidP="00B82AEA">
                          <w:pPr>
                            <w:pStyle w:val="Footereven"/>
                          </w:pPr>
                          <w:r w:rsidRPr="00B82AEA">
                            <w:rPr>
                              <w:rStyle w:val="PageNumber"/>
                              <w:rFonts w:asciiTheme="majorHAnsi" w:hAnsiTheme="majorHAnsi"/>
                            </w:rPr>
                            <w:fldChar w:fldCharType="begin"/>
                          </w:r>
                          <w:r w:rsidRPr="00B82AEA">
                            <w:rPr>
                              <w:rStyle w:val="PageNumber"/>
                              <w:rFonts w:asciiTheme="majorHAnsi" w:hAnsiTheme="majorHAnsi"/>
                            </w:rPr>
                            <w:instrText xml:space="preserve"> PAGE </w:instrText>
                          </w:r>
                          <w:r w:rsidRPr="00B82AEA">
                            <w:rPr>
                              <w:rStyle w:val="PageNumber"/>
                              <w:rFonts w:asciiTheme="majorHAnsi" w:hAnsiTheme="majorHAnsi"/>
                            </w:rPr>
                            <w:fldChar w:fldCharType="separate"/>
                          </w:r>
                          <w:r w:rsidR="00E73501">
                            <w:rPr>
                              <w:rStyle w:val="PageNumber"/>
                              <w:rFonts w:asciiTheme="majorHAnsi" w:hAnsiTheme="majorHAnsi"/>
                              <w:noProof/>
                            </w:rPr>
                            <w:t>54</w:t>
                          </w:r>
                          <w:r w:rsidRPr="00B82AEA">
                            <w:rPr>
                              <w:rStyle w:val="PageNumber"/>
                              <w:rFonts w:asciiTheme="majorHAnsi" w:hAnsiTheme="majorHAnsi"/>
                            </w:rPr>
                            <w:fldChar w:fldCharType="end"/>
                          </w:r>
                          <w:r w:rsidRPr="00B82AEA">
                            <w:tab/>
                            <w:t>Chapter 4</w:t>
                          </w:r>
                          <w:r w:rsidRPr="00B82AEA">
                            <w:tab/>
                          </w:r>
                          <w:r w:rsidRPr="00B82AEA">
                            <w:rPr>
                              <w:rStyle w:val="PageNumber"/>
                              <w:rFonts w:asciiTheme="majorHAnsi" w:hAnsiTheme="majorHAnsi"/>
                            </w:rPr>
                            <w:t>2016-17 Financial Report</w:t>
                          </w:r>
                        </w:p>
                        <w:p w:rsidR="00B82AEA" w:rsidRPr="00B82AEA" w:rsidRDefault="00B82AEA" w:rsidP="00B82AEA">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margin-left:-39.7pt;margin-top:-495.65pt;width:31.2pt;height:49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" filled="f" stroked="f" strokeweight=".5pt">
              <v:textbox style="layout-flow:vertical">
                <w:txbxContent>
                  <w:p w:rsidR="00B82AEA" w:rsidRPr="00B82AEA" w:rsidRDefault="00B82AEA" w:rsidP="00B82AEA">
                    <w:pPr>
                      <w:pStyle w:val="Footereven"/>
                    </w:pPr>
                    <w:r w:rsidRPr="00B82AEA">
                      <w:rPr>
                        <w:rStyle w:val="PageNumber"/>
                        <w:rFonts w:asciiTheme="majorHAnsi" w:hAnsiTheme="majorHAnsi"/>
                      </w:rPr>
                      <w:fldChar w:fldCharType="begin"/>
                    </w:r>
                    <w:r w:rsidRPr="00B82AEA">
                      <w:rPr>
                        <w:rStyle w:val="PageNumber"/>
                        <w:rFonts w:asciiTheme="majorHAnsi" w:hAnsiTheme="majorHAnsi"/>
                      </w:rPr>
                      <w:instrText xml:space="preserve"> PAGE </w:instrText>
                    </w:r>
                    <w:r w:rsidRPr="00B82AEA">
                      <w:rPr>
                        <w:rStyle w:val="PageNumber"/>
                        <w:rFonts w:asciiTheme="majorHAnsi" w:hAnsiTheme="majorHAnsi"/>
                      </w:rPr>
                      <w:fldChar w:fldCharType="separate"/>
                    </w:r>
                    <w:r w:rsidR="00E73501">
                      <w:rPr>
                        <w:rStyle w:val="PageNumber"/>
                        <w:rFonts w:asciiTheme="majorHAnsi" w:hAnsiTheme="majorHAnsi"/>
                        <w:noProof/>
                      </w:rPr>
                      <w:t>54</w:t>
                    </w:r>
                    <w:r w:rsidRPr="00B82AEA">
                      <w:rPr>
                        <w:rStyle w:val="PageNumber"/>
                        <w:rFonts w:asciiTheme="majorHAnsi" w:hAnsiTheme="majorHAnsi"/>
                      </w:rPr>
                      <w:fldChar w:fldCharType="end"/>
                    </w:r>
                    <w:r w:rsidRPr="00B82AEA">
                      <w:tab/>
                      <w:t>Chapter 4</w:t>
                    </w:r>
                    <w:r w:rsidRPr="00B82AEA">
                      <w:tab/>
                    </w:r>
                    <w:r w:rsidRPr="00B82AEA">
                      <w:rPr>
                        <w:rStyle w:val="PageNumber"/>
                        <w:rFonts w:asciiTheme="majorHAnsi" w:hAnsiTheme="majorHAnsi"/>
                      </w:rPr>
                      <w:t>2016-17 Financial Report</w:t>
                    </w:r>
                  </w:p>
                  <w:p w:rsidR="00B82AEA" w:rsidRPr="00B82AEA" w:rsidRDefault="00B82AEA" w:rsidP="00B82AEA">
                    <w:pPr>
                      <w:pStyle w:val="Footereven"/>
                    </w:pP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AC68FF">
    <w:r w:rsidRPr="005B0F23">
      <w:rPr>
        <w:noProof/>
        <w:lang w:eastAsia="en-AU"/>
      </w:rPr>
      <mc:AlternateContent>
        <mc:Choice Requires="wps">
          <w:drawing>
            <wp:anchor distT="0" distB="0" distL="114300" distR="114300" simplePos="0" relativeHeight="251661312" behindDoc="0" locked="0" layoutInCell="1" allowOverlap="1" wp14:anchorId="2561B206" wp14:editId="2FF74D06">
              <wp:simplePos x="0" y="0"/>
              <wp:positionH relativeFrom="column">
                <wp:posOffset>-504045</wp:posOffset>
              </wp:positionH>
              <wp:positionV relativeFrom="paragraph">
                <wp:posOffset>-6294565</wp:posOffset>
              </wp:positionV>
              <wp:extent cx="396000" cy="6228000"/>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Pr="00842AE8" w:rsidRDefault="00B82AEA" w:rsidP="00842AE8">
                          <w:pPr>
                            <w:pStyle w:val="Footerodd"/>
                          </w:pPr>
                          <w:r w:rsidRPr="00842AE8">
                            <w:rPr>
                              <w:rStyle w:val="PageNumber"/>
                              <w:rFonts w:asciiTheme="majorHAnsi" w:hAnsiTheme="majorHAnsi"/>
                            </w:rPr>
                            <w:t>2016-17 Financial Report</w:t>
                          </w:r>
                          <w:r w:rsidRPr="00842AE8">
                            <w:tab/>
                            <w:t>Chapter 4</w:t>
                          </w:r>
                          <w:r w:rsidRPr="00842AE8">
                            <w:tab/>
                          </w:r>
                          <w:r w:rsidRPr="00842AE8">
                            <w:rPr>
                              <w:rStyle w:val="PageNumber"/>
                              <w:rFonts w:asciiTheme="majorHAnsi" w:hAnsiTheme="majorHAnsi"/>
                            </w:rPr>
                            <w:fldChar w:fldCharType="begin"/>
                          </w:r>
                          <w:r w:rsidRPr="00842AE8">
                            <w:rPr>
                              <w:rStyle w:val="PageNumber"/>
                              <w:rFonts w:asciiTheme="majorHAnsi" w:hAnsiTheme="majorHAnsi"/>
                            </w:rPr>
                            <w:instrText xml:space="preserve"> PAGE </w:instrText>
                          </w:r>
                          <w:r w:rsidRPr="00842AE8">
                            <w:rPr>
                              <w:rStyle w:val="PageNumber"/>
                              <w:rFonts w:asciiTheme="majorHAnsi" w:hAnsiTheme="majorHAnsi"/>
                            </w:rPr>
                            <w:fldChar w:fldCharType="separate"/>
                          </w:r>
                          <w:r w:rsidR="00E73501">
                            <w:rPr>
                              <w:rStyle w:val="PageNumber"/>
                              <w:rFonts w:asciiTheme="majorHAnsi" w:hAnsiTheme="majorHAnsi"/>
                              <w:noProof/>
                            </w:rPr>
                            <w:t>53</w:t>
                          </w:r>
                          <w:r w:rsidRPr="00842AE8">
                            <w:rPr>
                              <w:rStyle w:val="PageNumber"/>
                              <w:rFonts w:asciiTheme="majorHAnsi" w:hAnsiTheme="majorHAnsi"/>
                            </w:rPr>
                            <w:fldChar w:fldCharType="end"/>
                          </w:r>
                        </w:p>
                        <w:p w:rsidR="00B82AEA" w:rsidRPr="00842AE8" w:rsidRDefault="00B82AEA" w:rsidP="00842AE8">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2" type="#_x0000_t202" style="position:absolute;margin-left:-39.7pt;margin-top:-495.65pt;width:31.2pt;height:49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" filled="f" stroked="f" strokeweight=".5pt">
              <v:textbox style="layout-flow:vertical">
                <w:txbxContent>
                  <w:p w:rsidR="00B82AEA" w:rsidRPr="00842AE8" w:rsidRDefault="00B82AEA" w:rsidP="00842AE8">
                    <w:pPr>
                      <w:pStyle w:val="Footerodd"/>
                    </w:pPr>
                    <w:r w:rsidRPr="00842AE8">
                      <w:rPr>
                        <w:rStyle w:val="PageNumber"/>
                        <w:rFonts w:asciiTheme="majorHAnsi" w:hAnsiTheme="majorHAnsi"/>
                      </w:rPr>
                      <w:t>2016-17 Financial Report</w:t>
                    </w:r>
                    <w:r w:rsidRPr="00842AE8">
                      <w:tab/>
                      <w:t>Chapter 4</w:t>
                    </w:r>
                    <w:r w:rsidRPr="00842AE8">
                      <w:tab/>
                    </w:r>
                    <w:r w:rsidRPr="00842AE8">
                      <w:rPr>
                        <w:rStyle w:val="PageNumber"/>
                        <w:rFonts w:asciiTheme="majorHAnsi" w:hAnsiTheme="majorHAnsi"/>
                      </w:rPr>
                      <w:fldChar w:fldCharType="begin"/>
                    </w:r>
                    <w:r w:rsidRPr="00842AE8">
                      <w:rPr>
                        <w:rStyle w:val="PageNumber"/>
                        <w:rFonts w:asciiTheme="majorHAnsi" w:hAnsiTheme="majorHAnsi"/>
                      </w:rPr>
                      <w:instrText xml:space="preserve"> PAGE </w:instrText>
                    </w:r>
                    <w:r w:rsidRPr="00842AE8">
                      <w:rPr>
                        <w:rStyle w:val="PageNumber"/>
                        <w:rFonts w:asciiTheme="majorHAnsi" w:hAnsiTheme="majorHAnsi"/>
                      </w:rPr>
                      <w:fldChar w:fldCharType="separate"/>
                    </w:r>
                    <w:r w:rsidR="00E73501">
                      <w:rPr>
                        <w:rStyle w:val="PageNumber"/>
                        <w:rFonts w:asciiTheme="majorHAnsi" w:hAnsiTheme="majorHAnsi"/>
                        <w:noProof/>
                      </w:rPr>
                      <w:t>53</w:t>
                    </w:r>
                    <w:r w:rsidRPr="00842AE8">
                      <w:rPr>
                        <w:rStyle w:val="PageNumber"/>
                        <w:rFonts w:asciiTheme="majorHAnsi" w:hAnsiTheme="majorHAnsi"/>
                      </w:rPr>
                      <w:fldChar w:fldCharType="end"/>
                    </w:r>
                  </w:p>
                  <w:p w:rsidR="00B82AEA" w:rsidRPr="00842AE8" w:rsidRDefault="00B82AEA" w:rsidP="00842AE8">
                    <w:pPr>
                      <w:pStyle w:val="Footerodd"/>
                    </w:pP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6B29FF">
    <w:pPr>
      <w:pStyle w:val="Footereven"/>
    </w:pPr>
    <w:r w:rsidRPr="005B0F23">
      <w:fldChar w:fldCharType="begin"/>
    </w:r>
    <w:r w:rsidRPr="005B0F23">
      <w:instrText xml:space="preserve"> PAGE </w:instrText>
    </w:r>
    <w:r w:rsidRPr="005B0F23">
      <w:fldChar w:fldCharType="separate"/>
    </w:r>
    <w:r w:rsidR="00E73501">
      <w:rPr>
        <w:noProof/>
      </w:rPr>
      <w:t>64</w:t>
    </w:r>
    <w:r w:rsidRPr="005B0F23">
      <w:fldChar w:fldCharType="end"/>
    </w:r>
    <w:r w:rsidRPr="005B0F23">
      <w:tab/>
      <w:t>Chapter 4</w:t>
    </w:r>
    <w:r w:rsidRPr="005B0F23">
      <w:tab/>
      <w:t>2016-17 Financial Report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6B29FF">
    <w:pPr>
      <w:pStyle w:val="Footerodd"/>
    </w:pPr>
    <w:r w:rsidRPr="005B0F23">
      <w:t>2016-17 Financial Report</w:t>
    </w:r>
    <w:r w:rsidRPr="005B0F23">
      <w:tab/>
      <w:t>Chapter 4</w:t>
    </w:r>
    <w:r w:rsidRPr="005B0F23">
      <w:tab/>
    </w:r>
    <w:r w:rsidRPr="005B0F23">
      <w:fldChar w:fldCharType="begin"/>
    </w:r>
    <w:r w:rsidRPr="005B0F23">
      <w:instrText xml:space="preserve"> PAGE </w:instrText>
    </w:r>
    <w:r w:rsidRPr="005B0F23">
      <w:fldChar w:fldCharType="separate"/>
    </w:r>
    <w:r w:rsidR="00E73501">
      <w:rPr>
        <w:noProof/>
      </w:rPr>
      <w:t>63</w:t>
    </w:r>
    <w:r w:rsidRPr="005B0F23">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D7B44" w:rsidRDefault="00B82AEA" w:rsidP="00612950">
    <w:r w:rsidRPr="005D7B44">
      <w:rPr>
        <w:noProof/>
        <w:lang w:eastAsia="en-AU"/>
      </w:rPr>
      <mc:AlternateContent>
        <mc:Choice Requires="wps">
          <w:drawing>
            <wp:anchor distT="0" distB="0" distL="114300" distR="114300" simplePos="0" relativeHeight="251691008" behindDoc="0" locked="0" layoutInCell="1" allowOverlap="1" wp14:anchorId="5913A2D7" wp14:editId="615AF6F5">
              <wp:simplePos x="0" y="0"/>
              <wp:positionH relativeFrom="column">
                <wp:posOffset>-504190</wp:posOffset>
              </wp:positionH>
              <wp:positionV relativeFrom="paragraph">
                <wp:posOffset>-6293485</wp:posOffset>
              </wp:positionV>
              <wp:extent cx="396000" cy="6228000"/>
              <wp:effectExtent l="0" t="0" r="0" b="1905"/>
              <wp:wrapNone/>
              <wp:docPr id="29" name="Text Box 29"/>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Pr="006B29FF" w:rsidRDefault="00B82AEA" w:rsidP="00D82AC2">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sidR="00E73501">
                            <w:rPr>
                              <w:rStyle w:val="BalloonTextChar"/>
                              <w:noProof/>
                            </w:rPr>
                            <w:t>66</w:t>
                          </w:r>
                          <w:r w:rsidRPr="006B29FF">
                            <w:rPr>
                              <w:rStyle w:val="BalloonTextChar"/>
                            </w:rPr>
                            <w:fldChar w:fldCharType="end"/>
                          </w:r>
                          <w:r w:rsidRPr="006B29FF">
                            <w:tab/>
                            <w:t>Chapter 4</w:t>
                          </w:r>
                          <w:r w:rsidRPr="006B29FF">
                            <w:tab/>
                          </w:r>
                          <w:r w:rsidRPr="006B29FF">
                            <w:rPr>
                              <w:rStyle w:val="BalloonTextChar"/>
                            </w:rPr>
                            <w:t>2016-17 Financial Report</w:t>
                          </w:r>
                        </w:p>
                        <w:p w:rsidR="00B82AEA" w:rsidRPr="00B50458" w:rsidRDefault="00B82AEA" w:rsidP="00D82AC2">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35" type="#_x0000_t202" style="position:absolute;margin-left:-39.7pt;margin-top:-495.55pt;width:31.2pt;height:49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" filled="f" stroked="f" strokeweight=".5pt">
              <v:textbox style="layout-flow:vertical">
                <w:txbxContent>
                  <w:p w:rsidR="00B82AEA" w:rsidRPr="006B29FF" w:rsidRDefault="00B82AEA" w:rsidP="00D82AC2">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sidR="00E73501">
                      <w:rPr>
                        <w:rStyle w:val="BalloonTextChar"/>
                        <w:noProof/>
                      </w:rPr>
                      <w:t>66</w:t>
                    </w:r>
                    <w:r w:rsidRPr="006B29FF">
                      <w:rPr>
                        <w:rStyle w:val="BalloonTextChar"/>
                      </w:rPr>
                      <w:fldChar w:fldCharType="end"/>
                    </w:r>
                    <w:r w:rsidRPr="006B29FF">
                      <w:tab/>
                      <w:t>Chapter 4</w:t>
                    </w:r>
                    <w:r w:rsidRPr="006B29FF">
                      <w:tab/>
                    </w:r>
                    <w:r w:rsidRPr="006B29FF">
                      <w:rPr>
                        <w:rStyle w:val="BalloonTextChar"/>
                      </w:rPr>
                      <w:t>2016-17 Financial Report</w:t>
                    </w:r>
                  </w:p>
                  <w:p w:rsidR="00B82AEA" w:rsidRPr="00B50458" w:rsidRDefault="00B82AEA" w:rsidP="00D82AC2">
                    <w:pPr>
                      <w:pStyle w:val="Footereven"/>
                    </w:pP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3E2986" w:rsidRDefault="00B82AEA" w:rsidP="00B82AEA">
    <w:r w:rsidRPr="003E2986">
      <w:rPr>
        <w:noProof/>
        <w:lang w:eastAsia="en-AU"/>
      </w:rPr>
      <mc:AlternateContent>
        <mc:Choice Requires="wps">
          <w:drawing>
            <wp:anchor distT="0" distB="0" distL="114300" distR="114300" simplePos="0" relativeHeight="251672576" behindDoc="0" locked="0" layoutInCell="1" allowOverlap="1" wp14:anchorId="3574CD87" wp14:editId="5CFD8FFB">
              <wp:simplePos x="0" y="0"/>
              <wp:positionH relativeFrom="column">
                <wp:posOffset>-504190</wp:posOffset>
              </wp:positionH>
              <wp:positionV relativeFrom="paragraph">
                <wp:posOffset>-6293485</wp:posOffset>
              </wp:positionV>
              <wp:extent cx="396000" cy="6228000"/>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Pr="00840C7A" w:rsidRDefault="00B82AEA" w:rsidP="00840C7A">
                          <w:pPr>
                            <w:pStyle w:val="Footerodd"/>
                          </w:pPr>
                          <w:r w:rsidRPr="00840C7A">
                            <w:t>2016-17 Financial Report</w:t>
                          </w:r>
                          <w:r w:rsidRPr="00840C7A">
                            <w:tab/>
                            <w:t>Chapter 4</w:t>
                          </w:r>
                          <w:r w:rsidRPr="00840C7A">
                            <w:tab/>
                          </w:r>
                          <w:r w:rsidRPr="00840C7A">
                            <w:fldChar w:fldCharType="begin"/>
                          </w:r>
                          <w:r w:rsidRPr="00840C7A">
                            <w:instrText xml:space="preserve"> PAGE </w:instrText>
                          </w:r>
                          <w:r w:rsidRPr="00840C7A">
                            <w:fldChar w:fldCharType="separate"/>
                          </w:r>
                          <w:r w:rsidR="00E73501">
                            <w:rPr>
                              <w:noProof/>
                            </w:rPr>
                            <w:t>65</w:t>
                          </w:r>
                          <w:r w:rsidRPr="00840C7A">
                            <w:fldChar w:fldCharType="end"/>
                          </w:r>
                        </w:p>
                        <w:p w:rsidR="00B82AEA" w:rsidRPr="00840C7A" w:rsidRDefault="00B82AEA" w:rsidP="00840C7A">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6" type="#_x0000_t202" style="position:absolute;margin-left:-39.7pt;margin-top:-495.55pt;width:31.2pt;height:49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" filled="f" stroked="f" strokeweight=".5pt">
              <v:textbox style="layout-flow:vertical">
                <w:txbxContent>
                  <w:p w:rsidR="00B82AEA" w:rsidRPr="00840C7A" w:rsidRDefault="00B82AEA" w:rsidP="00840C7A">
                    <w:pPr>
                      <w:pStyle w:val="Footerodd"/>
                    </w:pPr>
                    <w:r w:rsidRPr="00840C7A">
                      <w:t>2016-17 Financial Report</w:t>
                    </w:r>
                    <w:r w:rsidRPr="00840C7A">
                      <w:tab/>
                      <w:t>Chapter 4</w:t>
                    </w:r>
                    <w:r w:rsidRPr="00840C7A">
                      <w:tab/>
                    </w:r>
                    <w:r w:rsidRPr="00840C7A">
                      <w:fldChar w:fldCharType="begin"/>
                    </w:r>
                    <w:r w:rsidRPr="00840C7A">
                      <w:instrText xml:space="preserve"> PAGE </w:instrText>
                    </w:r>
                    <w:r w:rsidRPr="00840C7A">
                      <w:fldChar w:fldCharType="separate"/>
                    </w:r>
                    <w:r w:rsidR="00E73501">
                      <w:rPr>
                        <w:noProof/>
                      </w:rPr>
                      <w:t>65</w:t>
                    </w:r>
                    <w:r w:rsidRPr="00840C7A">
                      <w:fldChar w:fldCharType="end"/>
                    </w:r>
                  </w:p>
                  <w:p w:rsidR="00B82AEA" w:rsidRPr="00840C7A" w:rsidRDefault="00B82AEA" w:rsidP="00840C7A">
                    <w:pPr>
                      <w:pStyle w:val="Footerodd"/>
                    </w:pP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03431C">
    <w:pPr>
      <w:pStyle w:val="Footereven"/>
    </w:pPr>
    <w:r w:rsidRPr="005B0F23">
      <w:fldChar w:fldCharType="begin"/>
    </w:r>
    <w:r w:rsidRPr="005B0F23">
      <w:instrText xml:space="preserve"> PAGE </w:instrText>
    </w:r>
    <w:r w:rsidRPr="005B0F23">
      <w:fldChar w:fldCharType="separate"/>
    </w:r>
    <w:r w:rsidR="00E73501">
      <w:rPr>
        <w:noProof/>
      </w:rPr>
      <w:t>78</w:t>
    </w:r>
    <w:r w:rsidRPr="005B0F23">
      <w:fldChar w:fldCharType="end"/>
    </w:r>
    <w:r w:rsidRPr="005B0F23">
      <w:tab/>
      <w:t>Chapter 4</w:t>
    </w:r>
    <w:r w:rsidRPr="005B0F23">
      <w:tab/>
      <w:t>2016-17 Financial Report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03431C">
    <w:pPr>
      <w:pStyle w:val="Footerodd"/>
    </w:pPr>
    <w:r w:rsidRPr="005B0F23">
      <w:t>2016-17 Financial Report</w:t>
    </w:r>
    <w:r w:rsidRPr="005B0F23">
      <w:tab/>
      <w:t>Chapter 4</w:t>
    </w:r>
    <w:r w:rsidRPr="005B0F23">
      <w:tab/>
    </w:r>
    <w:r w:rsidRPr="005B0F23">
      <w:fldChar w:fldCharType="begin"/>
    </w:r>
    <w:r w:rsidRPr="005B0F23">
      <w:instrText xml:space="preserve"> PAGE </w:instrText>
    </w:r>
    <w:r w:rsidRPr="005B0F23">
      <w:fldChar w:fldCharType="separate"/>
    </w:r>
    <w:r w:rsidR="00E73501">
      <w:rPr>
        <w:noProof/>
      </w:rPr>
      <w:t>75</w:t>
    </w:r>
    <w:r w:rsidRPr="005B0F23">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03431C">
    <w:pPr>
      <w:pStyle w:val="Footereven"/>
    </w:pPr>
    <w:r w:rsidRPr="005B0F23">
      <w:fldChar w:fldCharType="begin"/>
    </w:r>
    <w:r w:rsidRPr="005B0F23">
      <w:instrText xml:space="preserve"> PAGE </w:instrText>
    </w:r>
    <w:r w:rsidRPr="005B0F23">
      <w:fldChar w:fldCharType="separate"/>
    </w:r>
    <w:r w:rsidR="00D705FE">
      <w:rPr>
        <w:noProof/>
      </w:rPr>
      <w:t>80</w:t>
    </w:r>
    <w:r w:rsidRPr="005B0F23">
      <w:fldChar w:fldCharType="end"/>
    </w:r>
    <w:r w:rsidRPr="005B0F23">
      <w:tab/>
      <w:t>Chapter 4</w:t>
    </w:r>
    <w:r w:rsidRPr="005B0F23">
      <w:tab/>
      <w:t>2016-17 Financial Report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3E2986" w:rsidRDefault="00B82AEA" w:rsidP="00330FD3">
    <w:r w:rsidRPr="003E2986">
      <w:rPr>
        <w:noProof/>
        <w:lang w:eastAsia="en-AU"/>
      </w:rPr>
      <mc:AlternateContent>
        <mc:Choice Requires="wps">
          <w:drawing>
            <wp:anchor distT="0" distB="0" distL="114300" distR="114300" simplePos="0" relativeHeight="251675648" behindDoc="0" locked="0" layoutInCell="1" allowOverlap="1" wp14:anchorId="2A7141FD" wp14:editId="55FD4819">
              <wp:simplePos x="0" y="0"/>
              <wp:positionH relativeFrom="column">
                <wp:posOffset>-504190</wp:posOffset>
              </wp:positionH>
              <wp:positionV relativeFrom="paragraph">
                <wp:posOffset>-6293485</wp:posOffset>
              </wp:positionV>
              <wp:extent cx="396000" cy="6228000"/>
              <wp:effectExtent l="0" t="0" r="0" b="1905"/>
              <wp:wrapNone/>
              <wp:docPr id="19" name="Text Box 19"/>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Pr="00C91E19" w:rsidRDefault="00B82AEA" w:rsidP="00C91E19">
                          <w:pPr>
                            <w:pStyle w:val="Footerodd"/>
                          </w:pPr>
                          <w:r w:rsidRPr="00C91E19">
                            <w:t>2016-17 Financial Report</w:t>
                          </w:r>
                          <w:r w:rsidRPr="00C91E19">
                            <w:tab/>
                            <w:t>Chapter 4</w:t>
                          </w:r>
                          <w:r w:rsidRPr="00C91E19">
                            <w:tab/>
                          </w:r>
                          <w:r w:rsidRPr="00C91E19">
                            <w:fldChar w:fldCharType="begin"/>
                          </w:r>
                          <w:r w:rsidRPr="00C91E19">
                            <w:instrText xml:space="preserve"> PAGE </w:instrText>
                          </w:r>
                          <w:r w:rsidRPr="00C91E19">
                            <w:fldChar w:fldCharType="separate"/>
                          </w:r>
                          <w:r w:rsidR="00E73501">
                            <w:rPr>
                              <w:noProof/>
                            </w:rPr>
                            <w:t>79</w:t>
                          </w:r>
                          <w:r w:rsidRPr="00C91E19">
                            <w:fldChar w:fldCharType="end"/>
                          </w:r>
                        </w:p>
                        <w:p w:rsidR="00B82AEA" w:rsidRPr="00C91E19" w:rsidRDefault="00B82AEA" w:rsidP="00C91E19">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38" type="#_x0000_t202" style="position:absolute;margin-left:-39.7pt;margin-top:-495.55pt;width:31.2pt;height:49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" filled="f" stroked="f" strokeweight=".5pt">
              <v:textbox style="layout-flow:vertical">
                <w:txbxContent>
                  <w:p w:rsidR="00B82AEA" w:rsidRPr="00C91E19" w:rsidRDefault="00B82AEA" w:rsidP="00C91E19">
                    <w:pPr>
                      <w:pStyle w:val="Footerodd"/>
                    </w:pPr>
                    <w:r w:rsidRPr="00C91E19">
                      <w:t>2016-17 Financial Report</w:t>
                    </w:r>
                    <w:r w:rsidRPr="00C91E19">
                      <w:tab/>
                      <w:t>Chapter 4</w:t>
                    </w:r>
                    <w:r w:rsidRPr="00C91E19">
                      <w:tab/>
                    </w:r>
                    <w:r w:rsidRPr="00C91E19">
                      <w:fldChar w:fldCharType="begin"/>
                    </w:r>
                    <w:r w:rsidRPr="00C91E19">
                      <w:instrText xml:space="preserve"> PAGE </w:instrText>
                    </w:r>
                    <w:r w:rsidRPr="00C91E19">
                      <w:fldChar w:fldCharType="separate"/>
                    </w:r>
                    <w:r w:rsidR="00E73501">
                      <w:rPr>
                        <w:noProof/>
                      </w:rPr>
                      <w:t>79</w:t>
                    </w:r>
                    <w:r w:rsidRPr="00C91E19">
                      <w:fldChar w:fldCharType="end"/>
                    </w:r>
                  </w:p>
                  <w:p w:rsidR="00B82AEA" w:rsidRPr="00C91E19" w:rsidRDefault="00B82AEA" w:rsidP="00C91E19">
                    <w:pPr>
                      <w:pStyle w:val="Footerodd"/>
                    </w:pP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03431C">
    <w:pPr>
      <w:pStyle w:val="Footereven"/>
    </w:pPr>
    <w:r w:rsidRPr="005B0F23">
      <w:fldChar w:fldCharType="begin"/>
    </w:r>
    <w:r w:rsidRPr="005B0F23">
      <w:instrText xml:space="preserve"> PAGE </w:instrText>
    </w:r>
    <w:r w:rsidRPr="005B0F23">
      <w:fldChar w:fldCharType="separate"/>
    </w:r>
    <w:r w:rsidR="00E73501">
      <w:rPr>
        <w:noProof/>
      </w:rPr>
      <w:t>82</w:t>
    </w:r>
    <w:r w:rsidRPr="005B0F23">
      <w:fldChar w:fldCharType="end"/>
    </w:r>
    <w:r w:rsidRPr="005B0F23">
      <w:tab/>
      <w:t>Chapter 4</w:t>
    </w:r>
    <w:r w:rsidRPr="005B0F23">
      <w:tab/>
      <w:t>2016-17 Financial Report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AC68FF">
    <w:pPr>
      <w:pStyle w:val="Footerodd"/>
    </w:pPr>
    <w:r w:rsidRPr="005B0F23">
      <w:t>2016-17 Financial Report</w:t>
    </w:r>
    <w:r w:rsidRPr="005B0F23">
      <w:tab/>
      <w:t>Chapter 4</w:t>
    </w:r>
    <w:r w:rsidRPr="005B0F23">
      <w:tab/>
    </w:r>
    <w:r w:rsidRPr="005B0F23">
      <w:fldChar w:fldCharType="begin"/>
    </w:r>
    <w:r w:rsidRPr="005B0F23">
      <w:instrText xml:space="preserve"> PAGE </w:instrText>
    </w:r>
    <w:r w:rsidRPr="005B0F23">
      <w:fldChar w:fldCharType="separate"/>
    </w:r>
    <w:r w:rsidR="00D705FE">
      <w:rPr>
        <w:noProof/>
      </w:rPr>
      <w:t>81</w:t>
    </w:r>
    <w:r w:rsidRPr="005B0F23">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03431C">
    <w:pPr>
      <w:pStyle w:val="Footerodd"/>
    </w:pPr>
    <w:r w:rsidRPr="005B0F23">
      <w:t>2016-17 Financial Report</w:t>
    </w:r>
    <w:r w:rsidRPr="005B0F23">
      <w:tab/>
      <w:t>Chapter 4</w:t>
    </w:r>
    <w:r w:rsidRPr="005B0F23">
      <w:tab/>
    </w:r>
    <w:r w:rsidRPr="005B0F23">
      <w:fldChar w:fldCharType="begin"/>
    </w:r>
    <w:r w:rsidRPr="005B0F23">
      <w:instrText xml:space="preserve"> PAGE </w:instrText>
    </w:r>
    <w:r w:rsidRPr="005B0F23">
      <w:fldChar w:fldCharType="separate"/>
    </w:r>
    <w:r w:rsidR="00E73501">
      <w:rPr>
        <w:noProof/>
      </w:rPr>
      <w:t>83</w:t>
    </w:r>
    <w:r w:rsidRPr="005B0F23">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D7B44" w:rsidRDefault="00B82AEA" w:rsidP="005933E1">
    <w:r w:rsidRPr="005D7B44">
      <w:rPr>
        <w:noProof/>
        <w:lang w:eastAsia="en-AU"/>
      </w:rPr>
      <mc:AlternateContent>
        <mc:Choice Requires="wps">
          <w:drawing>
            <wp:anchor distT="0" distB="0" distL="114300" distR="114300" simplePos="0" relativeHeight="251694080" behindDoc="0" locked="0" layoutInCell="1" allowOverlap="1" wp14:anchorId="57CF6B6A" wp14:editId="4B58B592">
              <wp:simplePos x="0" y="0"/>
              <wp:positionH relativeFrom="column">
                <wp:posOffset>-504190</wp:posOffset>
              </wp:positionH>
              <wp:positionV relativeFrom="paragraph">
                <wp:posOffset>-6293485</wp:posOffset>
              </wp:positionV>
              <wp:extent cx="396000" cy="6228000"/>
              <wp:effectExtent l="0" t="0" r="0" b="1905"/>
              <wp:wrapNone/>
              <wp:docPr id="31" name="Text Box 31"/>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Pr="00C91E19" w:rsidRDefault="00B82AEA" w:rsidP="00C91E19">
                          <w:pPr>
                            <w:pStyle w:val="Footereven"/>
                          </w:pPr>
                          <w:r w:rsidRPr="00C91E19">
                            <w:rPr>
                              <w:rStyle w:val="BalloonTextChar"/>
                              <w:rFonts w:asciiTheme="majorHAnsi" w:hAnsiTheme="majorHAnsi" w:cstheme="minorBidi"/>
                              <w:spacing w:val="0"/>
                              <w:sz w:val="18"/>
                              <w:szCs w:val="22"/>
                            </w:rPr>
                            <w:fldChar w:fldCharType="begin"/>
                          </w:r>
                          <w:r w:rsidRPr="00C91E19">
                            <w:rPr>
                              <w:rStyle w:val="BalloonTextChar"/>
                              <w:rFonts w:asciiTheme="majorHAnsi" w:hAnsiTheme="majorHAnsi" w:cstheme="minorBidi"/>
                              <w:spacing w:val="0"/>
                              <w:sz w:val="18"/>
                              <w:szCs w:val="22"/>
                            </w:rPr>
                            <w:instrText xml:space="preserve"> PAGE </w:instrText>
                          </w:r>
                          <w:r w:rsidRPr="00C91E19">
                            <w:rPr>
                              <w:rStyle w:val="BalloonTextChar"/>
                              <w:rFonts w:asciiTheme="majorHAnsi" w:hAnsiTheme="majorHAnsi" w:cstheme="minorBidi"/>
                              <w:spacing w:val="0"/>
                              <w:sz w:val="18"/>
                              <w:szCs w:val="22"/>
                            </w:rPr>
                            <w:fldChar w:fldCharType="separate"/>
                          </w:r>
                          <w:r w:rsidR="00E73501">
                            <w:rPr>
                              <w:rStyle w:val="BalloonTextChar"/>
                              <w:rFonts w:asciiTheme="majorHAnsi" w:hAnsiTheme="majorHAnsi" w:cstheme="minorBidi"/>
                              <w:noProof/>
                              <w:spacing w:val="0"/>
                              <w:sz w:val="18"/>
                              <w:szCs w:val="22"/>
                            </w:rPr>
                            <w:t>84</w:t>
                          </w:r>
                          <w:r w:rsidRPr="00C91E19">
                            <w:rPr>
                              <w:rStyle w:val="BalloonTextChar"/>
                              <w:rFonts w:asciiTheme="majorHAnsi" w:hAnsiTheme="majorHAnsi" w:cstheme="minorBidi"/>
                              <w:spacing w:val="0"/>
                              <w:sz w:val="18"/>
                              <w:szCs w:val="22"/>
                            </w:rPr>
                            <w:fldChar w:fldCharType="end"/>
                          </w:r>
                          <w:r w:rsidRPr="00C91E19">
                            <w:tab/>
                            <w:t>Chapter 4</w:t>
                          </w:r>
                          <w:r w:rsidRPr="00C91E19">
                            <w:tab/>
                          </w:r>
                          <w:r w:rsidRPr="00C91E19">
                            <w:rPr>
                              <w:rStyle w:val="BalloonTextChar"/>
                              <w:rFonts w:asciiTheme="majorHAnsi" w:hAnsiTheme="majorHAnsi" w:cstheme="minorBidi"/>
                              <w:spacing w:val="0"/>
                              <w:sz w:val="18"/>
                              <w:szCs w:val="22"/>
                            </w:rPr>
                            <w:t>2016-17 Financial Report</w:t>
                          </w:r>
                        </w:p>
                        <w:p w:rsidR="00B82AEA" w:rsidRPr="00C91E19" w:rsidRDefault="00B82AEA" w:rsidP="00C91E19">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40" type="#_x0000_t202" style="position:absolute;margin-left:-39.7pt;margin-top:-495.55pt;width:31.2pt;height:49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" filled="f" stroked="f" strokeweight=".5pt">
              <v:textbox style="layout-flow:vertical">
                <w:txbxContent>
                  <w:p w:rsidR="00B82AEA" w:rsidRPr="00C91E19" w:rsidRDefault="00B82AEA" w:rsidP="00C91E19">
                    <w:pPr>
                      <w:pStyle w:val="Footereven"/>
                    </w:pPr>
                    <w:r w:rsidRPr="00C91E19">
                      <w:rPr>
                        <w:rStyle w:val="BalloonTextChar"/>
                        <w:rFonts w:asciiTheme="majorHAnsi" w:hAnsiTheme="majorHAnsi" w:cstheme="minorBidi"/>
                        <w:spacing w:val="0"/>
                        <w:sz w:val="18"/>
                        <w:szCs w:val="22"/>
                      </w:rPr>
                      <w:fldChar w:fldCharType="begin"/>
                    </w:r>
                    <w:r w:rsidRPr="00C91E19">
                      <w:rPr>
                        <w:rStyle w:val="BalloonTextChar"/>
                        <w:rFonts w:asciiTheme="majorHAnsi" w:hAnsiTheme="majorHAnsi" w:cstheme="minorBidi"/>
                        <w:spacing w:val="0"/>
                        <w:sz w:val="18"/>
                        <w:szCs w:val="22"/>
                      </w:rPr>
                      <w:instrText xml:space="preserve"> PAGE </w:instrText>
                    </w:r>
                    <w:r w:rsidRPr="00C91E19">
                      <w:rPr>
                        <w:rStyle w:val="BalloonTextChar"/>
                        <w:rFonts w:asciiTheme="majorHAnsi" w:hAnsiTheme="majorHAnsi" w:cstheme="minorBidi"/>
                        <w:spacing w:val="0"/>
                        <w:sz w:val="18"/>
                        <w:szCs w:val="22"/>
                      </w:rPr>
                      <w:fldChar w:fldCharType="separate"/>
                    </w:r>
                    <w:r w:rsidR="00E73501">
                      <w:rPr>
                        <w:rStyle w:val="BalloonTextChar"/>
                        <w:rFonts w:asciiTheme="majorHAnsi" w:hAnsiTheme="majorHAnsi" w:cstheme="minorBidi"/>
                        <w:noProof/>
                        <w:spacing w:val="0"/>
                        <w:sz w:val="18"/>
                        <w:szCs w:val="22"/>
                      </w:rPr>
                      <w:t>84</w:t>
                    </w:r>
                    <w:r w:rsidRPr="00C91E19">
                      <w:rPr>
                        <w:rStyle w:val="BalloonTextChar"/>
                        <w:rFonts w:asciiTheme="majorHAnsi" w:hAnsiTheme="majorHAnsi" w:cstheme="minorBidi"/>
                        <w:spacing w:val="0"/>
                        <w:sz w:val="18"/>
                        <w:szCs w:val="22"/>
                      </w:rPr>
                      <w:fldChar w:fldCharType="end"/>
                    </w:r>
                    <w:r w:rsidRPr="00C91E19">
                      <w:tab/>
                      <w:t>Chapter 4</w:t>
                    </w:r>
                    <w:r w:rsidRPr="00C91E19">
                      <w:tab/>
                    </w:r>
                    <w:r w:rsidRPr="00C91E19">
                      <w:rPr>
                        <w:rStyle w:val="BalloonTextChar"/>
                        <w:rFonts w:asciiTheme="majorHAnsi" w:hAnsiTheme="majorHAnsi" w:cstheme="minorBidi"/>
                        <w:spacing w:val="0"/>
                        <w:sz w:val="18"/>
                        <w:szCs w:val="22"/>
                      </w:rPr>
                      <w:t>2016-17 Financial Report</w:t>
                    </w:r>
                  </w:p>
                  <w:p w:rsidR="00B82AEA" w:rsidRPr="00C91E19" w:rsidRDefault="00B82AEA" w:rsidP="00C91E19">
                    <w:pPr>
                      <w:pStyle w:val="Footereven"/>
                    </w:pP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03431C">
    <w:pPr>
      <w:pStyle w:val="Footerodd"/>
    </w:pPr>
    <w:r w:rsidRPr="005B0F23">
      <w:t>2016-17 Financial Report</w:t>
    </w:r>
    <w:r w:rsidRPr="005B0F23">
      <w:tab/>
      <w:t>Chapter 4</w:t>
    </w:r>
    <w:r w:rsidRPr="005B0F23">
      <w:tab/>
    </w:r>
    <w:r w:rsidRPr="005B0F23">
      <w:fldChar w:fldCharType="begin"/>
    </w:r>
    <w:r w:rsidRPr="005B0F23">
      <w:instrText xml:space="preserve"> PAGE </w:instrText>
    </w:r>
    <w:r w:rsidRPr="005B0F23">
      <w:fldChar w:fldCharType="separate"/>
    </w:r>
    <w:r w:rsidR="00D705FE">
      <w:rPr>
        <w:noProof/>
      </w:rPr>
      <w:t>85</w:t>
    </w:r>
    <w:r w:rsidRPr="005B0F23">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03431C">
    <w:pPr>
      <w:pStyle w:val="Footereven"/>
    </w:pPr>
    <w:r w:rsidRPr="005B0F23">
      <w:fldChar w:fldCharType="begin"/>
    </w:r>
    <w:r w:rsidRPr="005B0F23">
      <w:instrText xml:space="preserve"> PAGE </w:instrText>
    </w:r>
    <w:r w:rsidRPr="005B0F23">
      <w:fldChar w:fldCharType="separate"/>
    </w:r>
    <w:r w:rsidR="00E73501">
      <w:rPr>
        <w:noProof/>
      </w:rPr>
      <w:t>100</w:t>
    </w:r>
    <w:r w:rsidRPr="005B0F23">
      <w:fldChar w:fldCharType="end"/>
    </w:r>
    <w:r w:rsidRPr="005B0F23">
      <w:tab/>
      <w:t>Chapter 4</w:t>
    </w:r>
    <w:r w:rsidRPr="005B0F23">
      <w:tab/>
      <w:t>2016-17 Financial Report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03431C">
    <w:pPr>
      <w:pStyle w:val="Footerodd"/>
    </w:pPr>
    <w:r w:rsidRPr="005B0F23">
      <w:t>2016-17 Financial Report</w:t>
    </w:r>
    <w:r w:rsidRPr="005B0F23">
      <w:tab/>
      <w:t>Chapter 4</w:t>
    </w:r>
    <w:r w:rsidRPr="005B0F23">
      <w:tab/>
    </w:r>
    <w:r w:rsidRPr="005B0F23">
      <w:fldChar w:fldCharType="begin"/>
    </w:r>
    <w:r w:rsidRPr="005B0F23">
      <w:instrText xml:space="preserve"> PAGE </w:instrText>
    </w:r>
    <w:r w:rsidRPr="005B0F23">
      <w:fldChar w:fldCharType="separate"/>
    </w:r>
    <w:r w:rsidR="00E73501">
      <w:rPr>
        <w:noProof/>
      </w:rPr>
      <w:t>101</w:t>
    </w:r>
    <w:r w:rsidRPr="005B0F23">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3E2986" w:rsidRDefault="00B82AEA" w:rsidP="00387A3A">
    <w:r w:rsidRPr="005D7B44">
      <w:rPr>
        <w:noProof/>
        <w:lang w:eastAsia="en-AU"/>
      </w:rPr>
      <mc:AlternateContent>
        <mc:Choice Requires="wps">
          <w:drawing>
            <wp:anchor distT="0" distB="0" distL="114300" distR="114300" simplePos="0" relativeHeight="251697152" behindDoc="0" locked="0" layoutInCell="1" allowOverlap="1" wp14:anchorId="5BE67CCA" wp14:editId="344E2C46">
              <wp:simplePos x="0" y="0"/>
              <wp:positionH relativeFrom="column">
                <wp:posOffset>-504190</wp:posOffset>
              </wp:positionH>
              <wp:positionV relativeFrom="paragraph">
                <wp:posOffset>-6293485</wp:posOffset>
              </wp:positionV>
              <wp:extent cx="396000" cy="6228000"/>
              <wp:effectExtent l="0" t="0" r="0" b="1905"/>
              <wp:wrapNone/>
              <wp:docPr id="33" name="Text Box 33"/>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Pr="004638BC" w:rsidRDefault="00B82AEA" w:rsidP="004638BC">
                          <w:pPr>
                            <w:pStyle w:val="Footereven"/>
                          </w:pPr>
                          <w:r w:rsidRPr="004638BC">
                            <w:rPr>
                              <w:rStyle w:val="BalloonTextChar"/>
                              <w:rFonts w:asciiTheme="majorHAnsi" w:hAnsiTheme="majorHAnsi" w:cstheme="minorBidi"/>
                              <w:spacing w:val="0"/>
                              <w:sz w:val="18"/>
                              <w:szCs w:val="22"/>
                            </w:rPr>
                            <w:fldChar w:fldCharType="begin"/>
                          </w:r>
                          <w:r w:rsidRPr="004638BC">
                            <w:rPr>
                              <w:rStyle w:val="BalloonTextChar"/>
                              <w:rFonts w:asciiTheme="majorHAnsi" w:hAnsiTheme="majorHAnsi" w:cstheme="minorBidi"/>
                              <w:spacing w:val="0"/>
                              <w:sz w:val="18"/>
                              <w:szCs w:val="22"/>
                            </w:rPr>
                            <w:instrText xml:space="preserve"> PAGE </w:instrText>
                          </w:r>
                          <w:r w:rsidRPr="004638BC">
                            <w:rPr>
                              <w:rStyle w:val="BalloonTextChar"/>
                              <w:rFonts w:asciiTheme="majorHAnsi" w:hAnsiTheme="majorHAnsi" w:cstheme="minorBidi"/>
                              <w:spacing w:val="0"/>
                              <w:sz w:val="18"/>
                              <w:szCs w:val="22"/>
                            </w:rPr>
                            <w:fldChar w:fldCharType="separate"/>
                          </w:r>
                          <w:r w:rsidR="00E73501">
                            <w:rPr>
                              <w:rStyle w:val="BalloonTextChar"/>
                              <w:rFonts w:asciiTheme="majorHAnsi" w:hAnsiTheme="majorHAnsi" w:cstheme="minorBidi"/>
                              <w:noProof/>
                              <w:spacing w:val="0"/>
                              <w:sz w:val="18"/>
                              <w:szCs w:val="22"/>
                            </w:rPr>
                            <w:t>102</w:t>
                          </w:r>
                          <w:r w:rsidRPr="004638BC">
                            <w:rPr>
                              <w:rStyle w:val="BalloonTextChar"/>
                              <w:rFonts w:asciiTheme="majorHAnsi" w:hAnsiTheme="majorHAnsi" w:cstheme="minorBidi"/>
                              <w:spacing w:val="0"/>
                              <w:sz w:val="18"/>
                              <w:szCs w:val="22"/>
                            </w:rPr>
                            <w:fldChar w:fldCharType="end"/>
                          </w:r>
                          <w:r w:rsidRPr="004638BC">
                            <w:tab/>
                            <w:t>Chapter 4</w:t>
                          </w:r>
                          <w:r w:rsidRPr="004638BC">
                            <w:tab/>
                          </w:r>
                          <w:r w:rsidRPr="004638BC">
                            <w:rPr>
                              <w:rStyle w:val="BalloonTextChar"/>
                              <w:rFonts w:asciiTheme="majorHAnsi" w:hAnsiTheme="majorHAnsi" w:cstheme="minorBidi"/>
                              <w:spacing w:val="0"/>
                              <w:sz w:val="18"/>
                              <w:szCs w:val="22"/>
                            </w:rPr>
                            <w:t>2016-17 Financial Report</w:t>
                          </w:r>
                        </w:p>
                        <w:p w:rsidR="00B82AEA" w:rsidRPr="004638BC" w:rsidRDefault="00B82AEA" w:rsidP="004638BC">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43" type="#_x0000_t202" style="position:absolute;margin-left:-39.7pt;margin-top:-495.55pt;width:31.2pt;height:49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" filled="f" stroked="f" strokeweight=".5pt">
              <v:textbox style="layout-flow:vertical">
                <w:txbxContent>
                  <w:p w:rsidR="00B82AEA" w:rsidRPr="004638BC" w:rsidRDefault="00B82AEA" w:rsidP="004638BC">
                    <w:pPr>
                      <w:pStyle w:val="Footereven"/>
                    </w:pPr>
                    <w:r w:rsidRPr="004638BC">
                      <w:rPr>
                        <w:rStyle w:val="BalloonTextChar"/>
                        <w:rFonts w:asciiTheme="majorHAnsi" w:hAnsiTheme="majorHAnsi" w:cstheme="minorBidi"/>
                        <w:spacing w:val="0"/>
                        <w:sz w:val="18"/>
                        <w:szCs w:val="22"/>
                      </w:rPr>
                      <w:fldChar w:fldCharType="begin"/>
                    </w:r>
                    <w:r w:rsidRPr="004638BC">
                      <w:rPr>
                        <w:rStyle w:val="BalloonTextChar"/>
                        <w:rFonts w:asciiTheme="majorHAnsi" w:hAnsiTheme="majorHAnsi" w:cstheme="minorBidi"/>
                        <w:spacing w:val="0"/>
                        <w:sz w:val="18"/>
                        <w:szCs w:val="22"/>
                      </w:rPr>
                      <w:instrText xml:space="preserve"> PAGE </w:instrText>
                    </w:r>
                    <w:r w:rsidRPr="004638BC">
                      <w:rPr>
                        <w:rStyle w:val="BalloonTextChar"/>
                        <w:rFonts w:asciiTheme="majorHAnsi" w:hAnsiTheme="majorHAnsi" w:cstheme="minorBidi"/>
                        <w:spacing w:val="0"/>
                        <w:sz w:val="18"/>
                        <w:szCs w:val="22"/>
                      </w:rPr>
                      <w:fldChar w:fldCharType="separate"/>
                    </w:r>
                    <w:r w:rsidR="00E73501">
                      <w:rPr>
                        <w:rStyle w:val="BalloonTextChar"/>
                        <w:rFonts w:asciiTheme="majorHAnsi" w:hAnsiTheme="majorHAnsi" w:cstheme="minorBidi"/>
                        <w:noProof/>
                        <w:spacing w:val="0"/>
                        <w:sz w:val="18"/>
                        <w:szCs w:val="22"/>
                      </w:rPr>
                      <w:t>102</w:t>
                    </w:r>
                    <w:r w:rsidRPr="004638BC">
                      <w:rPr>
                        <w:rStyle w:val="BalloonTextChar"/>
                        <w:rFonts w:asciiTheme="majorHAnsi" w:hAnsiTheme="majorHAnsi" w:cstheme="minorBidi"/>
                        <w:spacing w:val="0"/>
                        <w:sz w:val="18"/>
                        <w:szCs w:val="22"/>
                      </w:rPr>
                      <w:fldChar w:fldCharType="end"/>
                    </w:r>
                    <w:r w:rsidRPr="004638BC">
                      <w:tab/>
                      <w:t>Chapter 4</w:t>
                    </w:r>
                    <w:r w:rsidRPr="004638BC">
                      <w:tab/>
                    </w:r>
                    <w:r w:rsidRPr="004638BC">
                      <w:rPr>
                        <w:rStyle w:val="BalloonTextChar"/>
                        <w:rFonts w:asciiTheme="majorHAnsi" w:hAnsiTheme="majorHAnsi" w:cstheme="minorBidi"/>
                        <w:spacing w:val="0"/>
                        <w:sz w:val="18"/>
                        <w:szCs w:val="22"/>
                      </w:rPr>
                      <w:t>2016-17 Financial Report</w:t>
                    </w:r>
                  </w:p>
                  <w:p w:rsidR="00B82AEA" w:rsidRPr="004638BC" w:rsidRDefault="00B82AEA" w:rsidP="004638BC">
                    <w:pPr>
                      <w:pStyle w:val="Footereven"/>
                    </w:pP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3E2986" w:rsidRDefault="00B82AEA" w:rsidP="00387A3A">
    <w:r w:rsidRPr="003E2986">
      <w:rPr>
        <w:noProof/>
        <w:lang w:eastAsia="en-AU"/>
      </w:rPr>
      <mc:AlternateContent>
        <mc:Choice Requires="wps">
          <w:drawing>
            <wp:anchor distT="0" distB="0" distL="114300" distR="114300" simplePos="0" relativeHeight="251678720" behindDoc="0" locked="0" layoutInCell="1" allowOverlap="1" wp14:anchorId="51774350" wp14:editId="675E3192">
              <wp:simplePos x="0" y="0"/>
              <wp:positionH relativeFrom="column">
                <wp:posOffset>-504190</wp:posOffset>
              </wp:positionH>
              <wp:positionV relativeFrom="paragraph">
                <wp:posOffset>-6293485</wp:posOffset>
              </wp:positionV>
              <wp:extent cx="396000" cy="6228000"/>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Pr="005B0F23" w:rsidRDefault="00B82AEA" w:rsidP="004638BC">
                          <w:pPr>
                            <w:pStyle w:val="Footerodd"/>
                          </w:pPr>
                          <w:r w:rsidRPr="005B0F23">
                            <w:t>2016-17 Financial Report</w:t>
                          </w:r>
                          <w:r w:rsidRPr="005B0F23">
                            <w:tab/>
                            <w:t>Chapter 4</w:t>
                          </w:r>
                          <w:r w:rsidRPr="005B0F23">
                            <w:tab/>
                          </w:r>
                          <w:r w:rsidRPr="005B0F23">
                            <w:fldChar w:fldCharType="begin"/>
                          </w:r>
                          <w:r w:rsidRPr="005B0F23">
                            <w:instrText xml:space="preserve"> PAGE </w:instrText>
                          </w:r>
                          <w:r w:rsidRPr="005B0F23">
                            <w:fldChar w:fldCharType="separate"/>
                          </w:r>
                          <w:r w:rsidR="00E73501">
                            <w:rPr>
                              <w:noProof/>
                            </w:rPr>
                            <w:t>103</w:t>
                          </w:r>
                          <w:r w:rsidRPr="005B0F23">
                            <w:fldChar w:fldCharType="end"/>
                          </w:r>
                        </w:p>
                        <w:p w:rsidR="00B82AEA" w:rsidRPr="006B29FF" w:rsidRDefault="00B82AEA" w:rsidP="004638BC">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44" type="#_x0000_t202" style="position:absolute;margin-left:-39.7pt;margin-top:-495.55pt;width:31.2pt;height:49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" filled="f" stroked="f" strokeweight=".5pt">
              <v:textbox style="layout-flow:vertical">
                <w:txbxContent>
                  <w:p w:rsidR="00B82AEA" w:rsidRPr="005B0F23" w:rsidRDefault="00B82AEA" w:rsidP="004638BC">
                    <w:pPr>
                      <w:pStyle w:val="Footerodd"/>
                    </w:pPr>
                    <w:r w:rsidRPr="005B0F23">
                      <w:t>2016-17 Financial Report</w:t>
                    </w:r>
                    <w:r w:rsidRPr="005B0F23">
                      <w:tab/>
                      <w:t>Chapter 4</w:t>
                    </w:r>
                    <w:r w:rsidRPr="005B0F23">
                      <w:tab/>
                    </w:r>
                    <w:r w:rsidRPr="005B0F23">
                      <w:fldChar w:fldCharType="begin"/>
                    </w:r>
                    <w:r w:rsidRPr="005B0F23">
                      <w:instrText xml:space="preserve"> PAGE </w:instrText>
                    </w:r>
                    <w:r w:rsidRPr="005B0F23">
                      <w:fldChar w:fldCharType="separate"/>
                    </w:r>
                    <w:r w:rsidR="00E73501">
                      <w:rPr>
                        <w:noProof/>
                      </w:rPr>
                      <w:t>103</w:t>
                    </w:r>
                    <w:r w:rsidRPr="005B0F23">
                      <w:fldChar w:fldCharType="end"/>
                    </w:r>
                  </w:p>
                  <w:p w:rsidR="00B82AEA" w:rsidRPr="006B29FF" w:rsidRDefault="00B82AEA" w:rsidP="004638BC">
                    <w:pPr>
                      <w:pStyle w:val="Footerodd"/>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967F9B">
    <w:pPr>
      <w:pStyle w:val="Footereven"/>
      <w:tabs>
        <w:tab w:val="right" w:pos="14742"/>
      </w:tabs>
    </w:pPr>
    <w:r w:rsidRPr="005B0F23">
      <w:fldChar w:fldCharType="begin"/>
    </w:r>
    <w:r w:rsidRPr="005B0F23">
      <w:instrText xml:space="preserve"> PAGE </w:instrText>
    </w:r>
    <w:r w:rsidRPr="005B0F23">
      <w:fldChar w:fldCharType="separate"/>
    </w:r>
    <w:r w:rsidR="00E73501">
      <w:rPr>
        <w:noProof/>
      </w:rPr>
      <w:t>2</w:t>
    </w:r>
    <w:r w:rsidRPr="005B0F23">
      <w:fldChar w:fldCharType="end"/>
    </w:r>
    <w:r w:rsidRPr="005B0F23">
      <w:tab/>
      <w:t>Chapter 1</w:t>
    </w:r>
    <w:r w:rsidRPr="005B0F23">
      <w:tab/>
      <w:t>2016-17 Financial Report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59621E">
    <w:pPr>
      <w:pStyle w:val="Footereven"/>
    </w:pPr>
    <w:r w:rsidRPr="005B0F23">
      <w:fldChar w:fldCharType="begin"/>
    </w:r>
    <w:r w:rsidRPr="005B0F23">
      <w:instrText xml:space="preserve"> PAGE </w:instrText>
    </w:r>
    <w:r w:rsidRPr="005B0F23">
      <w:fldChar w:fldCharType="separate"/>
    </w:r>
    <w:r w:rsidR="00E73501">
      <w:rPr>
        <w:noProof/>
      </w:rPr>
      <w:t>114</w:t>
    </w:r>
    <w:r w:rsidRPr="005B0F23">
      <w:fldChar w:fldCharType="end"/>
    </w:r>
    <w:r w:rsidRPr="005B0F23">
      <w:tab/>
      <w:t>Chapter 4</w:t>
    </w:r>
    <w:r w:rsidRPr="005B0F23">
      <w:tab/>
      <w:t>2016-17 Financial Report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59621E">
    <w:pPr>
      <w:pStyle w:val="Footerodd"/>
    </w:pPr>
    <w:r w:rsidRPr="005B0F23">
      <w:t>2016-17 Financial Report</w:t>
    </w:r>
    <w:r w:rsidRPr="005B0F23">
      <w:tab/>
      <w:t>Chapter 4</w:t>
    </w:r>
    <w:r w:rsidRPr="005B0F23">
      <w:tab/>
    </w:r>
    <w:r w:rsidRPr="005B0F23">
      <w:fldChar w:fldCharType="begin"/>
    </w:r>
    <w:r w:rsidRPr="005B0F23">
      <w:instrText xml:space="preserve"> PAGE </w:instrText>
    </w:r>
    <w:r w:rsidRPr="005B0F23">
      <w:fldChar w:fldCharType="separate"/>
    </w:r>
    <w:r w:rsidR="00E73501">
      <w:rPr>
        <w:noProof/>
      </w:rPr>
      <w:t>113</w:t>
    </w:r>
    <w:r w:rsidRPr="005B0F23">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59621E">
    <w:pPr>
      <w:pStyle w:val="Footereven"/>
    </w:pPr>
    <w:r w:rsidRPr="005B0F23">
      <w:fldChar w:fldCharType="begin"/>
    </w:r>
    <w:r w:rsidRPr="005B0F23">
      <w:instrText xml:space="preserve"> PAGE </w:instrText>
    </w:r>
    <w:r w:rsidRPr="005B0F23">
      <w:fldChar w:fldCharType="separate"/>
    </w:r>
    <w:r w:rsidR="00D705FE">
      <w:rPr>
        <w:noProof/>
      </w:rPr>
      <w:t>116</w:t>
    </w:r>
    <w:r w:rsidRPr="005B0F23">
      <w:fldChar w:fldCharType="end"/>
    </w:r>
    <w:r w:rsidRPr="005B0F23">
      <w:tab/>
      <w:t>Chapter 4</w:t>
    </w:r>
    <w:r w:rsidRPr="005B0F23">
      <w:tab/>
      <w:t>2016-17 Financial Report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D7B44" w:rsidRDefault="00B82AEA" w:rsidP="005933E1">
    <w:r w:rsidRPr="005D7B44">
      <w:rPr>
        <w:noProof/>
        <w:lang w:eastAsia="en-AU"/>
      </w:rPr>
      <mc:AlternateContent>
        <mc:Choice Requires="wps">
          <w:drawing>
            <wp:anchor distT="0" distB="0" distL="114300" distR="114300" simplePos="0" relativeHeight="251681792" behindDoc="0" locked="0" layoutInCell="1" allowOverlap="1" wp14:anchorId="2F458798" wp14:editId="196FAB63">
              <wp:simplePos x="0" y="0"/>
              <wp:positionH relativeFrom="column">
                <wp:posOffset>-504190</wp:posOffset>
              </wp:positionH>
              <wp:positionV relativeFrom="paragraph">
                <wp:posOffset>-6293485</wp:posOffset>
              </wp:positionV>
              <wp:extent cx="396000" cy="6228000"/>
              <wp:effectExtent l="0" t="0" r="0" b="1905"/>
              <wp:wrapNone/>
              <wp:docPr id="23" name="Text Box 23"/>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Pr="00155927" w:rsidRDefault="00B82AEA" w:rsidP="00155927">
                          <w:pPr>
                            <w:pStyle w:val="Footerodd"/>
                          </w:pPr>
                          <w:r w:rsidRPr="00155927">
                            <w:t>2016-17 Financial Report</w:t>
                          </w:r>
                          <w:r w:rsidRPr="00155927">
                            <w:tab/>
                            <w:t>Chapter 4</w:t>
                          </w:r>
                          <w:r w:rsidRPr="00155927">
                            <w:tab/>
                          </w:r>
                          <w:r w:rsidRPr="00155927">
                            <w:fldChar w:fldCharType="begin"/>
                          </w:r>
                          <w:r w:rsidRPr="00155927">
                            <w:instrText xml:space="preserve"> PAGE </w:instrText>
                          </w:r>
                          <w:r w:rsidRPr="00155927">
                            <w:fldChar w:fldCharType="separate"/>
                          </w:r>
                          <w:r w:rsidR="00E73501">
                            <w:rPr>
                              <w:noProof/>
                            </w:rPr>
                            <w:t>115</w:t>
                          </w:r>
                          <w:r w:rsidRPr="00155927">
                            <w:fldChar w:fldCharType="end"/>
                          </w:r>
                        </w:p>
                        <w:p w:rsidR="00B82AEA" w:rsidRPr="00155927" w:rsidRDefault="00B82AEA" w:rsidP="00155927">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46" type="#_x0000_t202" style="position:absolute;margin-left:-39.7pt;margin-top:-495.55pt;width:31.2pt;height:49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" filled="f" stroked="f" strokeweight=".5pt">
              <v:textbox style="layout-flow:vertical">
                <w:txbxContent>
                  <w:p w:rsidR="00B82AEA" w:rsidRPr="00155927" w:rsidRDefault="00B82AEA" w:rsidP="00155927">
                    <w:pPr>
                      <w:pStyle w:val="Footerodd"/>
                    </w:pPr>
                    <w:r w:rsidRPr="00155927">
                      <w:t>2016-17 Financial Report</w:t>
                    </w:r>
                    <w:r w:rsidRPr="00155927">
                      <w:tab/>
                      <w:t>Chapter 4</w:t>
                    </w:r>
                    <w:r w:rsidRPr="00155927">
                      <w:tab/>
                    </w:r>
                    <w:r w:rsidRPr="00155927">
                      <w:fldChar w:fldCharType="begin"/>
                    </w:r>
                    <w:r w:rsidRPr="00155927">
                      <w:instrText xml:space="preserve"> PAGE </w:instrText>
                    </w:r>
                    <w:r w:rsidRPr="00155927">
                      <w:fldChar w:fldCharType="separate"/>
                    </w:r>
                    <w:r w:rsidR="00E73501">
                      <w:rPr>
                        <w:noProof/>
                      </w:rPr>
                      <w:t>115</w:t>
                    </w:r>
                    <w:r w:rsidRPr="00155927">
                      <w:fldChar w:fldCharType="end"/>
                    </w:r>
                  </w:p>
                  <w:p w:rsidR="00B82AEA" w:rsidRPr="00155927" w:rsidRDefault="00B82AEA" w:rsidP="00155927">
                    <w:pPr>
                      <w:pStyle w:val="Footerodd"/>
                    </w:pP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03431C">
    <w:pPr>
      <w:pStyle w:val="Footereven"/>
    </w:pPr>
    <w:r w:rsidRPr="005B0F23">
      <w:fldChar w:fldCharType="begin"/>
    </w:r>
    <w:r w:rsidRPr="005B0F23">
      <w:instrText xml:space="preserve"> PAGE </w:instrText>
    </w:r>
    <w:r w:rsidRPr="005B0F23">
      <w:fldChar w:fldCharType="separate"/>
    </w:r>
    <w:r w:rsidR="00E73501">
      <w:rPr>
        <w:noProof/>
      </w:rPr>
      <w:t>134</w:t>
    </w:r>
    <w:r w:rsidRPr="005B0F23">
      <w:fldChar w:fldCharType="end"/>
    </w:r>
    <w:r w:rsidRPr="005B0F23">
      <w:tab/>
      <w:t>Chapter 4</w:t>
    </w:r>
    <w:r w:rsidRPr="005B0F23">
      <w:tab/>
      <w:t>2016-17 Financial Report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03431C">
    <w:pPr>
      <w:pStyle w:val="Footerodd"/>
    </w:pPr>
    <w:r w:rsidRPr="005B0F23">
      <w:t>2016-17 Financial Report</w:t>
    </w:r>
    <w:r w:rsidRPr="005B0F23">
      <w:tab/>
      <w:t>Chapter 4</w:t>
    </w:r>
    <w:r w:rsidRPr="005B0F23">
      <w:tab/>
    </w:r>
    <w:r w:rsidRPr="005B0F23">
      <w:fldChar w:fldCharType="begin"/>
    </w:r>
    <w:r w:rsidRPr="005B0F23">
      <w:instrText xml:space="preserve"> PAGE </w:instrText>
    </w:r>
    <w:r w:rsidRPr="005B0F23">
      <w:fldChar w:fldCharType="separate"/>
    </w:r>
    <w:r w:rsidR="00E73501">
      <w:rPr>
        <w:noProof/>
      </w:rPr>
      <w:t>135</w:t>
    </w:r>
    <w:r w:rsidRPr="005B0F23">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D7B44" w:rsidRDefault="00B82AEA" w:rsidP="005933E1">
    <w:r w:rsidRPr="005D7B44">
      <w:rPr>
        <w:noProof/>
        <w:lang w:eastAsia="en-AU"/>
      </w:rPr>
      <mc:AlternateContent>
        <mc:Choice Requires="wps">
          <w:drawing>
            <wp:anchor distT="0" distB="0" distL="114300" distR="114300" simplePos="0" relativeHeight="251700224" behindDoc="0" locked="0" layoutInCell="1" allowOverlap="1" wp14:anchorId="00931752" wp14:editId="25F24DED">
              <wp:simplePos x="0" y="0"/>
              <wp:positionH relativeFrom="column">
                <wp:posOffset>-504190</wp:posOffset>
              </wp:positionH>
              <wp:positionV relativeFrom="paragraph">
                <wp:posOffset>-6293485</wp:posOffset>
              </wp:positionV>
              <wp:extent cx="396000" cy="61920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Pr="00E977BC" w:rsidRDefault="00B82AEA" w:rsidP="00E977BC">
                          <w:pPr>
                            <w:pStyle w:val="Footereven"/>
                          </w:pPr>
                          <w:r w:rsidRPr="00E977BC">
                            <w:rPr>
                              <w:rStyle w:val="BalloonTextChar"/>
                              <w:rFonts w:asciiTheme="majorHAnsi" w:hAnsiTheme="majorHAnsi" w:cstheme="minorBidi"/>
                              <w:spacing w:val="0"/>
                              <w:sz w:val="18"/>
                              <w:szCs w:val="22"/>
                            </w:rPr>
                            <w:fldChar w:fldCharType="begin"/>
                          </w:r>
                          <w:r w:rsidRPr="00E977BC">
                            <w:rPr>
                              <w:rStyle w:val="BalloonTextChar"/>
                              <w:rFonts w:asciiTheme="majorHAnsi" w:hAnsiTheme="majorHAnsi" w:cstheme="minorBidi"/>
                              <w:spacing w:val="0"/>
                              <w:sz w:val="18"/>
                              <w:szCs w:val="22"/>
                            </w:rPr>
                            <w:instrText xml:space="preserve"> PAGE </w:instrText>
                          </w:r>
                          <w:r w:rsidRPr="00E977BC">
                            <w:rPr>
                              <w:rStyle w:val="BalloonTextChar"/>
                              <w:rFonts w:asciiTheme="majorHAnsi" w:hAnsiTheme="majorHAnsi" w:cstheme="minorBidi"/>
                              <w:spacing w:val="0"/>
                              <w:sz w:val="18"/>
                              <w:szCs w:val="22"/>
                            </w:rPr>
                            <w:fldChar w:fldCharType="separate"/>
                          </w:r>
                          <w:r w:rsidR="00E73501">
                            <w:rPr>
                              <w:rStyle w:val="BalloonTextChar"/>
                              <w:rFonts w:asciiTheme="majorHAnsi" w:hAnsiTheme="majorHAnsi" w:cstheme="minorBidi"/>
                              <w:noProof/>
                              <w:spacing w:val="0"/>
                              <w:sz w:val="18"/>
                              <w:szCs w:val="22"/>
                            </w:rPr>
                            <w:t>136</w:t>
                          </w:r>
                          <w:r w:rsidRPr="00E977BC">
                            <w:rPr>
                              <w:rStyle w:val="BalloonTextChar"/>
                              <w:rFonts w:asciiTheme="majorHAnsi" w:hAnsiTheme="majorHAnsi" w:cstheme="minorBidi"/>
                              <w:spacing w:val="0"/>
                              <w:sz w:val="18"/>
                              <w:szCs w:val="22"/>
                            </w:rPr>
                            <w:fldChar w:fldCharType="end"/>
                          </w:r>
                          <w:r w:rsidRPr="00E977BC">
                            <w:tab/>
                            <w:t>Chapter 4</w:t>
                          </w:r>
                          <w:r w:rsidRPr="00E977BC">
                            <w:tab/>
                          </w:r>
                          <w:r w:rsidRPr="00E977BC">
                            <w:rPr>
                              <w:rStyle w:val="BalloonTextChar"/>
                              <w:rFonts w:asciiTheme="majorHAnsi" w:hAnsiTheme="majorHAnsi" w:cstheme="minorBidi"/>
                              <w:spacing w:val="0"/>
                              <w:sz w:val="18"/>
                              <w:szCs w:val="22"/>
                            </w:rPr>
                            <w:t>2016-17 Financial Report</w:t>
                          </w:r>
                        </w:p>
                        <w:p w:rsidR="00B82AEA" w:rsidRPr="00E977BC" w:rsidRDefault="00B82AEA" w:rsidP="00E977BC">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49" type="#_x0000_t202" style="position:absolute;margin-left:-39.7pt;margin-top:-495.55pt;width:31.2pt;height:487.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" filled="f" stroked="f" strokeweight=".5pt">
              <v:textbox style="layout-flow:vertical">
                <w:txbxContent>
                  <w:p w:rsidR="00B82AEA" w:rsidRPr="00E977BC" w:rsidRDefault="00B82AEA" w:rsidP="00E977BC">
                    <w:pPr>
                      <w:pStyle w:val="Footereven"/>
                    </w:pPr>
                    <w:r w:rsidRPr="00E977BC">
                      <w:rPr>
                        <w:rStyle w:val="BalloonTextChar"/>
                        <w:rFonts w:asciiTheme="majorHAnsi" w:hAnsiTheme="majorHAnsi" w:cstheme="minorBidi"/>
                        <w:spacing w:val="0"/>
                        <w:sz w:val="18"/>
                        <w:szCs w:val="22"/>
                      </w:rPr>
                      <w:fldChar w:fldCharType="begin"/>
                    </w:r>
                    <w:r w:rsidRPr="00E977BC">
                      <w:rPr>
                        <w:rStyle w:val="BalloonTextChar"/>
                        <w:rFonts w:asciiTheme="majorHAnsi" w:hAnsiTheme="majorHAnsi" w:cstheme="minorBidi"/>
                        <w:spacing w:val="0"/>
                        <w:sz w:val="18"/>
                        <w:szCs w:val="22"/>
                      </w:rPr>
                      <w:instrText xml:space="preserve"> PAGE </w:instrText>
                    </w:r>
                    <w:r w:rsidRPr="00E977BC">
                      <w:rPr>
                        <w:rStyle w:val="BalloonTextChar"/>
                        <w:rFonts w:asciiTheme="majorHAnsi" w:hAnsiTheme="majorHAnsi" w:cstheme="minorBidi"/>
                        <w:spacing w:val="0"/>
                        <w:sz w:val="18"/>
                        <w:szCs w:val="22"/>
                      </w:rPr>
                      <w:fldChar w:fldCharType="separate"/>
                    </w:r>
                    <w:r w:rsidR="00E73501">
                      <w:rPr>
                        <w:rStyle w:val="BalloonTextChar"/>
                        <w:rFonts w:asciiTheme="majorHAnsi" w:hAnsiTheme="majorHAnsi" w:cstheme="minorBidi"/>
                        <w:noProof/>
                        <w:spacing w:val="0"/>
                        <w:sz w:val="18"/>
                        <w:szCs w:val="22"/>
                      </w:rPr>
                      <w:t>136</w:t>
                    </w:r>
                    <w:r w:rsidRPr="00E977BC">
                      <w:rPr>
                        <w:rStyle w:val="BalloonTextChar"/>
                        <w:rFonts w:asciiTheme="majorHAnsi" w:hAnsiTheme="majorHAnsi" w:cstheme="minorBidi"/>
                        <w:spacing w:val="0"/>
                        <w:sz w:val="18"/>
                        <w:szCs w:val="22"/>
                      </w:rPr>
                      <w:fldChar w:fldCharType="end"/>
                    </w:r>
                    <w:r w:rsidRPr="00E977BC">
                      <w:tab/>
                      <w:t>Chapter 4</w:t>
                    </w:r>
                    <w:r w:rsidRPr="00E977BC">
                      <w:tab/>
                    </w:r>
                    <w:r w:rsidRPr="00E977BC">
                      <w:rPr>
                        <w:rStyle w:val="BalloonTextChar"/>
                        <w:rFonts w:asciiTheme="majorHAnsi" w:hAnsiTheme="majorHAnsi" w:cstheme="minorBidi"/>
                        <w:spacing w:val="0"/>
                        <w:sz w:val="18"/>
                        <w:szCs w:val="22"/>
                      </w:rPr>
                      <w:t>2016-17 Financial Report</w:t>
                    </w:r>
                  </w:p>
                  <w:p w:rsidR="00B82AEA" w:rsidRPr="00E977BC" w:rsidRDefault="00B82AEA" w:rsidP="00E977BC">
                    <w:pPr>
                      <w:pStyle w:val="Footereven"/>
                    </w:pP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D7B44" w:rsidRDefault="00B82AEA" w:rsidP="00263A1C">
    <w:r w:rsidRPr="005D7B44">
      <w:rPr>
        <w:noProof/>
        <w:lang w:eastAsia="en-AU"/>
      </w:rPr>
      <mc:AlternateContent>
        <mc:Choice Requires="wps">
          <w:drawing>
            <wp:anchor distT="0" distB="0" distL="114300" distR="114300" simplePos="0" relativeHeight="251684864" behindDoc="0" locked="0" layoutInCell="1" allowOverlap="1" wp14:anchorId="0D2C8F1B" wp14:editId="017AB0F1">
              <wp:simplePos x="0" y="0"/>
              <wp:positionH relativeFrom="column">
                <wp:posOffset>-504190</wp:posOffset>
              </wp:positionH>
              <wp:positionV relativeFrom="paragraph">
                <wp:posOffset>-6293485</wp:posOffset>
              </wp:positionV>
              <wp:extent cx="396000" cy="6228000"/>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Pr="005B0F23" w:rsidRDefault="00B82AEA" w:rsidP="00CA53C0">
                          <w:pPr>
                            <w:pStyle w:val="Footerodd"/>
                          </w:pPr>
                          <w:r w:rsidRPr="005B0F23">
                            <w:t>2016-17 Financial Report</w:t>
                          </w:r>
                          <w:r w:rsidRPr="005B0F23">
                            <w:tab/>
                            <w:t>Chapter 4</w:t>
                          </w:r>
                          <w:r w:rsidRPr="005B0F23">
                            <w:tab/>
                          </w:r>
                          <w:r w:rsidRPr="005B0F23">
                            <w:fldChar w:fldCharType="begin"/>
                          </w:r>
                          <w:r w:rsidRPr="005B0F23">
                            <w:instrText xml:space="preserve"> PAGE </w:instrText>
                          </w:r>
                          <w:r w:rsidRPr="005B0F23">
                            <w:fldChar w:fldCharType="separate"/>
                          </w:r>
                          <w:r w:rsidR="00E73501">
                            <w:rPr>
                              <w:noProof/>
                            </w:rPr>
                            <w:t>137</w:t>
                          </w:r>
                          <w:r w:rsidRPr="005B0F23">
                            <w:fldChar w:fldCharType="end"/>
                          </w:r>
                        </w:p>
                        <w:p w:rsidR="00B82AEA" w:rsidRPr="006B29FF" w:rsidRDefault="00B82AEA" w:rsidP="00CA53C0">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50" type="#_x0000_t202" style="position:absolute;margin-left:-39.7pt;margin-top:-495.55pt;width:31.2pt;height:49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" filled="f" stroked="f" strokeweight=".5pt">
              <v:textbox style="layout-flow:vertical">
                <w:txbxContent>
                  <w:p w:rsidR="00B82AEA" w:rsidRPr="005B0F23" w:rsidRDefault="00B82AEA" w:rsidP="00CA53C0">
                    <w:pPr>
                      <w:pStyle w:val="Footerodd"/>
                    </w:pPr>
                    <w:r w:rsidRPr="005B0F23">
                      <w:t>2016-17 Financial Report</w:t>
                    </w:r>
                    <w:r w:rsidRPr="005B0F23">
                      <w:tab/>
                      <w:t>Chapter 4</w:t>
                    </w:r>
                    <w:r w:rsidRPr="005B0F23">
                      <w:tab/>
                    </w:r>
                    <w:r w:rsidRPr="005B0F23">
                      <w:fldChar w:fldCharType="begin"/>
                    </w:r>
                    <w:r w:rsidRPr="005B0F23">
                      <w:instrText xml:space="preserve"> PAGE </w:instrText>
                    </w:r>
                    <w:r w:rsidRPr="005B0F23">
                      <w:fldChar w:fldCharType="separate"/>
                    </w:r>
                    <w:r w:rsidR="00E73501">
                      <w:rPr>
                        <w:noProof/>
                      </w:rPr>
                      <w:t>137</w:t>
                    </w:r>
                    <w:r w:rsidRPr="005B0F23">
                      <w:fldChar w:fldCharType="end"/>
                    </w:r>
                  </w:p>
                  <w:p w:rsidR="00B82AEA" w:rsidRPr="006B29FF" w:rsidRDefault="00B82AEA" w:rsidP="00CA53C0">
                    <w:pPr>
                      <w:pStyle w:val="Footerodd"/>
                    </w:pP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59621E">
    <w:pPr>
      <w:pStyle w:val="Footereven"/>
    </w:pPr>
    <w:r w:rsidRPr="005B0F23">
      <w:fldChar w:fldCharType="begin"/>
    </w:r>
    <w:r w:rsidRPr="005B0F23">
      <w:instrText xml:space="preserve"> PAGE </w:instrText>
    </w:r>
    <w:r w:rsidRPr="005B0F23">
      <w:fldChar w:fldCharType="separate"/>
    </w:r>
    <w:r w:rsidR="00E73501">
      <w:rPr>
        <w:noProof/>
      </w:rPr>
      <w:t>138</w:t>
    </w:r>
    <w:r w:rsidRPr="005B0F23">
      <w:fldChar w:fldCharType="end"/>
    </w:r>
    <w:r w:rsidRPr="005B0F23">
      <w:tab/>
      <w:t>Chapter 4</w:t>
    </w:r>
    <w:r w:rsidRPr="005B0F23">
      <w:tab/>
      <w:t>2016-17 Financial Report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8155D0">
    <w:pPr>
      <w:pStyle w:val="Footerodd"/>
    </w:pPr>
    <w:r w:rsidRPr="005B0F23">
      <w:t>Annual Financial Report</w:t>
    </w:r>
    <w:r w:rsidRPr="005B0F23">
      <w:tab/>
      <w:t>Chapter 4</w:t>
    </w:r>
    <w:r w:rsidRPr="005B0F23">
      <w:tab/>
    </w:r>
    <w:r w:rsidRPr="005B0F23">
      <w:fldChar w:fldCharType="begin"/>
    </w:r>
    <w:r w:rsidRPr="005B0F23">
      <w:instrText xml:space="preserve"> PAGE </w:instrText>
    </w:r>
    <w:r w:rsidRPr="005B0F23">
      <w:fldChar w:fldCharType="separate"/>
    </w:r>
    <w:r w:rsidR="00D705FE">
      <w:rPr>
        <w:noProof/>
      </w:rPr>
      <w:t>139</w:t>
    </w:r>
    <w:r w:rsidRPr="005B0F23">
      <w:fldChar w:fldCharType="end"/>
    </w:r>
  </w:p>
  <w:p w:rsidR="00B82AEA" w:rsidRPr="005B0F23" w:rsidRDefault="00B82AE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967F9B">
    <w:pPr>
      <w:pStyle w:val="Footereven"/>
      <w:tabs>
        <w:tab w:val="right" w:pos="14742"/>
      </w:tabs>
    </w:pPr>
    <w:r w:rsidRPr="005B0F23">
      <w:fldChar w:fldCharType="begin"/>
    </w:r>
    <w:r w:rsidRPr="005B0F23">
      <w:instrText xml:space="preserve"> PAGE </w:instrText>
    </w:r>
    <w:r w:rsidRPr="005B0F23">
      <w:fldChar w:fldCharType="separate"/>
    </w:r>
    <w:r w:rsidRPr="005B0F23">
      <w:t>2</w:t>
    </w:r>
    <w:r w:rsidRPr="005B0F23">
      <w:fldChar w:fldCharType="end"/>
    </w:r>
    <w:r w:rsidRPr="005B0F23">
      <w:tab/>
      <w:t>Chapter 1</w:t>
    </w:r>
    <w:r w:rsidRPr="005B0F23">
      <w:tab/>
      <w:t>2016-17 Financial Report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D7B44" w:rsidRDefault="00B82AEA" w:rsidP="005933E1">
    <w:r w:rsidRPr="005D7B44">
      <w:rPr>
        <w:noProof/>
        <w:lang w:eastAsia="en-AU"/>
      </w:rPr>
      <mc:AlternateContent>
        <mc:Choice Requires="wps">
          <w:drawing>
            <wp:anchor distT="0" distB="0" distL="114300" distR="114300" simplePos="0" relativeHeight="251703296" behindDoc="0" locked="0" layoutInCell="1" allowOverlap="1" wp14:anchorId="3CEA7646" wp14:editId="09C830A0">
              <wp:simplePos x="0" y="0"/>
              <wp:positionH relativeFrom="column">
                <wp:posOffset>-504190</wp:posOffset>
              </wp:positionH>
              <wp:positionV relativeFrom="paragraph">
                <wp:posOffset>-6293485</wp:posOffset>
              </wp:positionV>
              <wp:extent cx="396000" cy="6228000"/>
              <wp:effectExtent l="0" t="0" r="0" b="1905"/>
              <wp:wrapNone/>
              <wp:docPr id="38" name="Text Box 38"/>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Pr="006B29FF" w:rsidRDefault="00B82AEA" w:rsidP="00CA53C0">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sidR="00E73501">
                            <w:rPr>
                              <w:rStyle w:val="BalloonTextChar"/>
                              <w:noProof/>
                            </w:rPr>
                            <w:t>142</w:t>
                          </w:r>
                          <w:r w:rsidRPr="006B29FF">
                            <w:rPr>
                              <w:rStyle w:val="BalloonTextChar"/>
                            </w:rPr>
                            <w:fldChar w:fldCharType="end"/>
                          </w:r>
                          <w:r w:rsidRPr="006B29FF">
                            <w:tab/>
                            <w:t>Chapter 4</w:t>
                          </w:r>
                          <w:r w:rsidRPr="006B29FF">
                            <w:tab/>
                          </w:r>
                          <w:r w:rsidRPr="006B29FF">
                            <w:rPr>
                              <w:rStyle w:val="BalloonTextChar"/>
                            </w:rPr>
                            <w:t>2016-17 Financial Report</w:t>
                          </w:r>
                        </w:p>
                        <w:p w:rsidR="00B82AEA" w:rsidRPr="00B50458" w:rsidRDefault="00B82AEA" w:rsidP="00CA53C0">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53" type="#_x0000_t202" style="position:absolute;margin-left:-39.7pt;margin-top:-495.55pt;width:31.2pt;height:49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" filled="f" stroked="f" strokeweight=".5pt">
              <v:textbox style="layout-flow:vertical">
                <w:txbxContent>
                  <w:p w:rsidR="00B82AEA" w:rsidRPr="006B29FF" w:rsidRDefault="00B82AEA" w:rsidP="00CA53C0">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sidR="00E73501">
                      <w:rPr>
                        <w:rStyle w:val="BalloonTextChar"/>
                        <w:noProof/>
                      </w:rPr>
                      <w:t>142</w:t>
                    </w:r>
                    <w:r w:rsidRPr="006B29FF">
                      <w:rPr>
                        <w:rStyle w:val="BalloonTextChar"/>
                      </w:rPr>
                      <w:fldChar w:fldCharType="end"/>
                    </w:r>
                    <w:r w:rsidRPr="006B29FF">
                      <w:tab/>
                      <w:t>Chapter 4</w:t>
                    </w:r>
                    <w:r w:rsidRPr="006B29FF">
                      <w:tab/>
                    </w:r>
                    <w:r w:rsidRPr="006B29FF">
                      <w:rPr>
                        <w:rStyle w:val="BalloonTextChar"/>
                      </w:rPr>
                      <w:t>2016-17 Financial Report</w:t>
                    </w:r>
                  </w:p>
                  <w:p w:rsidR="00B82AEA" w:rsidRPr="00B50458" w:rsidRDefault="00B82AEA" w:rsidP="00CA53C0">
                    <w:pPr>
                      <w:pStyle w:val="Footereven"/>
                    </w:pP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D7B44" w:rsidRDefault="00B82AEA" w:rsidP="005933E1">
    <w:r w:rsidRPr="005D7B44">
      <w:rPr>
        <w:noProof/>
        <w:lang w:eastAsia="en-AU"/>
      </w:rPr>
      <mc:AlternateContent>
        <mc:Choice Requires="wps">
          <w:drawing>
            <wp:anchor distT="0" distB="0" distL="114300" distR="114300" simplePos="0" relativeHeight="251687936" behindDoc="0" locked="0" layoutInCell="1" allowOverlap="1" wp14:anchorId="305B854D" wp14:editId="4215B796">
              <wp:simplePos x="0" y="0"/>
              <wp:positionH relativeFrom="column">
                <wp:posOffset>-504190</wp:posOffset>
              </wp:positionH>
              <wp:positionV relativeFrom="paragraph">
                <wp:posOffset>-6293485</wp:posOffset>
              </wp:positionV>
              <wp:extent cx="396000" cy="6228000"/>
              <wp:effectExtent l="0" t="0" r="0" b="1905"/>
              <wp:wrapNone/>
              <wp:docPr id="27" name="Text Box 27"/>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Pr="005B0F23" w:rsidRDefault="00B82AEA" w:rsidP="00CA53C0">
                          <w:pPr>
                            <w:pStyle w:val="Footerodd"/>
                          </w:pPr>
                          <w:r w:rsidRPr="005B0F23">
                            <w:t>2016-17 Financial Report</w:t>
                          </w:r>
                          <w:r w:rsidRPr="005B0F23">
                            <w:tab/>
                            <w:t>Chapter 4</w:t>
                          </w:r>
                          <w:r w:rsidRPr="005B0F23">
                            <w:tab/>
                          </w:r>
                          <w:r w:rsidRPr="005B0F23">
                            <w:fldChar w:fldCharType="begin"/>
                          </w:r>
                          <w:r w:rsidRPr="005B0F23">
                            <w:instrText xml:space="preserve"> PAGE </w:instrText>
                          </w:r>
                          <w:r w:rsidRPr="005B0F23">
                            <w:fldChar w:fldCharType="separate"/>
                          </w:r>
                          <w:r w:rsidR="00E73501">
                            <w:rPr>
                              <w:noProof/>
                            </w:rPr>
                            <w:t>141</w:t>
                          </w:r>
                          <w:r w:rsidRPr="005B0F23">
                            <w:fldChar w:fldCharType="end"/>
                          </w:r>
                        </w:p>
                        <w:p w:rsidR="00B82AEA" w:rsidRPr="006B29FF" w:rsidRDefault="00B82AEA" w:rsidP="00CA53C0">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54" type="#_x0000_t202" style="position:absolute;margin-left:-39.7pt;margin-top:-495.55pt;width:31.2pt;height:49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" filled="f" stroked="f" strokeweight=".5pt">
              <v:textbox style="layout-flow:vertical">
                <w:txbxContent>
                  <w:p w:rsidR="00B82AEA" w:rsidRPr="005B0F23" w:rsidRDefault="00B82AEA" w:rsidP="00CA53C0">
                    <w:pPr>
                      <w:pStyle w:val="Footerodd"/>
                    </w:pPr>
                    <w:r w:rsidRPr="005B0F23">
                      <w:t>2016-17 Financial Report</w:t>
                    </w:r>
                    <w:r w:rsidRPr="005B0F23">
                      <w:tab/>
                      <w:t>Chapter 4</w:t>
                    </w:r>
                    <w:r w:rsidRPr="005B0F23">
                      <w:tab/>
                    </w:r>
                    <w:r w:rsidRPr="005B0F23">
                      <w:fldChar w:fldCharType="begin"/>
                    </w:r>
                    <w:r w:rsidRPr="005B0F23">
                      <w:instrText xml:space="preserve"> PAGE </w:instrText>
                    </w:r>
                    <w:r w:rsidRPr="005B0F23">
                      <w:fldChar w:fldCharType="separate"/>
                    </w:r>
                    <w:r w:rsidR="00E73501">
                      <w:rPr>
                        <w:noProof/>
                      </w:rPr>
                      <w:t>141</w:t>
                    </w:r>
                    <w:r w:rsidRPr="005B0F23">
                      <w:fldChar w:fldCharType="end"/>
                    </w:r>
                  </w:p>
                  <w:p w:rsidR="00B82AEA" w:rsidRPr="006B29FF" w:rsidRDefault="00B82AEA" w:rsidP="00CA53C0">
                    <w:pPr>
                      <w:pStyle w:val="Footerodd"/>
                    </w:pP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AC68FF">
    <w:pPr>
      <w:pStyle w:val="Footereven"/>
    </w:pPr>
    <w:r w:rsidRPr="005B0F23">
      <w:fldChar w:fldCharType="begin"/>
    </w:r>
    <w:r w:rsidRPr="005B0F23">
      <w:instrText xml:space="preserve"> PAGE  \* Arabic  \* MERGEFORMAT </w:instrText>
    </w:r>
    <w:r w:rsidRPr="005B0F23">
      <w:fldChar w:fldCharType="separate"/>
    </w:r>
    <w:r w:rsidR="00E73501">
      <w:rPr>
        <w:noProof/>
      </w:rPr>
      <w:t>144</w:t>
    </w:r>
    <w:r w:rsidRPr="005B0F23">
      <w:fldChar w:fldCharType="end"/>
    </w:r>
    <w:r w:rsidRPr="005B0F23">
      <w:tab/>
      <w:t>Chapter 4</w:t>
    </w:r>
    <w:r w:rsidRPr="005B0F23">
      <w:tab/>
      <w:t>2016-17 Financial Report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03431C">
    <w:pPr>
      <w:pStyle w:val="Footerodd"/>
    </w:pPr>
    <w:r w:rsidRPr="005B0F23">
      <w:t>2016-17 Financial Report</w:t>
    </w:r>
    <w:r w:rsidRPr="005B0F23">
      <w:tab/>
      <w:t>Chapter 4</w:t>
    </w:r>
    <w:r w:rsidRPr="005B0F23">
      <w:tab/>
    </w:r>
    <w:r w:rsidRPr="005B0F23">
      <w:fldChar w:fldCharType="begin"/>
    </w:r>
    <w:r w:rsidRPr="005B0F23">
      <w:instrText xml:space="preserve"> PAGE </w:instrText>
    </w:r>
    <w:r w:rsidRPr="005B0F23">
      <w:fldChar w:fldCharType="separate"/>
    </w:r>
    <w:r w:rsidR="00E73501">
      <w:rPr>
        <w:noProof/>
      </w:rPr>
      <w:t>145</w:t>
    </w:r>
    <w:r w:rsidRPr="005B0F23">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03431C">
    <w:pPr>
      <w:pStyle w:val="Footereven"/>
    </w:pPr>
    <w:r w:rsidRPr="005B0F23">
      <w:fldChar w:fldCharType="begin"/>
    </w:r>
    <w:r w:rsidRPr="005B0F23">
      <w:instrText xml:space="preserve"> PAGE </w:instrText>
    </w:r>
    <w:r w:rsidRPr="005B0F23">
      <w:fldChar w:fldCharType="separate"/>
    </w:r>
    <w:r w:rsidR="00E73501">
      <w:rPr>
        <w:noProof/>
      </w:rPr>
      <w:t>150</w:t>
    </w:r>
    <w:r w:rsidRPr="005B0F23">
      <w:fldChar w:fldCharType="end"/>
    </w:r>
    <w:r w:rsidRPr="005B0F23">
      <w:tab/>
      <w:t>Chapter 4</w:t>
    </w:r>
    <w:r w:rsidRPr="005B0F23">
      <w:tab/>
      <w:t>2016-17 Financial Report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03431C">
    <w:pPr>
      <w:pStyle w:val="Footerodd"/>
    </w:pPr>
    <w:r w:rsidRPr="005B0F23">
      <w:t>2016-17 Financial Report</w:t>
    </w:r>
    <w:r w:rsidRPr="005B0F23">
      <w:tab/>
      <w:t>Chapter 4</w:t>
    </w:r>
    <w:r w:rsidRPr="005B0F23">
      <w:tab/>
    </w:r>
    <w:r w:rsidRPr="005B0F23">
      <w:fldChar w:fldCharType="begin"/>
    </w:r>
    <w:r w:rsidRPr="005B0F23">
      <w:instrText xml:space="preserve"> PAGE </w:instrText>
    </w:r>
    <w:r w:rsidRPr="005B0F23">
      <w:fldChar w:fldCharType="separate"/>
    </w:r>
    <w:r w:rsidR="00E73501">
      <w:rPr>
        <w:noProof/>
      </w:rPr>
      <w:t>151</w:t>
    </w:r>
    <w:r w:rsidRPr="005B0F23">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AC68FF">
    <w:pPr>
      <w:pStyle w:val="Footereven"/>
    </w:pPr>
    <w:r w:rsidRPr="005B0F23">
      <w:fldChar w:fldCharType="begin"/>
    </w:r>
    <w:r w:rsidRPr="005B0F23">
      <w:instrText xml:space="preserve"> PAGE </w:instrText>
    </w:r>
    <w:r w:rsidRPr="005B0F23">
      <w:fldChar w:fldCharType="separate"/>
    </w:r>
    <w:r w:rsidR="00E73501">
      <w:rPr>
        <w:noProof/>
      </w:rPr>
      <w:t>152</w:t>
    </w:r>
    <w:r w:rsidRPr="005B0F23">
      <w:fldChar w:fldCharType="end"/>
    </w:r>
    <w:r w:rsidRPr="005B0F23">
      <w:tab/>
      <w:t>Chapter 4</w:t>
    </w:r>
    <w:r w:rsidRPr="005B0F23">
      <w:tab/>
      <w:t>2016-17 Financial Report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AC68FF">
    <w:pPr>
      <w:pStyle w:val="Footerodd"/>
    </w:pPr>
    <w:r w:rsidRPr="005B0F23">
      <w:t>2016-17 Financial Report</w:t>
    </w:r>
    <w:r w:rsidRPr="005B0F23">
      <w:tab/>
      <w:t>Chapter 4</w:t>
    </w:r>
    <w:r w:rsidRPr="005B0F23">
      <w:tab/>
    </w:r>
    <w:r w:rsidRPr="005B0F23">
      <w:fldChar w:fldCharType="begin"/>
    </w:r>
    <w:r w:rsidRPr="005B0F23">
      <w:instrText xml:space="preserve"> PAGE </w:instrText>
    </w:r>
    <w:r w:rsidRPr="005B0F23">
      <w:fldChar w:fldCharType="separate"/>
    </w:r>
    <w:r w:rsidR="00D705FE">
      <w:rPr>
        <w:noProof/>
      </w:rPr>
      <w:t>153</w:t>
    </w:r>
    <w:r w:rsidRPr="005B0F23">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D90086">
    <w:pPr>
      <w:pStyle w:val="Footereven"/>
    </w:pPr>
    <w:r w:rsidRPr="005B0F23">
      <w:fldChar w:fldCharType="begin"/>
    </w:r>
    <w:r w:rsidRPr="005B0F23">
      <w:instrText xml:space="preserve"> PAGE </w:instrText>
    </w:r>
    <w:r w:rsidRPr="005B0F23">
      <w:fldChar w:fldCharType="separate"/>
    </w:r>
    <w:r w:rsidR="00D705FE">
      <w:rPr>
        <w:noProof/>
      </w:rPr>
      <w:t>154</w:t>
    </w:r>
    <w:r w:rsidRPr="005B0F23">
      <w:fldChar w:fldCharType="end"/>
    </w:r>
    <w:r w:rsidRPr="005B0F23">
      <w:tab/>
      <w:t>Chapter 4</w:t>
    </w:r>
    <w:r w:rsidRPr="005B0F23">
      <w:tab/>
      <w:t>2016-17 Financial Report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8155D0">
    <w:pPr>
      <w:pStyle w:val="Footerodd"/>
    </w:pPr>
    <w:r w:rsidRPr="005B0F23">
      <w:t>2016-17 Financial Report</w:t>
    </w:r>
    <w:r w:rsidRPr="005B0F23">
      <w:tab/>
      <w:t>Chapter 5</w:t>
    </w:r>
    <w:r w:rsidRPr="005B0F23">
      <w:tab/>
    </w:r>
    <w:r w:rsidRPr="005B0F23">
      <w:fldChar w:fldCharType="begin"/>
    </w:r>
    <w:r w:rsidRPr="005B0F23">
      <w:instrText xml:space="preserve"> PAGE </w:instrText>
    </w:r>
    <w:r w:rsidRPr="005B0F23">
      <w:fldChar w:fldCharType="separate"/>
    </w:r>
    <w:r w:rsidR="00E73501">
      <w:rPr>
        <w:noProof/>
      </w:rPr>
      <w:t>155</w:t>
    </w:r>
    <w:r w:rsidRPr="005B0F23">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D90086">
    <w:pPr>
      <w:pStyle w:val="Footereven"/>
    </w:pPr>
    <w:r w:rsidRPr="005B0F23">
      <w:fldChar w:fldCharType="begin"/>
    </w:r>
    <w:r w:rsidRPr="005B0F23">
      <w:instrText xml:space="preserve"> PAGE </w:instrText>
    </w:r>
    <w:r w:rsidRPr="005B0F23">
      <w:fldChar w:fldCharType="separate"/>
    </w:r>
    <w:r w:rsidRPr="005B0F23">
      <w:t>4</w:t>
    </w:r>
    <w:r w:rsidRPr="005B0F23">
      <w:fldChar w:fldCharType="end"/>
    </w:r>
    <w:r w:rsidRPr="005B0F23">
      <w:tab/>
      <w:t>Chapter 2</w:t>
    </w:r>
    <w:r w:rsidRPr="005B0F23">
      <w:tab/>
      <w:t>2016-17 Financial Report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D90086">
    <w:pPr>
      <w:pStyle w:val="Footereven"/>
    </w:pPr>
    <w:r w:rsidRPr="005B0F23">
      <w:fldChar w:fldCharType="begin"/>
    </w:r>
    <w:r w:rsidRPr="005B0F23">
      <w:instrText xml:space="preserve"> PAGE </w:instrText>
    </w:r>
    <w:r w:rsidRPr="005B0F23">
      <w:fldChar w:fldCharType="separate"/>
    </w:r>
    <w:r w:rsidR="00E73501">
      <w:rPr>
        <w:noProof/>
      </w:rPr>
      <w:t>156</w:t>
    </w:r>
    <w:r w:rsidRPr="005B0F23">
      <w:fldChar w:fldCharType="end"/>
    </w:r>
    <w:r w:rsidRPr="005B0F23">
      <w:tab/>
      <w:t>Chapter 5</w:t>
    </w:r>
    <w:r w:rsidRPr="005B0F23">
      <w:tab/>
      <w:t>2016-17 Financial Report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AC68FF">
    <w:r w:rsidRPr="005B0F23">
      <w:rPr>
        <w:noProof/>
        <w:lang w:eastAsia="en-AU"/>
      </w:rPr>
      <mc:AlternateContent>
        <mc:Choice Requires="wps">
          <w:drawing>
            <wp:anchor distT="0" distB="0" distL="114300" distR="114300" simplePos="0" relativeHeight="251668480" behindDoc="0" locked="0" layoutInCell="1" allowOverlap="1" wp14:anchorId="089C0997" wp14:editId="65289163">
              <wp:simplePos x="0" y="0"/>
              <wp:positionH relativeFrom="column">
                <wp:posOffset>-504045</wp:posOffset>
              </wp:positionH>
              <wp:positionV relativeFrom="paragraph">
                <wp:posOffset>-6294565</wp:posOffset>
              </wp:positionV>
              <wp:extent cx="396000" cy="6192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Pr="00D90086" w:rsidRDefault="00B82AEA" w:rsidP="00AC68FF">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D705FE">
                            <w:rPr>
                              <w:rStyle w:val="PageNumber"/>
                              <w:rFonts w:asciiTheme="majorHAnsi" w:hAnsiTheme="majorHAnsi"/>
                              <w:noProof/>
                            </w:rPr>
                            <w:t>158</w:t>
                          </w:r>
                          <w:r w:rsidRPr="00D90086">
                            <w:rPr>
                              <w:rStyle w:val="PageNumber"/>
                              <w:rFonts w:asciiTheme="majorHAnsi" w:hAnsiTheme="majorHAnsi"/>
                            </w:rPr>
                            <w:fldChar w:fldCharType="end"/>
                          </w:r>
                          <w:r w:rsidRPr="00D90086">
                            <w:tab/>
                          </w:r>
                          <w:r>
                            <w:t>Chapter 5</w:t>
                          </w:r>
                          <w:r w:rsidRPr="00D90086">
                            <w:tab/>
                          </w:r>
                          <w:r>
                            <w:rPr>
                              <w:rStyle w:val="PageNumber"/>
                              <w:rFonts w:asciiTheme="majorHAnsi" w:hAnsiTheme="majorHAnsi"/>
                            </w:rPr>
                            <w:t>Annual Financial Report</w:t>
                          </w:r>
                          <w:r w:rsidRPr="00D90086">
                            <w:t xml:space="preserve"> </w:t>
                          </w:r>
                        </w:p>
                        <w:p w:rsidR="00B82AEA" w:rsidRDefault="00B82AEA" w:rsidP="00AC68FF">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57" type="#_x0000_t202" style="position:absolute;margin-left:-39.7pt;margin-top:-495.65pt;width:31.2pt;height:487.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" filled="f" stroked="f" strokeweight=".5pt">
              <v:textbox style="layout-flow:vertical">
                <w:txbxContent>
                  <w:p w:rsidR="00B82AEA" w:rsidRPr="00D90086" w:rsidRDefault="00B82AEA" w:rsidP="00AC68FF">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D705FE">
                      <w:rPr>
                        <w:rStyle w:val="PageNumber"/>
                        <w:rFonts w:asciiTheme="majorHAnsi" w:hAnsiTheme="majorHAnsi"/>
                        <w:noProof/>
                      </w:rPr>
                      <w:t>158</w:t>
                    </w:r>
                    <w:r w:rsidRPr="00D90086">
                      <w:rPr>
                        <w:rStyle w:val="PageNumber"/>
                        <w:rFonts w:asciiTheme="majorHAnsi" w:hAnsiTheme="majorHAnsi"/>
                      </w:rPr>
                      <w:fldChar w:fldCharType="end"/>
                    </w:r>
                    <w:r w:rsidRPr="00D90086">
                      <w:tab/>
                    </w:r>
                    <w:r>
                      <w:t>Chapter 5</w:t>
                    </w:r>
                    <w:r w:rsidRPr="00D90086">
                      <w:tab/>
                    </w:r>
                    <w:r>
                      <w:rPr>
                        <w:rStyle w:val="PageNumber"/>
                        <w:rFonts w:asciiTheme="majorHAnsi" w:hAnsiTheme="majorHAnsi"/>
                      </w:rPr>
                      <w:t>Annual Financial Report</w:t>
                    </w:r>
                    <w:r w:rsidRPr="00D90086">
                      <w:t xml:space="preserve"> </w:t>
                    </w:r>
                  </w:p>
                  <w:p w:rsidR="00B82AEA" w:rsidRDefault="00B82AEA" w:rsidP="00AC68FF">
                    <w:pPr>
                      <w:pStyle w:val="Footereven"/>
                    </w:pP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AC68FF">
    <w:r w:rsidRPr="005B0F23">
      <w:rPr>
        <w:noProof/>
        <w:lang w:eastAsia="en-AU"/>
      </w:rPr>
      <mc:AlternateContent>
        <mc:Choice Requires="wps">
          <w:drawing>
            <wp:anchor distT="0" distB="0" distL="114300" distR="114300" simplePos="0" relativeHeight="251667456" behindDoc="0" locked="0" layoutInCell="1" allowOverlap="1" wp14:anchorId="605E7142" wp14:editId="222BD934">
              <wp:simplePos x="0" y="0"/>
              <wp:positionH relativeFrom="column">
                <wp:posOffset>-504045</wp:posOffset>
              </wp:positionH>
              <wp:positionV relativeFrom="paragraph">
                <wp:posOffset>-6294565</wp:posOffset>
              </wp:positionV>
              <wp:extent cx="396000" cy="6228000"/>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Pr="00BA26F2" w:rsidRDefault="00B82AEA" w:rsidP="00AC68FF">
                          <w:pPr>
                            <w:pStyle w:val="Footerodd"/>
                          </w:pPr>
                          <w:r w:rsidRPr="00F5407C">
                            <w:rPr>
                              <w:rStyle w:val="PageNumber"/>
                              <w:rFonts w:asciiTheme="majorHAnsi" w:hAnsiTheme="majorHAnsi"/>
                            </w:rPr>
                            <w:t>2016-17 Financial Report</w:t>
                          </w:r>
                          <w:r w:rsidRPr="00BA26F2">
                            <w:tab/>
                          </w:r>
                          <w:r>
                            <w:t>Chapter 5</w:t>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E73501">
                            <w:rPr>
                              <w:rStyle w:val="PageNumber"/>
                              <w:rFonts w:asciiTheme="majorHAnsi" w:hAnsiTheme="majorHAnsi"/>
                              <w:noProof/>
                            </w:rPr>
                            <w:t>157</w:t>
                          </w:r>
                          <w:r w:rsidRPr="00BA26F2">
                            <w:rPr>
                              <w:rStyle w:val="PageNumber"/>
                              <w:rFonts w:asciiTheme="majorHAnsi" w:hAnsiTheme="majorHAnsi"/>
                            </w:rPr>
                            <w:fldChar w:fldCharType="end"/>
                          </w:r>
                        </w:p>
                        <w:p w:rsidR="00B82AEA" w:rsidRDefault="00B82AEA" w:rsidP="00AC68FF">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58" type="#_x0000_t202" style="position:absolute;margin-left:-39.7pt;margin-top:-495.65pt;width:31.2pt;height:49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" filled="f" stroked="f" strokeweight=".5pt">
              <v:textbox style="layout-flow:vertical">
                <w:txbxContent>
                  <w:p w:rsidR="00B82AEA" w:rsidRPr="00BA26F2" w:rsidRDefault="00B82AEA" w:rsidP="00AC68FF">
                    <w:pPr>
                      <w:pStyle w:val="Footerodd"/>
                    </w:pPr>
                    <w:r w:rsidRPr="00F5407C">
                      <w:rPr>
                        <w:rStyle w:val="PageNumber"/>
                        <w:rFonts w:asciiTheme="majorHAnsi" w:hAnsiTheme="majorHAnsi"/>
                      </w:rPr>
                      <w:t>2016-17 Financial Report</w:t>
                    </w:r>
                    <w:r w:rsidRPr="00BA26F2">
                      <w:tab/>
                    </w:r>
                    <w:r>
                      <w:t>Chapter 5</w:t>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E73501">
                      <w:rPr>
                        <w:rStyle w:val="PageNumber"/>
                        <w:rFonts w:asciiTheme="majorHAnsi" w:hAnsiTheme="majorHAnsi"/>
                        <w:noProof/>
                      </w:rPr>
                      <w:t>157</w:t>
                    </w:r>
                    <w:r w:rsidRPr="00BA26F2">
                      <w:rPr>
                        <w:rStyle w:val="PageNumber"/>
                        <w:rFonts w:asciiTheme="majorHAnsi" w:hAnsiTheme="majorHAnsi"/>
                      </w:rPr>
                      <w:fldChar w:fldCharType="end"/>
                    </w:r>
                  </w:p>
                  <w:p w:rsidR="00B82AEA" w:rsidRDefault="00B82AEA" w:rsidP="00AC68FF">
                    <w:pPr>
                      <w:pStyle w:val="Footerodd"/>
                    </w:pP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D90086">
    <w:pPr>
      <w:pStyle w:val="Footereven"/>
    </w:pPr>
    <w:r w:rsidRPr="005B0F23">
      <w:fldChar w:fldCharType="begin"/>
    </w:r>
    <w:r w:rsidRPr="005B0F23">
      <w:instrText xml:space="preserve"> PAGE </w:instrText>
    </w:r>
    <w:r w:rsidRPr="005B0F23">
      <w:fldChar w:fldCharType="separate"/>
    </w:r>
    <w:r w:rsidR="00E73501">
      <w:rPr>
        <w:noProof/>
      </w:rPr>
      <w:t>162</w:t>
    </w:r>
    <w:r w:rsidRPr="005B0F23">
      <w:fldChar w:fldCharType="end"/>
    </w:r>
    <w:r w:rsidRPr="005B0F23">
      <w:tab/>
      <w:t>Chapter 5</w:t>
    </w:r>
    <w:r w:rsidRPr="005B0F23">
      <w:tab/>
      <w:t>2016-17 Financial Report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8155D0">
    <w:pPr>
      <w:pStyle w:val="Footerodd"/>
    </w:pPr>
    <w:r w:rsidRPr="005B0F23">
      <w:t>2016-17 Financial Report</w:t>
    </w:r>
    <w:r w:rsidRPr="005B0F23">
      <w:tab/>
      <w:t>Chapter 5</w:t>
    </w:r>
    <w:r w:rsidRPr="005B0F23">
      <w:tab/>
    </w:r>
    <w:r w:rsidRPr="005B0F23">
      <w:fldChar w:fldCharType="begin"/>
    </w:r>
    <w:r w:rsidRPr="005B0F23">
      <w:instrText xml:space="preserve"> PAGE </w:instrText>
    </w:r>
    <w:r w:rsidRPr="005B0F23">
      <w:fldChar w:fldCharType="separate"/>
    </w:r>
    <w:r w:rsidR="00E73501">
      <w:rPr>
        <w:noProof/>
      </w:rPr>
      <w:t>161</w:t>
    </w:r>
    <w:r w:rsidRPr="005B0F23">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A46F1A">
    <w:pPr>
      <w:pStyle w:val="Footereven"/>
    </w:pPr>
    <w:r w:rsidRPr="005B0F23">
      <w:fldChar w:fldCharType="begin"/>
    </w:r>
    <w:r w:rsidRPr="005B0F23">
      <w:instrText xml:space="preserve"> PAGE </w:instrText>
    </w:r>
    <w:r w:rsidRPr="005B0F23">
      <w:fldChar w:fldCharType="separate"/>
    </w:r>
    <w:r w:rsidR="00E73501">
      <w:rPr>
        <w:noProof/>
      </w:rPr>
      <w:t>166</w:t>
    </w:r>
    <w:r w:rsidRPr="005B0F23">
      <w:fldChar w:fldCharType="end"/>
    </w:r>
    <w:r w:rsidRPr="005B0F23">
      <w:tab/>
      <w:t>Appendix A</w:t>
    </w:r>
    <w:r w:rsidRPr="005B0F23">
      <w:tab/>
      <w:t>2016-17 Financial Report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8155D0">
    <w:pPr>
      <w:pStyle w:val="Footerodd"/>
    </w:pPr>
    <w:r w:rsidRPr="005B0F23">
      <w:t>2016-17 Financial Report</w:t>
    </w:r>
    <w:r w:rsidRPr="005B0F23">
      <w:tab/>
    </w:r>
    <w:r>
      <w:t>Appendix A</w:t>
    </w:r>
    <w:r w:rsidRPr="005B0F23">
      <w:tab/>
    </w:r>
    <w:r w:rsidRPr="005B0F23">
      <w:fldChar w:fldCharType="begin"/>
    </w:r>
    <w:r w:rsidRPr="005B0F23">
      <w:instrText xml:space="preserve"> PAGE </w:instrText>
    </w:r>
    <w:r w:rsidRPr="005B0F23">
      <w:fldChar w:fldCharType="separate"/>
    </w:r>
    <w:r w:rsidR="00E73501">
      <w:rPr>
        <w:noProof/>
      </w:rPr>
      <w:t>163</w:t>
    </w:r>
    <w:r w:rsidRPr="005B0F23">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ED1ABD">
    <w:pPr>
      <w:pStyle w:val="Footereven"/>
      <w:pBdr>
        <w:top w:val="single" w:sz="6" w:space="5" w:color="auto"/>
      </w:pBdr>
    </w:pPr>
    <w:r w:rsidRPr="005B0F23">
      <w:fldChar w:fldCharType="begin"/>
    </w:r>
    <w:r w:rsidRPr="005B0F23">
      <w:instrText xml:space="preserve"> PAGE </w:instrText>
    </w:r>
    <w:r w:rsidRPr="005B0F23">
      <w:fldChar w:fldCharType="separate"/>
    </w:r>
    <w:r w:rsidR="00D705FE">
      <w:rPr>
        <w:noProof/>
      </w:rPr>
      <w:t>168</w:t>
    </w:r>
    <w:r w:rsidRPr="005B0F23">
      <w:fldChar w:fldCharType="end"/>
    </w:r>
    <w:r w:rsidRPr="005B0F23">
      <w:tab/>
      <w:t>Appendix B</w:t>
    </w:r>
    <w:r w:rsidRPr="005B0F23">
      <w:tab/>
      <w:t xml:space="preserve">Annual Financial Report </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8155D0">
    <w:pPr>
      <w:pStyle w:val="Footerodd"/>
    </w:pPr>
    <w:r w:rsidRPr="005B0F23">
      <w:t>2016-17 Financial Report</w:t>
    </w:r>
    <w:r w:rsidRPr="005B0F23">
      <w:tab/>
      <w:t>Appendix B</w:t>
    </w:r>
    <w:r w:rsidRPr="005B0F23">
      <w:tab/>
    </w:r>
    <w:r w:rsidRPr="005B0F23">
      <w:fldChar w:fldCharType="begin"/>
    </w:r>
    <w:r w:rsidRPr="005B0F23">
      <w:instrText xml:space="preserve"> PAGE </w:instrText>
    </w:r>
    <w:r w:rsidRPr="005B0F23">
      <w:fldChar w:fldCharType="separate"/>
    </w:r>
    <w:r w:rsidR="00E73501">
      <w:rPr>
        <w:noProof/>
      </w:rPr>
      <w:t>167</w:t>
    </w:r>
    <w:r w:rsidRPr="005B0F23">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AC68FF">
    <w:pPr>
      <w:pStyle w:val="Footerodd"/>
    </w:pPr>
    <w:r w:rsidRPr="005B0F23">
      <w:t>2016-17 Financial Report</w:t>
    </w:r>
    <w:r w:rsidRPr="005B0F23">
      <w:tab/>
      <w:t>Chapter 2</w:t>
    </w:r>
    <w:r w:rsidRPr="005B0F23">
      <w:tab/>
    </w:r>
    <w:r w:rsidRPr="005B0F23">
      <w:fldChar w:fldCharType="begin"/>
    </w:r>
    <w:r w:rsidRPr="005B0F23">
      <w:instrText xml:space="preserve"> PAGE </w:instrText>
    </w:r>
    <w:r w:rsidRPr="005B0F23">
      <w:fldChar w:fldCharType="separate"/>
    </w:r>
    <w:r w:rsidR="00E73501">
      <w:rPr>
        <w:noProof/>
      </w:rPr>
      <w:t>11</w:t>
    </w:r>
    <w:r w:rsidRPr="005B0F23">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D90086">
    <w:pPr>
      <w:pStyle w:val="Footereven"/>
    </w:pPr>
    <w:r w:rsidRPr="005B0F23">
      <w:fldChar w:fldCharType="begin"/>
    </w:r>
    <w:r w:rsidRPr="005B0F23">
      <w:instrText xml:space="preserve"> PAGE </w:instrText>
    </w:r>
    <w:r w:rsidRPr="005B0F23">
      <w:fldChar w:fldCharType="separate"/>
    </w:r>
    <w:r w:rsidR="00E73501">
      <w:rPr>
        <w:noProof/>
      </w:rPr>
      <w:t>170</w:t>
    </w:r>
    <w:r w:rsidRPr="005B0F23">
      <w:fldChar w:fldCharType="end"/>
    </w:r>
    <w:r w:rsidRPr="005B0F23">
      <w:tab/>
      <w:t>Appendix B</w:t>
    </w:r>
    <w:r w:rsidRPr="005B0F23">
      <w:tab/>
      <w:t>2016-17 Financial Report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8155D0">
    <w:pPr>
      <w:pStyle w:val="Footerodd"/>
    </w:pPr>
    <w:r w:rsidRPr="005B0F23">
      <w:t>2016-17 Financial Report</w:t>
    </w:r>
    <w:r w:rsidRPr="005B0F23">
      <w:tab/>
      <w:t>Appendix B</w:t>
    </w:r>
    <w:r w:rsidRPr="005B0F23">
      <w:tab/>
    </w:r>
    <w:r w:rsidRPr="005B0F23">
      <w:fldChar w:fldCharType="begin"/>
    </w:r>
    <w:r w:rsidRPr="005B0F23">
      <w:instrText xml:space="preserve"> PAGE </w:instrText>
    </w:r>
    <w:r w:rsidRPr="005B0F23">
      <w:fldChar w:fldCharType="separate"/>
    </w:r>
    <w:r w:rsidR="00E73501">
      <w:rPr>
        <w:noProof/>
      </w:rPr>
      <w:t>169</w:t>
    </w:r>
    <w:r w:rsidRPr="005B0F23">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D90086">
    <w:pPr>
      <w:pStyle w:val="Footereven"/>
    </w:pPr>
    <w:r w:rsidRPr="005B0F23">
      <w:fldChar w:fldCharType="begin"/>
    </w:r>
    <w:r w:rsidRPr="005B0F23">
      <w:instrText xml:space="preserve"> PAGE </w:instrText>
    </w:r>
    <w:r w:rsidRPr="005B0F23">
      <w:fldChar w:fldCharType="separate"/>
    </w:r>
    <w:r w:rsidR="00111AEE">
      <w:rPr>
        <w:noProof/>
      </w:rPr>
      <w:t>172</w:t>
    </w:r>
    <w:r w:rsidRPr="005B0F23">
      <w:fldChar w:fldCharType="end"/>
    </w:r>
    <w:r w:rsidRPr="005B0F23">
      <w:tab/>
      <w:t>Appendix B</w:t>
    </w:r>
    <w:r w:rsidRPr="005B0F23">
      <w:tab/>
      <w:t>2016-17 Financial Report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8155D0">
    <w:pPr>
      <w:pStyle w:val="Footerodd"/>
    </w:pPr>
    <w:r w:rsidRPr="005B0F23">
      <w:t>2016-17 Financial Report</w:t>
    </w:r>
    <w:r w:rsidRPr="005B0F23">
      <w:tab/>
      <w:t>Style conventions</w:t>
    </w:r>
    <w:r w:rsidRPr="005B0F23">
      <w:tab/>
    </w:r>
    <w:r w:rsidRPr="005B0F23">
      <w:fldChar w:fldCharType="begin"/>
    </w:r>
    <w:r w:rsidRPr="005B0F23">
      <w:instrText xml:space="preserve"> PAGE </w:instrText>
    </w:r>
    <w:r w:rsidRPr="005B0F23">
      <w:fldChar w:fldCharType="separate"/>
    </w:r>
    <w:r w:rsidR="00E73501">
      <w:rPr>
        <w:noProof/>
      </w:rPr>
      <w:t>171</w:t>
    </w:r>
    <w:r w:rsidRPr="005B0F23">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D90086">
    <w:pPr>
      <w:pStyle w:val="Footereven"/>
    </w:pPr>
    <w:r w:rsidRPr="005B0F23">
      <w:fldChar w:fldCharType="begin"/>
    </w:r>
    <w:r w:rsidRPr="005B0F23">
      <w:instrText xml:space="preserve"> PAGE </w:instrText>
    </w:r>
    <w:r w:rsidRPr="005B0F23">
      <w:fldChar w:fldCharType="separate"/>
    </w:r>
    <w:r w:rsidRPr="005B0F23">
      <w:t>2</w:t>
    </w:r>
    <w:r w:rsidRPr="005B0F23">
      <w:fldChar w:fldCharType="end"/>
    </w:r>
    <w:r w:rsidRPr="005B0F23">
      <w:tab/>
      <w:t>Appendix C</w:t>
    </w:r>
    <w:r w:rsidRPr="005B0F23">
      <w:tab/>
      <w:t>2016-17 Financial Report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8155D0">
    <w:pPr>
      <w:pStyle w:val="Footerodd"/>
    </w:pPr>
    <w:r w:rsidRPr="005B0F23">
      <w:t>2016-17 Financial Report</w:t>
    </w:r>
    <w:r w:rsidRPr="005B0F23">
      <w:tab/>
      <w:t>Appendix C</w:t>
    </w:r>
    <w:r w:rsidRPr="005B0F23">
      <w:tab/>
    </w:r>
    <w:r w:rsidRPr="005B0F23">
      <w:fldChar w:fldCharType="begin"/>
    </w:r>
    <w:r w:rsidRPr="005B0F23">
      <w:instrText xml:space="preserve"> PAGE </w:instrText>
    </w:r>
    <w:r w:rsidRPr="005B0F23">
      <w:fldChar w:fldCharType="separate"/>
    </w:r>
    <w:r w:rsidRPr="005B0F23">
      <w:t>1</w:t>
    </w:r>
    <w:r w:rsidRPr="005B0F23">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AC68FF">
    <w:pPr>
      <w:pStyle w:val="Footereven"/>
    </w:pPr>
    <w:r w:rsidRPr="005B0F23">
      <w:fldChar w:fldCharType="begin"/>
    </w:r>
    <w:r w:rsidRPr="005B0F23">
      <w:instrText xml:space="preserve"> PAGE </w:instrText>
    </w:r>
    <w:r w:rsidRPr="005B0F23">
      <w:fldChar w:fldCharType="separate"/>
    </w:r>
    <w:r w:rsidR="00E73501">
      <w:rPr>
        <w:noProof/>
      </w:rPr>
      <w:t>10</w:t>
    </w:r>
    <w:r w:rsidRPr="005B0F23">
      <w:fldChar w:fldCharType="end"/>
    </w:r>
    <w:r w:rsidRPr="005B0F23">
      <w:tab/>
      <w:t>Chapter 2</w:t>
    </w:r>
    <w:r w:rsidRPr="005B0F23">
      <w:tab/>
      <w:t>2016-17 Financial Report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B0F23" w:rsidRDefault="00B82AEA" w:rsidP="00AC68FF">
    <w:pPr>
      <w:pStyle w:val="Footereven"/>
      <w:tabs>
        <w:tab w:val="clear" w:pos="4536"/>
        <w:tab w:val="center" w:pos="4554"/>
      </w:tabs>
    </w:pPr>
    <w:r w:rsidRPr="005B0F23">
      <w:fldChar w:fldCharType="begin"/>
    </w:r>
    <w:r w:rsidRPr="005B0F23">
      <w:instrText xml:space="preserve"> PAGE  \* Arabic  \* MERGEFORMAT </w:instrText>
    </w:r>
    <w:r w:rsidRPr="005B0F23">
      <w:fldChar w:fldCharType="separate"/>
    </w:r>
    <w:r>
      <w:rPr>
        <w:noProof/>
      </w:rPr>
      <w:t>12</w:t>
    </w:r>
    <w:r w:rsidRPr="005B0F23">
      <w:fldChar w:fldCharType="end"/>
    </w:r>
    <w:r w:rsidRPr="005B0F23">
      <w:tab/>
      <w:t>Chapter 2</w:t>
    </w:r>
    <w:r w:rsidRPr="005B0F23">
      <w:tab/>
    </w:r>
    <w:r w:rsidRPr="005B0F23">
      <w:tab/>
      <w:t>2016-17 Financial 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AEA" w:rsidRDefault="00B82AEA">
      <w:pPr>
        <w:spacing w:before="0"/>
      </w:pPr>
      <w:r>
        <w:separator/>
      </w:r>
    </w:p>
  </w:footnote>
  <w:footnote w:type="continuationSeparator" w:id="0">
    <w:p w:rsidR="00B82AEA" w:rsidRDefault="00B82AE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DB2D01" w:rsidP="00DB2D01">
    <w:pPr>
      <w:pStyle w:val="Header"/>
    </w:pPr>
    <w:r w:rsidRPr="004C1FBB">
      <w:t>PRIMARY FINANCIAL STATEMENTS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rsidP="00AC68FF">
    <w:pPr>
      <w:pStyle w:val="Header"/>
      <w:jc w:val="right"/>
    </w:pPr>
    <w:r w:rsidRPr="004C1FBB">
      <w:t>PRIMARY FINANCIAL STATEMENTS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pPr>
      <w:pStyle w:val="Header"/>
    </w:pPr>
    <w:r>
      <w:fldChar w:fldCharType="begin"/>
    </w:r>
    <w:r>
      <w:instrText xml:space="preserve"> STYLEREF  "Heading 1 (#)" \w  \* MERGEFORMAT </w:instrText>
    </w:r>
    <w:r>
      <w:fldChar w:fldCharType="separate"/>
    </w:r>
    <w:r w:rsidR="002C7F26">
      <w:rPr>
        <w:noProof/>
      </w:rPr>
      <w:t>1</w:t>
    </w:r>
    <w:r>
      <w:rPr>
        <w:noProof/>
      </w:rPr>
      <w:fldChar w:fldCharType="end"/>
    </w:r>
    <w:r w:rsidR="00B82AEA">
      <w:t xml:space="preserve">. </w:t>
    </w:r>
    <w:r>
      <w:fldChar w:fldCharType="begin"/>
    </w:r>
    <w:r>
      <w:instrText xml:space="preserve"> STYLEREF  "Heading 1 (#)"  \* MERGEFORMAT </w:instrText>
    </w:r>
    <w:r>
      <w:fldChar w:fldCharType="separate"/>
    </w:r>
    <w:r w:rsidR="002C7F26">
      <w:rPr>
        <w:noProof/>
      </w:rPr>
      <w:t>About this report</w:t>
    </w:r>
    <w:r>
      <w:rPr>
        <w:noProof/>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A11C34" w:rsidRDefault="00B82AEA" w:rsidP="00AC68FF">
    <w:pPr>
      <w:pStyle w:val="Header"/>
    </w:pPr>
    <w:r>
      <w:rPr>
        <w:noProof/>
        <w:lang w:eastAsia="en-AU"/>
      </w:rPr>
      <mc:AlternateContent>
        <mc:Choice Requires="wps">
          <w:drawing>
            <wp:anchor distT="0" distB="0" distL="114300" distR="114300" simplePos="0" relativeHeight="251663360" behindDoc="0" locked="0" layoutInCell="1" allowOverlap="1" wp14:anchorId="0AA2FEF3" wp14:editId="2A1B5E96">
              <wp:simplePos x="0" y="0"/>
              <wp:positionH relativeFrom="column">
                <wp:posOffset>9271000</wp:posOffset>
              </wp:positionH>
              <wp:positionV relativeFrom="paragraph">
                <wp:posOffset>299085</wp:posOffset>
              </wp:positionV>
              <wp:extent cx="396000" cy="6192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Default="00B82AEA" w:rsidP="00E31D88">
                          <w:pPr>
                            <w:pStyle w:val="Header"/>
                            <w:jc w:val="right"/>
                          </w:pPr>
                          <w:r>
                            <w:t>PRIMARY FINANCIAL STATEMENTS</w:t>
                          </w:r>
                        </w:p>
                        <w:p w:rsidR="00B82AEA" w:rsidRDefault="00B82AEA" w:rsidP="00E31D88">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30pt;margin-top:23.55pt;width:31.2pt;height:48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" filled="f" stroked="f" strokeweight=".5pt">
              <v:textbox style="layout-flow:vertical">
                <w:txbxContent>
                  <w:p w:rsidR="00B82AEA" w:rsidRDefault="00B82AEA" w:rsidP="00E31D88">
                    <w:pPr>
                      <w:pStyle w:val="Header"/>
                      <w:jc w:val="right"/>
                    </w:pPr>
                    <w:r>
                      <w:t>PRIMARY FINANCIAL STATEMENTS</w:t>
                    </w:r>
                  </w:p>
                  <w:p w:rsidR="00B82AEA" w:rsidRDefault="00B82AEA" w:rsidP="00E31D88">
                    <w:pPr>
                      <w:pStyle w:val="Header"/>
                      <w:jc w:val="right"/>
                    </w:pP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A22419" w:rsidRDefault="00E73501" w:rsidP="00974C9B">
    <w:pPr>
      <w:pStyle w:val="Header"/>
      <w:jc w:val="right"/>
    </w:pPr>
    <w:r>
      <w:fldChar w:fldCharType="begin"/>
    </w:r>
    <w:r>
      <w:instrText xml:space="preserve"> STYLEREF  "Heading 1 (#)" \w  \* MERGEFORMAT </w:instrText>
    </w:r>
    <w:r>
      <w:fldChar w:fldCharType="separate"/>
    </w:r>
    <w:r w:rsidR="002C7F26">
      <w:rPr>
        <w:noProof/>
      </w:rPr>
      <w:t>1</w:t>
    </w:r>
    <w:r>
      <w:rPr>
        <w:noProof/>
      </w:rPr>
      <w:fldChar w:fldCharType="end"/>
    </w:r>
    <w:r w:rsidR="00B82AEA">
      <w:t xml:space="preserve">. </w:t>
    </w:r>
    <w:r>
      <w:fldChar w:fldCharType="begin"/>
    </w:r>
    <w:r>
      <w:instrText xml:space="preserve"> STYLEREF  "Heading 1 (#)"  \* MERGEFORMAT </w:instrText>
    </w:r>
    <w:r>
      <w:fldChar w:fldCharType="separate"/>
    </w:r>
    <w:r w:rsidR="002C7F26">
      <w:rPr>
        <w:noProof/>
      </w:rPr>
      <w:t>About this report</w:t>
    </w:r>
    <w:r>
      <w:rPr>
        <w:noProof/>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A22419" w:rsidRDefault="00E73501" w:rsidP="00974C9B">
    <w:pPr>
      <w:pStyle w:val="Header"/>
      <w:jc w:val="right"/>
    </w:pPr>
    <w:r>
      <w:fldChar w:fldCharType="begin"/>
    </w:r>
    <w:r>
      <w:instrText xml:space="preserve"> STYLEREF  "Heading 1 (#)" \w  \* MERGEFORMAT </w:instrText>
    </w:r>
    <w:r>
      <w:fldChar w:fldCharType="separate"/>
    </w:r>
    <w:r>
      <w:rPr>
        <w:noProof/>
      </w:rPr>
      <w:t>2</w:t>
    </w:r>
    <w:r>
      <w:rPr>
        <w:noProof/>
      </w:rPr>
      <w:fldChar w:fldCharType="end"/>
    </w:r>
    <w:r w:rsidR="00B82AEA">
      <w:t xml:space="preserve">. </w:t>
    </w:r>
    <w:r>
      <w:fldChar w:fldCharType="begin"/>
    </w:r>
    <w:r>
      <w:instrText xml:space="preserve"> STYLEREF  "Heading 1 (#)"  \* MERGEFORMAT </w:instrText>
    </w:r>
    <w:r>
      <w:fldChar w:fldCharType="separate"/>
    </w:r>
    <w:r>
      <w:rPr>
        <w:noProof/>
      </w:rPr>
      <w:t>How funds are raised</w:t>
    </w:r>
    <w:r>
      <w:rPr>
        <w:noProof/>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A22419" w:rsidRDefault="00B82AEA" w:rsidP="00A2241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pPr>
      <w:pStyle w:val="Header"/>
    </w:pPr>
    <w:r>
      <w:fldChar w:fldCharType="begin"/>
    </w:r>
    <w:r>
      <w:instrText xml:space="preserve"> STYLEREF  "Heading 1 (#)" \w  \* MERGEFORMAT </w:instrText>
    </w:r>
    <w:r>
      <w:fldChar w:fldCharType="separate"/>
    </w:r>
    <w:r w:rsidR="002C7F26">
      <w:rPr>
        <w:noProof/>
      </w:rPr>
      <w:t>2</w:t>
    </w:r>
    <w:r>
      <w:rPr>
        <w:noProof/>
      </w:rPr>
      <w:fldChar w:fldCharType="end"/>
    </w:r>
    <w:r w:rsidR="00B82AEA">
      <w:t xml:space="preserve">. </w:t>
    </w:r>
    <w:r>
      <w:fldChar w:fldCharType="begin"/>
    </w:r>
    <w:r>
      <w:instrText xml:space="preserve"> STYLEREF  "Heading 1 (#)"  \* MERGEFO</w:instrText>
    </w:r>
    <w:r>
      <w:instrText xml:space="preserve">RMAT </w:instrText>
    </w:r>
    <w:r>
      <w:fldChar w:fldCharType="separate"/>
    </w:r>
    <w:r w:rsidR="002C7F26">
      <w:rPr>
        <w:noProof/>
      </w:rPr>
      <w:t>How funds are raised</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pPr>
      <w:pStyle w:val="Header"/>
    </w:pPr>
    <w:r>
      <w:fldChar w:fldCharType="begin"/>
    </w:r>
    <w:r>
      <w:instrText xml:space="preserve"> STYLEREF  "Heading 1 (#)" \w  \* MERGEFORMAT </w:instrText>
    </w:r>
    <w:r>
      <w:fldChar w:fldCharType="separate"/>
    </w:r>
    <w:r>
      <w:rPr>
        <w:noProof/>
      </w:rPr>
      <w:t>4</w:t>
    </w:r>
    <w:r>
      <w:rPr>
        <w:noProof/>
      </w:rPr>
      <w:fldChar w:fldCharType="end"/>
    </w:r>
    <w:r w:rsidR="00B82AEA">
      <w:t xml:space="preserve">. </w:t>
    </w:r>
    <w:r>
      <w:fldChar w:fldCharType="begin"/>
    </w:r>
    <w:r>
      <w:instrText xml:space="preserve"> STYLEREF  "Heading 1 (#)"  \* MERGEFORMAT </w:instrText>
    </w:r>
    <w:r>
      <w:fldChar w:fldCharType="separate"/>
    </w:r>
    <w:r>
      <w:rPr>
        <w:noProof/>
      </w:rPr>
      <w:t>Major assets and investments</w:t>
    </w:r>
    <w:r>
      <w:rPr>
        <w:noProof/>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A1C" w:rsidRPr="00A22419" w:rsidRDefault="00263A1C" w:rsidP="00974C9B">
    <w:pPr>
      <w:pStyle w:val="Heade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rsidP="00AC68FF">
    <w:pPr>
      <w:pStyle w:val="Header"/>
      <w:jc w:val="right"/>
    </w:pPr>
    <w:r>
      <w:fldChar w:fldCharType="begin"/>
    </w:r>
    <w:r>
      <w:instrText xml:space="preserve"> STYLEREF  "Heading 1 (#)" \w  \* MERGEFORMAT </w:instrText>
    </w:r>
    <w:r>
      <w:fldChar w:fldCharType="separate"/>
    </w:r>
    <w:r w:rsidR="002C7F26">
      <w:rPr>
        <w:noProof/>
      </w:rPr>
      <w:t>3</w:t>
    </w:r>
    <w:r>
      <w:rPr>
        <w:noProof/>
      </w:rPr>
      <w:fldChar w:fldCharType="end"/>
    </w:r>
    <w:r w:rsidR="00B82AEA">
      <w:t xml:space="preserve">. </w:t>
    </w:r>
    <w:r>
      <w:fldChar w:fldCharType="begin"/>
    </w:r>
    <w:r>
      <w:instrText xml:space="preserve"> STYLEREF  "Heading 1 (#)"  \* MERGEFORMAT </w:instrText>
    </w:r>
    <w:r>
      <w:fldChar w:fldCharType="separate"/>
    </w:r>
    <w:r w:rsidR="002C7F26">
      <w:rPr>
        <w:noProof/>
      </w:rPr>
      <w:t>How funds are spent</w:t>
    </w:r>
    <w:r>
      <w:rPr>
        <w:noProof/>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rsidP="00AC68FF">
    <w:pPr>
      <w:pStyle w:val="Header"/>
      <w:jc w:val="right"/>
    </w:pPr>
    <w:r>
      <w:fldChar w:fldCharType="begin"/>
    </w:r>
    <w:r>
      <w:instrText xml:space="preserve"> STYLEREF  "Heading 1 (#)" \w  \* MERGEFORMAT </w:instrText>
    </w:r>
    <w:r>
      <w:fldChar w:fldCharType="separate"/>
    </w:r>
    <w:r>
      <w:rPr>
        <w:noProof/>
      </w:rPr>
      <w:t>3</w:t>
    </w:r>
    <w:r>
      <w:rPr>
        <w:noProof/>
      </w:rPr>
      <w:fldChar w:fldCharType="end"/>
    </w:r>
    <w:r w:rsidR="00B82AEA">
      <w:t xml:space="preserve">. </w:t>
    </w:r>
    <w:r>
      <w:fldChar w:fldCharType="begin"/>
    </w:r>
    <w:r>
      <w:instrText xml:space="preserve"> STYLEREF  "Heading 1 (#)"  \* MERGEFORMAT </w:instrText>
    </w:r>
    <w:r>
      <w:fldChar w:fldCharType="separate"/>
    </w:r>
    <w:r>
      <w:rPr>
        <w:noProof/>
      </w:rPr>
      <w:t>How funds are spent</w:t>
    </w:r>
    <w:r>
      <w:rPr>
        <w:noProof/>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A22419" w:rsidRDefault="00B82AEA" w:rsidP="00A2241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rsidP="00AC68FF">
    <w:pPr>
      <w:pStyle w:val="Header"/>
      <w:jc w:val="right"/>
    </w:pPr>
    <w:r>
      <w:fldChar w:fldCharType="begin"/>
    </w:r>
    <w:r>
      <w:instrText xml:space="preserve"> STYLEREF  "Heading 1 (#)" \w  \* MERGEFORMAT </w:instrText>
    </w:r>
    <w:r>
      <w:fldChar w:fldCharType="separate"/>
    </w:r>
    <w:r w:rsidR="002C7F26">
      <w:rPr>
        <w:noProof/>
      </w:rPr>
      <w:t>4</w:t>
    </w:r>
    <w:r>
      <w:rPr>
        <w:noProof/>
      </w:rPr>
      <w:fldChar w:fldCharType="end"/>
    </w:r>
    <w:r w:rsidR="00B82AEA">
      <w:t xml:space="preserve">. </w:t>
    </w:r>
    <w:r>
      <w:fldChar w:fldCharType="begin"/>
    </w:r>
    <w:r>
      <w:instrText xml:space="preserve"> STYLEREF  "Headin</w:instrText>
    </w:r>
    <w:r>
      <w:instrText xml:space="preserve">g 1 (#)"  \* MERGEFORMAT </w:instrText>
    </w:r>
    <w:r>
      <w:fldChar w:fldCharType="separate"/>
    </w:r>
    <w:r w:rsidR="002C7F26">
      <w:rPr>
        <w:noProof/>
      </w:rPr>
      <w:t>Major assets and investments</w:t>
    </w:r>
    <w:r>
      <w:rPr>
        <w:noProof/>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rsidP="00AC68FF">
    <w:pPr>
      <w:pStyle w:val="Header"/>
      <w:jc w:val="right"/>
    </w:pPr>
    <w:r>
      <w:fldChar w:fldCharType="begin"/>
    </w:r>
    <w:r>
      <w:instrText xml:space="preserve"> STYLEREF  "Heading 1 (#)" \w  \* MERGEFORMAT </w:instrText>
    </w:r>
    <w:r>
      <w:fldChar w:fldCharType="separate"/>
    </w:r>
    <w:r>
      <w:rPr>
        <w:noProof/>
      </w:rPr>
      <w:t>4</w:t>
    </w:r>
    <w:r>
      <w:rPr>
        <w:noProof/>
      </w:rPr>
      <w:fldChar w:fldCharType="end"/>
    </w:r>
    <w:r w:rsidR="00B82AEA">
      <w:t xml:space="preserve">. </w:t>
    </w:r>
    <w:r>
      <w:fldChar w:fldCharType="begin"/>
    </w:r>
    <w:r>
      <w:instrText xml:space="preserve"> STYLEREF  "Heading 1 (#)"  \* MERGEFORMAT </w:instrText>
    </w:r>
    <w:r>
      <w:fldChar w:fldCharType="separate"/>
    </w:r>
    <w:r>
      <w:rPr>
        <w:noProof/>
      </w:rPr>
      <w:t>Major assets and investments</w:t>
    </w:r>
    <w:r>
      <w:rPr>
        <w:noProof/>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rsidP="00840C7A">
    <w:r>
      <w:rPr>
        <w:noProof/>
        <w:lang w:eastAsia="en-AU"/>
      </w:rPr>
      <mc:AlternateContent>
        <mc:Choice Requires="wps">
          <w:drawing>
            <wp:anchor distT="0" distB="0" distL="114300" distR="114300" simplePos="0" relativeHeight="251705344" behindDoc="0" locked="0" layoutInCell="1" allowOverlap="1" wp14:anchorId="40970223" wp14:editId="7C39CB6F">
              <wp:simplePos x="0" y="0"/>
              <wp:positionH relativeFrom="column">
                <wp:posOffset>9271000</wp:posOffset>
              </wp:positionH>
              <wp:positionV relativeFrom="paragraph">
                <wp:posOffset>277495</wp:posOffset>
              </wp:positionV>
              <wp:extent cx="396000" cy="61920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Default="00E73501" w:rsidP="003E26A7">
                          <w:pPr>
                            <w:pStyle w:val="Header"/>
                          </w:pPr>
                          <w:r>
                            <w:fldChar w:fldCharType="begin"/>
                          </w:r>
                          <w:r>
                            <w:instrText xml:space="preserve"> STYLEREF  "Heading 1 (#)" \w  \* MERGEFORMAT </w:instrText>
                          </w:r>
                          <w:r>
                            <w:fldChar w:fldCharType="separate"/>
                          </w:r>
                          <w:r>
                            <w:rPr>
                              <w:noProof/>
                            </w:rPr>
                            <w:t>4</w:t>
                          </w:r>
                          <w:r>
                            <w:rPr>
                              <w:noProof/>
                            </w:rPr>
                            <w:fldChar w:fldCharType="end"/>
                          </w:r>
                          <w:r w:rsidR="00B82AEA">
                            <w:t xml:space="preserve">. </w:t>
                          </w:r>
                          <w:r>
                            <w:fldChar w:fldCharType="begin"/>
                          </w:r>
                          <w:r>
                            <w:instrText xml:space="preserve"> STYLEREF  "Heading 1 (#)"  \* MERGEFORMAT </w:instrText>
                          </w:r>
                          <w:r>
                            <w:fldChar w:fldCharType="separate"/>
                          </w:r>
                          <w:r>
                            <w:rPr>
                              <w:noProof/>
                            </w:rPr>
                            <w:t>Major assets and investments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9" type="#_x0000_t202" style="position:absolute;margin-left:730pt;margin-top:21.85pt;width:31.2pt;height:487.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DZ6wIAAFs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" filled="f" stroked="f" strokeweight=".5pt">
              <v:textbox style="layout-flow:vertical">
                <w:txbxContent>
                  <w:p w:rsidR="00B82AEA" w:rsidRDefault="00E73501" w:rsidP="003E26A7">
                    <w:pPr>
                      <w:pStyle w:val="Header"/>
                    </w:pPr>
                    <w:r>
                      <w:fldChar w:fldCharType="begin"/>
                    </w:r>
                    <w:r>
                      <w:instrText xml:space="preserve"> STYLEREF  "Heading 1 (#)" \w  \* MERGEFORMAT </w:instrText>
                    </w:r>
                    <w:r>
                      <w:fldChar w:fldCharType="separate"/>
                    </w:r>
                    <w:r>
                      <w:rPr>
                        <w:noProof/>
                      </w:rPr>
                      <w:t>4</w:t>
                    </w:r>
                    <w:r>
                      <w:rPr>
                        <w:noProof/>
                      </w:rPr>
                      <w:fldChar w:fldCharType="end"/>
                    </w:r>
                    <w:r w:rsidR="00B82AEA">
                      <w:t xml:space="preserve">. </w:t>
                    </w:r>
                    <w:r>
                      <w:fldChar w:fldCharType="begin"/>
                    </w:r>
                    <w:r>
                      <w:instrText xml:space="preserve"> STYLEREF  "Heading 1 (#)"  \* MERGEFORMAT </w:instrText>
                    </w:r>
                    <w:r>
                      <w:fldChar w:fldCharType="separate"/>
                    </w:r>
                    <w:r>
                      <w:rPr>
                        <w:noProof/>
                      </w:rPr>
                      <w:t>Major assets and investments</w:t>
                    </w:r>
                    <w:r>
                      <w:rPr>
                        <w:noProof/>
                      </w:rPr>
                      <w:fldChar w:fldCharType="end"/>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rsidP="00AC68FF">
    <w:pPr>
      <w:pStyle w:val="Header"/>
      <w:jc w:val="right"/>
    </w:pPr>
    <w:r>
      <w:rPr>
        <w:noProof/>
        <w:lang w:eastAsia="en-AU"/>
      </w:rPr>
      <mc:AlternateContent>
        <mc:Choice Requires="wps">
          <w:drawing>
            <wp:anchor distT="0" distB="0" distL="114300" distR="114300" simplePos="0" relativeHeight="251707392" behindDoc="0" locked="0" layoutInCell="1" allowOverlap="1" wp14:anchorId="503E4F8B" wp14:editId="017E68D5">
              <wp:simplePos x="0" y="0"/>
              <wp:positionH relativeFrom="column">
                <wp:posOffset>9271000</wp:posOffset>
              </wp:positionH>
              <wp:positionV relativeFrom="paragraph">
                <wp:posOffset>299085</wp:posOffset>
              </wp:positionV>
              <wp:extent cx="396000" cy="61920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Default="00E73501" w:rsidP="003E26A7">
                          <w:pPr>
                            <w:pStyle w:val="Header"/>
                            <w:jc w:val="right"/>
                          </w:pPr>
                          <w:r>
                            <w:fldChar w:fldCharType="begin"/>
                          </w:r>
                          <w:r>
                            <w:instrText xml:space="preserve"> STYLEREF  "Heading 1 (#)" \w  \* MERGEFORMAT </w:instrText>
                          </w:r>
                          <w:r>
                            <w:fldChar w:fldCharType="separate"/>
                          </w:r>
                          <w:r>
                            <w:rPr>
                              <w:noProof/>
                            </w:rPr>
                            <w:t>4</w:t>
                          </w:r>
                          <w:r>
                            <w:rPr>
                              <w:noProof/>
                            </w:rPr>
                            <w:fldChar w:fldCharType="end"/>
                          </w:r>
                          <w:r w:rsidR="00B82AEA">
                            <w:t xml:space="preserve">. </w:t>
                          </w:r>
                          <w:r>
                            <w:fldChar w:fldCharType="begin"/>
                          </w:r>
                          <w:r>
                            <w:instrText xml:space="preserve"> STYLEREF  "Heading 1 (#)"  \* MERGEFORMAT </w:instrText>
                          </w:r>
                          <w:r>
                            <w:fldChar w:fldCharType="separate"/>
                          </w:r>
                          <w:r>
                            <w:rPr>
                              <w:noProof/>
                            </w:rPr>
                            <w:t>Major assets and investments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30" type="#_x0000_t202" style="position:absolute;left:0;text-align:left;margin-left:730pt;margin-top:23.55pt;width:31.2pt;height:487.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am7AIAAFs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" filled="f" stroked="f" strokeweight=".5pt">
              <v:textbox style="layout-flow:vertical">
                <w:txbxContent>
                  <w:p w:rsidR="00B82AEA" w:rsidRDefault="00E73501" w:rsidP="003E26A7">
                    <w:pPr>
                      <w:pStyle w:val="Header"/>
                      <w:jc w:val="right"/>
                    </w:pPr>
                    <w:r>
                      <w:fldChar w:fldCharType="begin"/>
                    </w:r>
                    <w:r>
                      <w:instrText xml:space="preserve"> STYLEREF  "Heading 1 (#)" \w  \* MERGEFORMAT </w:instrText>
                    </w:r>
                    <w:r>
                      <w:fldChar w:fldCharType="separate"/>
                    </w:r>
                    <w:r>
                      <w:rPr>
                        <w:noProof/>
                      </w:rPr>
                      <w:t>4</w:t>
                    </w:r>
                    <w:r>
                      <w:rPr>
                        <w:noProof/>
                      </w:rPr>
                      <w:fldChar w:fldCharType="end"/>
                    </w:r>
                    <w:r w:rsidR="00B82AEA">
                      <w:t xml:space="preserve">. </w:t>
                    </w:r>
                    <w:r>
                      <w:fldChar w:fldCharType="begin"/>
                    </w:r>
                    <w:r>
                      <w:instrText xml:space="preserve"> STYLEREF  "Heading 1 (#)"  \* MERGEFORMAT </w:instrText>
                    </w:r>
                    <w:r>
                      <w:fldChar w:fldCharType="separate"/>
                    </w:r>
                    <w:r>
                      <w:rPr>
                        <w:noProof/>
                      </w:rPr>
                      <w:t>Major assets and investments</w:t>
                    </w:r>
                    <w:r>
                      <w:rPr>
                        <w:noProof/>
                      </w:rPr>
                      <w:fldChar w:fldCharType="end"/>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pPr>
      <w:pStyle w:val="Header"/>
    </w:pPr>
    <w:r>
      <w:fldChar w:fldCharType="begin"/>
    </w:r>
    <w:r>
      <w:instrText xml:space="preserve"> STYLEREF  "Heading 1 (#)" \w  \* MERGEFORMAT </w:instrText>
    </w:r>
    <w:r>
      <w:fldChar w:fldCharType="separate"/>
    </w:r>
    <w:r w:rsidR="002C7F26">
      <w:rPr>
        <w:noProof/>
      </w:rPr>
      <w:t>4</w:t>
    </w:r>
    <w:r>
      <w:rPr>
        <w:noProof/>
      </w:rPr>
      <w:fldChar w:fldCharType="end"/>
    </w:r>
    <w:r w:rsidR="00B82AEA">
      <w:t xml:space="preserve">. </w:t>
    </w:r>
    <w:r>
      <w:fldChar w:fldCharType="begin"/>
    </w:r>
    <w:r>
      <w:instrText xml:space="preserve"> STYLEREF  "Heading 1 (#)"  \* MERGEFORMAT </w:instrText>
    </w:r>
    <w:r>
      <w:fldChar w:fldCharType="separate"/>
    </w:r>
    <w:r w:rsidR="002C7F26">
      <w:rPr>
        <w:noProof/>
      </w:rPr>
      <w:t>Major assets and investments</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rsidP="00AC68FF">
    <w:pPr>
      <w:pStyle w:val="Header"/>
      <w:jc w:val="right"/>
    </w:pPr>
    <w:r>
      <w:fldChar w:fldCharType="begin"/>
    </w:r>
    <w:r>
      <w:instrText xml:space="preserve"> STYLEREF  "Heading 1 (#)" \w  \* MERGEFORMAT </w:instrText>
    </w:r>
    <w:r>
      <w:fldChar w:fldCharType="separate"/>
    </w:r>
    <w:r>
      <w:rPr>
        <w:noProof/>
      </w:rPr>
      <w:t>5</w:t>
    </w:r>
    <w:r>
      <w:rPr>
        <w:noProof/>
      </w:rPr>
      <w:fldChar w:fldCharType="end"/>
    </w:r>
    <w:r w:rsidR="00B82AEA">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pPr>
      <w:pStyle w:val="Header"/>
    </w:pPr>
    <w:r>
      <w:fldChar w:fldCharType="begin"/>
    </w:r>
    <w:r>
      <w:instrText xml:space="preserve"> STYLEREF  "Heading 1 (#)" \w  \* MERGEFORMAT </w:instrText>
    </w:r>
    <w:r>
      <w:fldChar w:fldCharType="separate"/>
    </w:r>
    <w:r>
      <w:rPr>
        <w:noProof/>
      </w:rPr>
      <w:t>4</w:t>
    </w:r>
    <w:r>
      <w:rPr>
        <w:noProof/>
      </w:rPr>
      <w:fldChar w:fldCharType="end"/>
    </w:r>
    <w:r w:rsidR="00B82AEA">
      <w:t xml:space="preserve">. </w:t>
    </w:r>
    <w:r>
      <w:fldChar w:fldCharType="begin"/>
    </w:r>
    <w:r>
      <w:instrText xml:space="preserve"> STYLEREF  "Heading 1 (#)"  \* MERGEFORMAT </w:instrText>
    </w:r>
    <w:r>
      <w:fldChar w:fldCharType="separate"/>
    </w:r>
    <w:r>
      <w:rPr>
        <w:noProof/>
      </w:rPr>
      <w:t>Major assets and investments</w:t>
    </w:r>
    <w:r>
      <w:rPr>
        <w:noProof/>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91EF6" w:rsidRDefault="00B82AEA" w:rsidP="00D91EF6">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pPr>
      <w:pStyle w:val="Header"/>
    </w:pPr>
    <w:r>
      <w:fldChar w:fldCharType="begin"/>
    </w:r>
    <w:r>
      <w:instrText xml:space="preserve"> STYLEREF  "Heading 1 (#)" \w  \* MERGEFORM</w:instrText>
    </w:r>
    <w:r>
      <w:instrText xml:space="preserve">AT </w:instrText>
    </w:r>
    <w:r>
      <w:fldChar w:fldCharType="separate"/>
    </w:r>
    <w:r w:rsidR="002C7F26">
      <w:rPr>
        <w:noProof/>
      </w:rPr>
      <w:t>5</w:t>
    </w:r>
    <w:r>
      <w:rPr>
        <w:noProof/>
      </w:rPr>
      <w:fldChar w:fldCharType="end"/>
    </w:r>
    <w:r w:rsidR="00B82AEA">
      <w:t xml:space="preserve">. </w:t>
    </w:r>
    <w:r>
      <w:fldChar w:fldCharType="begin"/>
    </w:r>
    <w:r>
      <w:instrText xml:space="preserve"> STYLEREF  "Heading 1 (#)"  \* MERGEFORMAT </w:instrText>
    </w:r>
    <w:r>
      <w:fldChar w:fldCharType="separate"/>
    </w:r>
    <w:r w:rsidR="002C7F26">
      <w:rPr>
        <w:noProof/>
      </w:rPr>
      <w:t>Financing state operations</w:t>
    </w:r>
    <w:r>
      <w:rPr>
        <w:noProof/>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pPr>
      <w:pStyle w:val="Header"/>
    </w:pPr>
    <w:r>
      <w:fldChar w:fldCharType="begin"/>
    </w:r>
    <w:r>
      <w:instrText xml:space="preserve"> STYLEREF  "Heading 1 (#)" \w  \* MERGEFORMAT </w:instrText>
    </w:r>
    <w:r>
      <w:fldChar w:fldCharType="separate"/>
    </w:r>
    <w:r>
      <w:rPr>
        <w:noProof/>
      </w:rPr>
      <w:t>5</w:t>
    </w:r>
    <w:r>
      <w:rPr>
        <w:noProof/>
      </w:rPr>
      <w:fldChar w:fldCharType="end"/>
    </w:r>
    <w:r w:rsidR="00B82AEA">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rsidP="00612950">
    <w:r>
      <w:rPr>
        <w:noProof/>
        <w:lang w:eastAsia="en-AU"/>
      </w:rPr>
      <mc:AlternateContent>
        <mc:Choice Requires="wps">
          <w:drawing>
            <wp:anchor distT="0" distB="0" distL="114300" distR="114300" simplePos="0" relativeHeight="251711488" behindDoc="0" locked="0" layoutInCell="1" allowOverlap="1" wp14:anchorId="3D52A58A" wp14:editId="26A5681D">
              <wp:simplePos x="0" y="0"/>
              <wp:positionH relativeFrom="column">
                <wp:posOffset>9271000</wp:posOffset>
              </wp:positionH>
              <wp:positionV relativeFrom="paragraph">
                <wp:posOffset>277495</wp:posOffset>
              </wp:positionV>
              <wp:extent cx="396000" cy="61920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Default="00E73501" w:rsidP="009544DA">
                          <w:pPr>
                            <w:pStyle w:val="Header"/>
                          </w:pPr>
                          <w:r>
                            <w:fldChar w:fldCharType="begin"/>
                          </w:r>
                          <w:r>
                            <w:instrText xml:space="preserve"> STYLEREF  "Heading 1 (#)" \w  \* MERGEFORMAT </w:instrText>
                          </w:r>
                          <w:r>
                            <w:fldChar w:fldCharType="separate"/>
                          </w:r>
                          <w:r>
                            <w:rPr>
                              <w:noProof/>
                            </w:rPr>
                            <w:t>5</w:t>
                          </w:r>
                          <w:r>
                            <w:rPr>
                              <w:noProof/>
                            </w:rPr>
                            <w:fldChar w:fldCharType="end"/>
                          </w:r>
                          <w:r w:rsidR="00B82AEA">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33" type="#_x0000_t202" style="position:absolute;margin-left:730pt;margin-top:21.85pt;width:31.2pt;height:487.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Fz7AIAAFs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" filled="f" stroked="f" strokeweight=".5pt">
              <v:textbox style="layout-flow:vertical">
                <w:txbxContent>
                  <w:p w:rsidR="00B82AEA" w:rsidRDefault="00E73501" w:rsidP="009544DA">
                    <w:pPr>
                      <w:pStyle w:val="Header"/>
                    </w:pPr>
                    <w:r>
                      <w:fldChar w:fldCharType="begin"/>
                    </w:r>
                    <w:r>
                      <w:instrText xml:space="preserve"> STYLEREF  "Heading 1 (#)" \w  \* MERGEFORMAT </w:instrText>
                    </w:r>
                    <w:r>
                      <w:fldChar w:fldCharType="separate"/>
                    </w:r>
                    <w:r>
                      <w:rPr>
                        <w:noProof/>
                      </w:rPr>
                      <w:t>5</w:t>
                    </w:r>
                    <w:r>
                      <w:rPr>
                        <w:noProof/>
                      </w:rPr>
                      <w:fldChar w:fldCharType="end"/>
                    </w:r>
                    <w:r w:rsidR="00B82AEA">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v:textbox>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B82AEA" w:rsidP="00B82AEA">
    <w:r>
      <w:rPr>
        <w:noProof/>
        <w:lang w:eastAsia="en-AU"/>
      </w:rPr>
      <mc:AlternateContent>
        <mc:Choice Requires="wps">
          <w:drawing>
            <wp:anchor distT="0" distB="0" distL="114300" distR="114300" simplePos="0" relativeHeight="251709440" behindDoc="0" locked="0" layoutInCell="1" allowOverlap="1" wp14:anchorId="0DD189BE" wp14:editId="3A9DE9A2">
              <wp:simplePos x="0" y="0"/>
              <wp:positionH relativeFrom="column">
                <wp:posOffset>9271000</wp:posOffset>
              </wp:positionH>
              <wp:positionV relativeFrom="paragraph">
                <wp:posOffset>299085</wp:posOffset>
              </wp:positionV>
              <wp:extent cx="396000" cy="6192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Default="00E73501" w:rsidP="00840C7A">
                          <w:pPr>
                            <w:pStyle w:val="Header"/>
                            <w:jc w:val="right"/>
                          </w:pPr>
                          <w:r>
                            <w:fldChar w:fldCharType="begin"/>
                          </w:r>
                          <w:r>
                            <w:instrText xml:space="preserve"> S</w:instrText>
                          </w:r>
                          <w:r>
                            <w:instrText xml:space="preserve">TYLEREF  "Heading 1 (#)" \w  \* MERGEFORMAT </w:instrText>
                          </w:r>
                          <w:r>
                            <w:fldChar w:fldCharType="separate"/>
                          </w:r>
                          <w:r>
                            <w:rPr>
                              <w:noProof/>
                            </w:rPr>
                            <w:t>5</w:t>
                          </w:r>
                          <w:r>
                            <w:rPr>
                              <w:noProof/>
                            </w:rPr>
                            <w:fldChar w:fldCharType="end"/>
                          </w:r>
                          <w:r w:rsidR="00B82AEA">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34" type="#_x0000_t202" style="position:absolute;margin-left:730pt;margin-top:23.55pt;width:31.2pt;height:487.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" filled="f" stroked="f" strokeweight=".5pt">
              <v:textbox style="layout-flow:vertical">
                <w:txbxContent>
                  <w:p w:rsidR="00B82AEA" w:rsidRDefault="00E73501" w:rsidP="00840C7A">
                    <w:pPr>
                      <w:pStyle w:val="Header"/>
                      <w:jc w:val="right"/>
                    </w:pPr>
                    <w:r>
                      <w:fldChar w:fldCharType="begin"/>
                    </w:r>
                    <w:r>
                      <w:instrText xml:space="preserve"> S</w:instrText>
                    </w:r>
                    <w:r>
                      <w:instrText xml:space="preserve">TYLEREF  "Heading 1 (#)" \w  \* MERGEFORMAT </w:instrText>
                    </w:r>
                    <w:r>
                      <w:fldChar w:fldCharType="separate"/>
                    </w:r>
                    <w:r>
                      <w:rPr>
                        <w:noProof/>
                      </w:rPr>
                      <w:t>5</w:t>
                    </w:r>
                    <w:r>
                      <w:rPr>
                        <w:noProof/>
                      </w:rPr>
                      <w:fldChar w:fldCharType="end"/>
                    </w:r>
                    <w:r w:rsidR="00B82AEA">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v:textbox>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pPr>
      <w:pStyle w:val="Header"/>
    </w:pPr>
    <w:r>
      <w:fldChar w:fldCharType="begin"/>
    </w:r>
    <w:r>
      <w:instrText xml:space="preserve"> STYLEREF  "Heading 1 (#)" \w  \* MERGEFORMAT </w:instrText>
    </w:r>
    <w:r>
      <w:fldChar w:fldCharType="separate"/>
    </w:r>
    <w:r w:rsidR="002C7F26">
      <w:rPr>
        <w:noProof/>
      </w:rPr>
      <w:t>5</w:t>
    </w:r>
    <w:r>
      <w:rPr>
        <w:noProof/>
      </w:rPr>
      <w:fldChar w:fldCharType="end"/>
    </w:r>
    <w:r w:rsidR="00B82AEA">
      <w:t xml:space="preserve">. </w:t>
    </w:r>
    <w:r>
      <w:fldChar w:fldCharType="begin"/>
    </w:r>
    <w:r>
      <w:instrText xml:space="preserve"> STYLEREF  "Heading 1 (#)"  \* MERGEFORMAT </w:instrText>
    </w:r>
    <w:r>
      <w:fldChar w:fldCharType="separate"/>
    </w:r>
    <w:r w:rsidR="002C7F26">
      <w:rPr>
        <w:noProof/>
      </w:rPr>
      <w:t>Financing state operations</w:t>
    </w:r>
    <w:r>
      <w:rPr>
        <w:noProof/>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E73501" w:rsidP="00AC68FF">
    <w:pPr>
      <w:pStyle w:val="Header"/>
      <w:jc w:val="right"/>
    </w:pPr>
    <w:r>
      <w:fldChar w:fldCharType="begin"/>
    </w:r>
    <w:r>
      <w:instrText xml:space="preserve"> STYLEREF  "Heading 1 (#)" \w  \* MERGEFORMAT </w:instrText>
    </w:r>
    <w:r>
      <w:fldChar w:fldCharType="separate"/>
    </w:r>
    <w:r>
      <w:rPr>
        <w:noProof/>
      </w:rPr>
      <w:t>5</w:t>
    </w:r>
    <w:r>
      <w:rPr>
        <w:noProof/>
      </w:rPr>
      <w:fldChar w:fldCharType="end"/>
    </w:r>
    <w:r w:rsidR="00B82AEA">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pPr>
      <w:pStyle w:val="Header"/>
    </w:pPr>
    <w:r>
      <w:fldChar w:fldCharType="begin"/>
    </w:r>
    <w:r>
      <w:instrText xml:space="preserve"> STYLEREF  "Heading 1 (#)" \w  \* MERGEFORMAT </w:instrText>
    </w:r>
    <w:r>
      <w:fldChar w:fldCharType="separate"/>
    </w:r>
    <w:r>
      <w:rPr>
        <w:noProof/>
      </w:rPr>
      <w:t>6</w:t>
    </w:r>
    <w:r>
      <w:rPr>
        <w:noProof/>
      </w:rPr>
      <w:fldChar w:fldCharType="end"/>
    </w:r>
    <w:r w:rsidR="00B82AEA">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F0409B" w:rsidRDefault="00B82AEA" w:rsidP="00AC68FF">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B82AEA" w:rsidP="00AC68FF">
    <w:pPr>
      <w:pStyle w:val="Header"/>
      <w:jc w:val="righ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E73501" w:rsidP="00AC68FF">
    <w:pPr>
      <w:pStyle w:val="Header"/>
      <w:jc w:val="right"/>
    </w:pPr>
    <w:r>
      <w:fldChar w:fldCharType="begin"/>
    </w:r>
    <w:r>
      <w:instrText xml:space="preserve"> STYLEREF  "Heading 1 (#)" \w  \* MERGEFORMAT </w:instrText>
    </w:r>
    <w:r>
      <w:fldChar w:fldCharType="separate"/>
    </w:r>
    <w:r w:rsidR="002C7F26">
      <w:rPr>
        <w:noProof/>
      </w:rPr>
      <w:t>6</w:t>
    </w:r>
    <w:r>
      <w:rPr>
        <w:noProof/>
      </w:rPr>
      <w:fldChar w:fldCharType="end"/>
    </w:r>
    <w:r w:rsidR="00B82AEA">
      <w:t xml:space="preserve">. </w:t>
    </w:r>
    <w:r>
      <w:fldChar w:fldCharType="begin"/>
    </w:r>
    <w:r>
      <w:instrText xml:space="preserve"> STYLEREF  "Heading 1 (#)"  \* MERGEFORMAT </w:instrText>
    </w:r>
    <w:r>
      <w:fldChar w:fldCharType="separate"/>
    </w:r>
    <w:r w:rsidR="002C7F26">
      <w:rPr>
        <w:noProof/>
      </w:rPr>
      <w:t>Other assets and liabilities</w:t>
    </w:r>
    <w:r>
      <w:rPr>
        <w:noProof/>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E73501" w:rsidP="00AC68FF">
    <w:pPr>
      <w:pStyle w:val="Header"/>
      <w:jc w:val="right"/>
    </w:pPr>
    <w:r>
      <w:fldChar w:fldCharType="begin"/>
    </w:r>
    <w:r>
      <w:instrText xml:space="preserve"> STYLEREF  "Heading 1 (#)" \w  \* MERGEFORMAT </w:instrText>
    </w:r>
    <w:r>
      <w:fldChar w:fldCharType="separate"/>
    </w:r>
    <w:r>
      <w:rPr>
        <w:noProof/>
      </w:rPr>
      <w:t>6</w:t>
    </w:r>
    <w:r>
      <w:rPr>
        <w:noProof/>
      </w:rPr>
      <w:fldChar w:fldCharType="end"/>
    </w:r>
    <w:r w:rsidR="00B82AEA">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pPr>
      <w:pStyle w:val="Header"/>
    </w:pPr>
    <w:r>
      <w:fldChar w:fldCharType="begin"/>
    </w:r>
    <w:r>
      <w:instrText xml:space="preserve"> STYLEREF  "Heading 1 (#)" \w  \* MERGEFORMAT </w:instrText>
    </w:r>
    <w:r>
      <w:fldChar w:fldCharType="separate"/>
    </w:r>
    <w:r>
      <w:rPr>
        <w:noProof/>
      </w:rPr>
      <w:t>6</w:t>
    </w:r>
    <w:r>
      <w:rPr>
        <w:noProof/>
      </w:rPr>
      <w:fldChar w:fldCharType="end"/>
    </w:r>
    <w:r w:rsidR="00B82AEA">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pPr>
      <w:pStyle w:val="Header"/>
    </w:pPr>
    <w:r>
      <w:fldChar w:fldCharType="begin"/>
    </w:r>
    <w:r>
      <w:instrText xml:space="preserve"> STYLEREF  "Heading 1 (#)" \w  \* MERGEFORMAT </w:instrText>
    </w:r>
    <w:r>
      <w:fldChar w:fldCharType="separate"/>
    </w:r>
    <w:r w:rsidR="002C7F26">
      <w:rPr>
        <w:noProof/>
      </w:rPr>
      <w:t>6</w:t>
    </w:r>
    <w:r>
      <w:rPr>
        <w:noProof/>
      </w:rPr>
      <w:fldChar w:fldCharType="end"/>
    </w:r>
    <w:r w:rsidR="00B82AEA">
      <w:t xml:space="preserve">. </w:t>
    </w:r>
    <w:r>
      <w:fldChar w:fldCharType="begin"/>
    </w:r>
    <w:r>
      <w:instrText xml:space="preserve"> STYLEREF  "Heading 1 (#)"  \* MERGEFORMAT </w:instrText>
    </w:r>
    <w:r>
      <w:fldChar w:fldCharType="separate"/>
    </w:r>
    <w:r w:rsidR="002C7F26">
      <w:rPr>
        <w:noProof/>
      </w:rPr>
      <w:t>Other assets and liabilities</w:t>
    </w:r>
    <w:r>
      <w:rPr>
        <w:noProof/>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B82AEA" w:rsidP="00330FD3">
    <w:r>
      <w:rPr>
        <w:noProof/>
        <w:lang w:eastAsia="en-AU"/>
      </w:rPr>
      <mc:AlternateContent>
        <mc:Choice Requires="wps">
          <w:drawing>
            <wp:anchor distT="0" distB="0" distL="114300" distR="114300" simplePos="0" relativeHeight="251713536" behindDoc="0" locked="0" layoutInCell="1" allowOverlap="1" wp14:anchorId="525615DC" wp14:editId="4B917CCD">
              <wp:simplePos x="0" y="0"/>
              <wp:positionH relativeFrom="column">
                <wp:posOffset>9271000</wp:posOffset>
              </wp:positionH>
              <wp:positionV relativeFrom="paragraph">
                <wp:posOffset>299085</wp:posOffset>
              </wp:positionV>
              <wp:extent cx="396000" cy="61920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Default="00E73501" w:rsidP="00330FD3">
                          <w:pPr>
                            <w:pStyle w:val="Header"/>
                            <w:jc w:val="right"/>
                          </w:pPr>
                          <w:r>
                            <w:fldChar w:fldCharType="begin"/>
                          </w:r>
                          <w:r>
                            <w:instrText xml:space="preserve"> STYLEREF  "Heading 1 (#)" \w  \* MERGEFORMAT </w:instrText>
                          </w:r>
                          <w:r>
                            <w:fldChar w:fldCharType="separate"/>
                          </w:r>
                          <w:r>
                            <w:rPr>
                              <w:noProof/>
                            </w:rPr>
                            <w:t>6</w:t>
                          </w:r>
                          <w:r>
                            <w:rPr>
                              <w:noProof/>
                            </w:rPr>
                            <w:fldChar w:fldCharType="end"/>
                          </w:r>
                          <w:r w:rsidR="00B82AEA">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1037" type="#_x0000_t202" style="position:absolute;margin-left:730pt;margin-top:23.55pt;width:31.2pt;height:487.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" filled="f" stroked="f" strokeweight=".5pt">
              <v:textbox style="layout-flow:vertical">
                <w:txbxContent>
                  <w:p w:rsidR="00B82AEA" w:rsidRDefault="00E73501" w:rsidP="00330FD3">
                    <w:pPr>
                      <w:pStyle w:val="Header"/>
                      <w:jc w:val="right"/>
                    </w:pPr>
                    <w:r>
                      <w:fldChar w:fldCharType="begin"/>
                    </w:r>
                    <w:r>
                      <w:instrText xml:space="preserve"> STYLEREF  "Heading 1 (#)" \w  \* MERGEFORMAT </w:instrText>
                    </w:r>
                    <w:r>
                      <w:fldChar w:fldCharType="separate"/>
                    </w:r>
                    <w:r>
                      <w:rPr>
                        <w:noProof/>
                      </w:rPr>
                      <w:t>6</w:t>
                    </w:r>
                    <w:r>
                      <w:rPr>
                        <w:noProof/>
                      </w:rPr>
                      <w:fldChar w:fldCharType="end"/>
                    </w:r>
                    <w:r w:rsidR="00B82AEA">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v:textbox>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E73501" w:rsidP="00AC68FF">
    <w:pPr>
      <w:pStyle w:val="Header"/>
      <w:jc w:val="right"/>
    </w:pPr>
    <w:r>
      <w:fldChar w:fldCharType="begin"/>
    </w:r>
    <w:r>
      <w:instrText xml:space="preserve"> STYLEREF  "Heading 1 (#)" \w  \* MERGEFORMAT </w:instrText>
    </w:r>
    <w:r>
      <w:fldChar w:fldCharType="separate"/>
    </w:r>
    <w:r w:rsidR="002C7F26">
      <w:rPr>
        <w:noProof/>
      </w:rPr>
      <w:t>6</w:t>
    </w:r>
    <w:r>
      <w:rPr>
        <w:noProof/>
      </w:rPr>
      <w:fldChar w:fldCharType="end"/>
    </w:r>
    <w:r w:rsidR="00B82AEA">
      <w:t xml:space="preserve">. </w:t>
    </w:r>
    <w:r>
      <w:fldChar w:fldCharType="begin"/>
    </w:r>
    <w:r>
      <w:instrText xml:space="preserve"> STYLEREF  "Heading 1 (#)"  \* MERGEFORMAT </w:instrText>
    </w:r>
    <w:r>
      <w:fldChar w:fldCharType="separate"/>
    </w:r>
    <w:r w:rsidR="002C7F26">
      <w:rPr>
        <w:noProof/>
      </w:rPr>
      <w:t>Other assets and liabilities</w:t>
    </w:r>
    <w:r>
      <w:rPr>
        <w:noProof/>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pPr>
      <w:pStyle w:val="Header"/>
    </w:pPr>
    <w:r>
      <w:fldChar w:fldCharType="begin"/>
    </w:r>
    <w:r>
      <w:instrText xml:space="preserve"> STYLEREF  "Heading 1 (#)" \w  \* MERGEFORMAT </w:instrText>
    </w:r>
    <w:r>
      <w:fldChar w:fldCharType="separate"/>
    </w:r>
    <w:r w:rsidR="002C7F26">
      <w:rPr>
        <w:noProof/>
      </w:rPr>
      <w:t>7</w:t>
    </w:r>
    <w:r>
      <w:rPr>
        <w:noProof/>
      </w:rPr>
      <w:fldChar w:fldCharType="end"/>
    </w:r>
    <w:r w:rsidR="00B82AEA">
      <w:t xml:space="preserve">. </w:t>
    </w:r>
    <w:r>
      <w:fldChar w:fldCharType="begin"/>
    </w:r>
    <w:r>
      <w:instrText xml:space="preserve"> STYLEREF  "Heading 1 (#)"  \* MERGEFORMAT </w:instrText>
    </w:r>
    <w:r>
      <w:fldChar w:fldCharType="separate"/>
    </w:r>
    <w:r w:rsidR="002C7F26">
      <w:rPr>
        <w:noProof/>
      </w:rPr>
      <w:t>Risks, contingencies and valuation judgements</w:t>
    </w:r>
    <w:r>
      <w:rPr>
        <w:noProof/>
      </w:rPr>
      <w:fldChar w:fldCharType="end"/>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pPr>
      <w:pStyle w:val="Header"/>
    </w:pPr>
    <w:r>
      <w:fldChar w:fldCharType="begin"/>
    </w:r>
    <w:r>
      <w:instrText xml:space="preserve"> STYLEREF  "Heading 1 (#)" \w  \* MERGEFORMAT </w:instrText>
    </w:r>
    <w:r>
      <w:fldChar w:fldCharType="separate"/>
    </w:r>
    <w:r w:rsidR="002C7F26">
      <w:rPr>
        <w:noProof/>
      </w:rPr>
      <w:t>7</w:t>
    </w:r>
    <w:r>
      <w:rPr>
        <w:noProof/>
      </w:rPr>
      <w:fldChar w:fldCharType="end"/>
    </w:r>
    <w:r w:rsidR="00B82AEA">
      <w:t xml:space="preserve">. </w:t>
    </w:r>
    <w:r>
      <w:fldChar w:fldCharType="begin"/>
    </w:r>
    <w:r>
      <w:instrText xml:space="preserve"> STYLEREF  "Heading 1 (#)"  \* MERGEFORMAT </w:instrText>
    </w:r>
    <w:r>
      <w:fldChar w:fldCharType="separate"/>
    </w:r>
    <w:r w:rsidR="002C7F26">
      <w:rPr>
        <w:noProof/>
      </w:rPr>
      <w:t>Risks, contingencies and valuation judgements</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BD2968" w:rsidRDefault="00B82AEA" w:rsidP="00AC68FF">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pPr>
      <w:pStyle w:val="Header"/>
    </w:pPr>
    <w:r>
      <w:fldChar w:fldCharType="begin"/>
    </w:r>
    <w:r>
      <w:instrText xml:space="preserve"> STYLEREF  "Heading 1 (#)" \w  \* MERGEFORMAT </w:instrText>
    </w:r>
    <w:r>
      <w:fldChar w:fldCharType="separate"/>
    </w:r>
    <w:r>
      <w:rPr>
        <w:noProof/>
      </w:rPr>
      <w:t>7</w:t>
    </w:r>
    <w:r>
      <w:rPr>
        <w:noProof/>
      </w:rPr>
      <w:fldChar w:fldCharType="end"/>
    </w:r>
    <w:r w:rsidR="00B82AEA">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E73501" w:rsidP="00AC68FF">
    <w:pPr>
      <w:pStyle w:val="Header"/>
      <w:jc w:val="right"/>
    </w:pPr>
    <w:r>
      <w:fldChar w:fldCharType="begin"/>
    </w:r>
    <w:r>
      <w:instrText xml:space="preserve"> STYLEREF  "Heading</w:instrText>
    </w:r>
    <w:r>
      <w:instrText xml:space="preserve"> 1 (#)" \w  \* MERGEFORMAT </w:instrText>
    </w:r>
    <w:r>
      <w:fldChar w:fldCharType="separate"/>
    </w:r>
    <w:r>
      <w:rPr>
        <w:noProof/>
      </w:rPr>
      <w:t>7</w:t>
    </w:r>
    <w:r>
      <w:rPr>
        <w:noProof/>
      </w:rPr>
      <w:fldChar w:fldCharType="end"/>
    </w:r>
    <w:r w:rsidR="00B82AEA">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rsidP="005933E1">
    <w:r>
      <w:rPr>
        <w:noProof/>
        <w:lang w:eastAsia="en-AU"/>
      </w:rPr>
      <mc:AlternateContent>
        <mc:Choice Requires="wps">
          <w:drawing>
            <wp:anchor distT="0" distB="0" distL="114300" distR="114300" simplePos="0" relativeHeight="251715584" behindDoc="0" locked="0" layoutInCell="1" allowOverlap="1" wp14:anchorId="4B5B2901" wp14:editId="0340EE59">
              <wp:simplePos x="0" y="0"/>
              <wp:positionH relativeFrom="column">
                <wp:posOffset>9271000</wp:posOffset>
              </wp:positionH>
              <wp:positionV relativeFrom="paragraph">
                <wp:posOffset>277495</wp:posOffset>
              </wp:positionV>
              <wp:extent cx="396000" cy="61920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Default="00E73501" w:rsidP="009544DA">
                          <w:pPr>
                            <w:pStyle w:val="Header"/>
                          </w:pPr>
                          <w:r>
                            <w:fldChar w:fldCharType="begin"/>
                          </w:r>
                          <w:r>
                            <w:instrText xml:space="preserve"> STYLEREF  "Heading 1 (#)" \w  \* MERGEFORMAT </w:instrText>
                          </w:r>
                          <w:r>
                            <w:fldChar w:fldCharType="separate"/>
                          </w:r>
                          <w:r>
                            <w:rPr>
                              <w:noProof/>
                            </w:rPr>
                            <w:t>7</w:t>
                          </w:r>
                          <w:r>
                            <w:rPr>
                              <w:noProof/>
                            </w:rPr>
                            <w:fldChar w:fldCharType="end"/>
                          </w:r>
                          <w:r w:rsidR="00B82AEA">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39" type="#_x0000_t202" style="position:absolute;margin-left:730pt;margin-top:21.85pt;width:31.2pt;height:487.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" filled="f" stroked="f" strokeweight=".5pt">
              <v:textbox style="layout-flow:vertical">
                <w:txbxContent>
                  <w:p w:rsidR="00B82AEA" w:rsidRDefault="00E73501" w:rsidP="009544DA">
                    <w:pPr>
                      <w:pStyle w:val="Header"/>
                    </w:pPr>
                    <w:r>
                      <w:fldChar w:fldCharType="begin"/>
                    </w:r>
                    <w:r>
                      <w:instrText xml:space="preserve"> STYLEREF  "Heading 1 (#)" \w  \* MERGEFORMAT </w:instrText>
                    </w:r>
                    <w:r>
                      <w:fldChar w:fldCharType="separate"/>
                    </w:r>
                    <w:r>
                      <w:rPr>
                        <w:noProof/>
                      </w:rPr>
                      <w:t>7</w:t>
                    </w:r>
                    <w:r>
                      <w:rPr>
                        <w:noProof/>
                      </w:rPr>
                      <w:fldChar w:fldCharType="end"/>
                    </w:r>
                    <w:r w:rsidR="00B82AEA">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v:textbox>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E73501" w:rsidP="00AC68FF">
    <w:pPr>
      <w:pStyle w:val="Header"/>
      <w:jc w:val="right"/>
    </w:pPr>
    <w:r>
      <w:fldChar w:fldCharType="begin"/>
    </w:r>
    <w:r>
      <w:instrText xml:space="preserve"> STYLEREF  "Heading 1 (#)" \w  \* MERGEFORMAT </w:instrText>
    </w:r>
    <w:r>
      <w:fldChar w:fldCharType="separate"/>
    </w:r>
    <w:r w:rsidR="002C7F26">
      <w:rPr>
        <w:noProof/>
      </w:rPr>
      <w:t>7</w:t>
    </w:r>
    <w:r>
      <w:rPr>
        <w:noProof/>
      </w:rPr>
      <w:fldChar w:fldCharType="end"/>
    </w:r>
    <w:r w:rsidR="00B82AEA">
      <w:t xml:space="preserve">. </w:t>
    </w:r>
    <w:r>
      <w:fldChar w:fldCharType="begin"/>
    </w:r>
    <w:r>
      <w:instrText xml:space="preserve"> STYLEREF  "Heading 1 (#)"  \* MERGEFORMAT </w:instrText>
    </w:r>
    <w:r>
      <w:fldChar w:fldCharType="separate"/>
    </w:r>
    <w:r w:rsidR="002C7F26">
      <w:rPr>
        <w:noProof/>
      </w:rPr>
      <w:t>Risks, contingencies and valuation judgements</w:t>
    </w:r>
    <w:r>
      <w:rPr>
        <w:noProof/>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pPr>
      <w:pStyle w:val="Header"/>
    </w:pPr>
    <w:r>
      <w:fldChar w:fldCharType="begin"/>
    </w:r>
    <w:r>
      <w:instrText xml:space="preserve"> STYLEREF  "Heading 1 (#)" \w  \* MERGEFORMAT </w:instrText>
    </w:r>
    <w:r>
      <w:fldChar w:fldCharType="separate"/>
    </w:r>
    <w:r>
      <w:rPr>
        <w:noProof/>
      </w:rPr>
      <w:t>7</w:t>
    </w:r>
    <w:r>
      <w:rPr>
        <w:noProof/>
      </w:rPr>
      <w:fldChar w:fldCharType="end"/>
    </w:r>
    <w:r w:rsidR="00B82AEA">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E73501" w:rsidP="00AC68FF">
    <w:pPr>
      <w:pStyle w:val="Header"/>
      <w:jc w:val="right"/>
    </w:pPr>
    <w:r>
      <w:fldChar w:fldCharType="begin"/>
    </w:r>
    <w:r>
      <w:instrText xml:space="preserve"> STYLEREF  "Heading 1 (#)" \w  \* MERGEFORMAT </w:instrText>
    </w:r>
    <w:r>
      <w:fldChar w:fldCharType="separate"/>
    </w:r>
    <w:r>
      <w:rPr>
        <w:noProof/>
      </w:rPr>
      <w:t>7</w:t>
    </w:r>
    <w:r>
      <w:rPr>
        <w:noProof/>
      </w:rPr>
      <w:fldChar w:fldCharType="end"/>
    </w:r>
    <w:r w:rsidR="00B82AEA">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rsidP="00387A3A">
    <w:r>
      <w:rPr>
        <w:noProof/>
        <w:lang w:eastAsia="en-AU"/>
      </w:rPr>
      <mc:AlternateContent>
        <mc:Choice Requires="wps">
          <w:drawing>
            <wp:anchor distT="0" distB="0" distL="114300" distR="114300" simplePos="0" relativeHeight="251717632" behindDoc="0" locked="0" layoutInCell="1" allowOverlap="1" wp14:anchorId="23A9DFE7" wp14:editId="46FF7909">
              <wp:simplePos x="0" y="0"/>
              <wp:positionH relativeFrom="column">
                <wp:posOffset>9271000</wp:posOffset>
              </wp:positionH>
              <wp:positionV relativeFrom="paragraph">
                <wp:posOffset>277495</wp:posOffset>
              </wp:positionV>
              <wp:extent cx="396000" cy="6192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Default="00E73501" w:rsidP="009544DA">
                          <w:pPr>
                            <w:pStyle w:val="Header"/>
                          </w:pPr>
                          <w:r>
                            <w:fldChar w:fldCharType="begin"/>
                          </w:r>
                          <w:r>
                            <w:instrText xml:space="preserve"> STYLEREF  "Heading 1 (#)" \w  \* MERGEFORMAT </w:instrText>
                          </w:r>
                          <w:r>
                            <w:fldChar w:fldCharType="separate"/>
                          </w:r>
                          <w:r>
                            <w:rPr>
                              <w:noProof/>
                            </w:rPr>
                            <w:t>7</w:t>
                          </w:r>
                          <w:r>
                            <w:rPr>
                              <w:noProof/>
                            </w:rPr>
                            <w:fldChar w:fldCharType="end"/>
                          </w:r>
                          <w:r w:rsidR="00B82AEA">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41" type="#_x0000_t202" style="position:absolute;margin-left:730pt;margin-top:21.85pt;width:31.2pt;height:487.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" filled="f" stroked="f" strokeweight=".5pt">
              <v:textbox style="layout-flow:vertical">
                <w:txbxContent>
                  <w:p w:rsidR="00B82AEA" w:rsidRDefault="00E73501" w:rsidP="009544DA">
                    <w:pPr>
                      <w:pStyle w:val="Header"/>
                    </w:pPr>
                    <w:r>
                      <w:fldChar w:fldCharType="begin"/>
                    </w:r>
                    <w:r>
                      <w:instrText xml:space="preserve"> STYLEREF  "Heading 1 (#)" \w  \* MERGEFORMAT </w:instrText>
                    </w:r>
                    <w:r>
                      <w:fldChar w:fldCharType="separate"/>
                    </w:r>
                    <w:r>
                      <w:rPr>
                        <w:noProof/>
                      </w:rPr>
                      <w:t>7</w:t>
                    </w:r>
                    <w:r>
                      <w:rPr>
                        <w:noProof/>
                      </w:rPr>
                      <w:fldChar w:fldCharType="end"/>
                    </w:r>
                    <w:r w:rsidR="00B82AEA">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v:textbox>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B82AEA" w:rsidP="00387A3A">
    <w:r>
      <w:rPr>
        <w:noProof/>
        <w:lang w:eastAsia="en-AU"/>
      </w:rPr>
      <mc:AlternateContent>
        <mc:Choice Requires="wps">
          <w:drawing>
            <wp:anchor distT="0" distB="0" distL="114300" distR="114300" simplePos="0" relativeHeight="251719680" behindDoc="0" locked="0" layoutInCell="1" allowOverlap="1" wp14:anchorId="66B30FC2" wp14:editId="7E7061A3">
              <wp:simplePos x="0" y="0"/>
              <wp:positionH relativeFrom="column">
                <wp:posOffset>9271000</wp:posOffset>
              </wp:positionH>
              <wp:positionV relativeFrom="paragraph">
                <wp:posOffset>299085</wp:posOffset>
              </wp:positionV>
              <wp:extent cx="396000" cy="61920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Default="00E73501" w:rsidP="005933E1">
                          <w:pPr>
                            <w:pStyle w:val="Header"/>
                            <w:jc w:val="right"/>
                          </w:pPr>
                          <w:r>
                            <w:fldChar w:fldCharType="begin"/>
                          </w:r>
                          <w:r>
                            <w:instrText xml:space="preserve"> STYLEREF  "Heading 1 (#)" \w  \* MERGEFORMAT </w:instrText>
                          </w:r>
                          <w:r>
                            <w:fldChar w:fldCharType="separate"/>
                          </w:r>
                          <w:r>
                            <w:rPr>
                              <w:noProof/>
                            </w:rPr>
                            <w:t>7</w:t>
                          </w:r>
                          <w:r>
                            <w:rPr>
                              <w:noProof/>
                            </w:rPr>
                            <w:fldChar w:fldCharType="end"/>
                          </w:r>
                          <w:r w:rsidR="00B82AEA">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42" type="#_x0000_t202" style="position:absolute;margin-left:730pt;margin-top:23.55pt;width:31.2pt;height:487.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Ei7QIAAFw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" filled="f" stroked="f" strokeweight=".5pt">
              <v:textbox style="layout-flow:vertical">
                <w:txbxContent>
                  <w:p w:rsidR="00B82AEA" w:rsidRDefault="00E73501" w:rsidP="005933E1">
                    <w:pPr>
                      <w:pStyle w:val="Header"/>
                      <w:jc w:val="right"/>
                    </w:pPr>
                    <w:r>
                      <w:fldChar w:fldCharType="begin"/>
                    </w:r>
                    <w:r>
                      <w:instrText xml:space="preserve"> STYLEREF  "Heading 1 (#)" \w  \* MERGEFORMAT </w:instrText>
                    </w:r>
                    <w:r>
                      <w:fldChar w:fldCharType="separate"/>
                    </w:r>
                    <w:r>
                      <w:rPr>
                        <w:noProof/>
                      </w:rPr>
                      <w:t>7</w:t>
                    </w:r>
                    <w:r>
                      <w:rPr>
                        <w:noProof/>
                      </w:rPr>
                      <w:fldChar w:fldCharType="end"/>
                    </w:r>
                    <w:r w:rsidR="00B82AEA">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v:textbox>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pPr>
      <w:pStyle w:val="Header"/>
    </w:pPr>
    <w:r>
      <w:fldChar w:fldCharType="begin"/>
    </w:r>
    <w:r>
      <w:instrText xml:space="preserve"> STYLEREF  "Heading 1 (#)" \w  \* MERGEFORMAT </w:instrText>
    </w:r>
    <w:r>
      <w:fldChar w:fldCharType="separate"/>
    </w:r>
    <w:r>
      <w:rPr>
        <w:noProof/>
      </w:rPr>
      <w:t>8</w:t>
    </w:r>
    <w:r>
      <w:rPr>
        <w:noProof/>
      </w:rPr>
      <w:fldChar w:fldCharType="end"/>
    </w:r>
    <w:r w:rsidR="00B82AEA">
      <w:t xml:space="preserve">. </w:t>
    </w:r>
    <w:r>
      <w:fldChar w:fldCharType="begin"/>
    </w:r>
    <w:r>
      <w:instrText xml:space="preserve"> STYLEREF  "Heading 1 (#)"  \* MERGEFORMAT </w:instrText>
    </w:r>
    <w:r>
      <w:fldChar w:fldCharType="separate"/>
    </w:r>
    <w:r>
      <w:rPr>
        <w:noProof/>
      </w:rPr>
      <w:t>Comparison against budget and the public account</w:t>
    </w:r>
    <w:r>
      <w:rPr>
        <w:noProof/>
      </w:rPr>
      <w:fldChar w:fldCharType="end"/>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E73501" w:rsidP="00AC68FF">
    <w:pPr>
      <w:pStyle w:val="Header"/>
      <w:jc w:val="right"/>
    </w:pPr>
    <w:r>
      <w:fldChar w:fldCharType="begin"/>
    </w:r>
    <w:r>
      <w:instrText xml:space="preserve"> STYLEREF  "Heading 1 (#)" \w  \* MERGEFORMAT </w:instrText>
    </w:r>
    <w:r>
      <w:fldChar w:fldCharType="separate"/>
    </w:r>
    <w:r>
      <w:rPr>
        <w:noProof/>
      </w:rPr>
      <w:t>7</w:t>
    </w:r>
    <w:r>
      <w:rPr>
        <w:noProof/>
      </w:rPr>
      <w:fldChar w:fldCharType="end"/>
    </w:r>
    <w:r w:rsidR="00B82AEA">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F0409B" w:rsidRDefault="00B82AEA" w:rsidP="00AC68FF">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204EB0" w:rsidRDefault="00B82AEA" w:rsidP="00204EB0">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E73501" w:rsidP="00AC68FF">
    <w:pPr>
      <w:pStyle w:val="Header"/>
      <w:jc w:val="right"/>
    </w:pPr>
    <w:r>
      <w:fldChar w:fldCharType="begin"/>
    </w:r>
    <w:r>
      <w:instrText xml:space="preserve"> STYLEREF  "Heading 1 (#)" \w  \* MERGEFORMAT </w:instrText>
    </w:r>
    <w:r>
      <w:fldChar w:fldCharType="separate"/>
    </w:r>
    <w:r w:rsidR="002C7F26">
      <w:rPr>
        <w:noProof/>
      </w:rPr>
      <w:t>8</w:t>
    </w:r>
    <w:r>
      <w:rPr>
        <w:noProof/>
      </w:rPr>
      <w:fldChar w:fldCharType="end"/>
    </w:r>
    <w:r w:rsidR="00B82AEA">
      <w:t xml:space="preserve">. </w:t>
    </w:r>
    <w:r>
      <w:fldChar w:fldCharType="begin"/>
    </w:r>
    <w:r>
      <w:instrText xml:space="preserve"> STYLEREF  "Heading 1 (#)"  \* MERGEFORMAT </w:instrText>
    </w:r>
    <w:r>
      <w:fldChar w:fldCharType="separate"/>
    </w:r>
    <w:r w:rsidR="002C7F26">
      <w:rPr>
        <w:noProof/>
      </w:rPr>
      <w:t>Comparison against budget and the public account</w:t>
    </w:r>
    <w:r>
      <w:rPr>
        <w:noProof/>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E73501" w:rsidP="00AC68FF">
    <w:pPr>
      <w:pStyle w:val="Header"/>
      <w:jc w:val="right"/>
    </w:pPr>
    <w:r>
      <w:fldChar w:fldCharType="begin"/>
    </w:r>
    <w:r>
      <w:instrText xml:space="preserve"> STYLEREF  "Heading 1 (#)" \w  \* MERGEFORMAT </w:instrText>
    </w:r>
    <w:r>
      <w:fldChar w:fldCharType="separate"/>
    </w:r>
    <w:r>
      <w:rPr>
        <w:noProof/>
      </w:rPr>
      <w:t>8</w:t>
    </w:r>
    <w:r>
      <w:rPr>
        <w:noProof/>
      </w:rPr>
      <w:fldChar w:fldCharType="end"/>
    </w:r>
    <w:r w:rsidR="00B82AEA">
      <w:t xml:space="preserve">. </w:t>
    </w:r>
    <w:r>
      <w:fldChar w:fldCharType="begin"/>
    </w:r>
    <w:r>
      <w:instrText xml:space="preserve"> STYLEREF  "Heading 1 (#)"  \* MERGEFORMAT </w:instrText>
    </w:r>
    <w:r>
      <w:fldChar w:fldCharType="separate"/>
    </w:r>
    <w:r>
      <w:rPr>
        <w:noProof/>
      </w:rPr>
      <w:t>Comparison against budget and the public account</w:t>
    </w:r>
    <w:r>
      <w:rPr>
        <w:noProof/>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pPr>
      <w:pStyle w:val="Header"/>
    </w:pPr>
    <w:r>
      <w:fldChar w:fldCharType="begin"/>
    </w:r>
    <w:r>
      <w:instrText xml:space="preserve"> STYLEREF  "Heading 1 (#)" \w  \* MERGEFORMAT </w:instrText>
    </w:r>
    <w:r>
      <w:fldChar w:fldCharType="separate"/>
    </w:r>
    <w:r>
      <w:rPr>
        <w:noProof/>
      </w:rPr>
      <w:t>8</w:t>
    </w:r>
    <w:r>
      <w:rPr>
        <w:noProof/>
      </w:rPr>
      <w:fldChar w:fldCharType="end"/>
    </w:r>
    <w:r w:rsidR="00B82AEA">
      <w:t xml:space="preserve">. </w:t>
    </w:r>
    <w:r>
      <w:fldChar w:fldCharType="begin"/>
    </w:r>
    <w:r>
      <w:instrText xml:space="preserve"> STYLEREF  "Heading 1 (#)"  \* MERGEFORMAT </w:instrText>
    </w:r>
    <w:r>
      <w:fldChar w:fldCharType="separate"/>
    </w:r>
    <w:r>
      <w:rPr>
        <w:noProof/>
      </w:rPr>
      <w:t>Comparison against budget and the public account</w:t>
    </w:r>
    <w:r>
      <w:rPr>
        <w:noProof/>
      </w:rPr>
      <w:fldChar w:fldCharType="end"/>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pPr>
      <w:pStyle w:val="Header"/>
    </w:pPr>
    <w:r>
      <w:fldChar w:fldCharType="begin"/>
    </w:r>
    <w:r>
      <w:instrText xml:space="preserve"> STYLEREF  "Heading 1 (#)" \w  \* MERGEFORMAT </w:instrText>
    </w:r>
    <w:r>
      <w:fldChar w:fldCharType="separate"/>
    </w:r>
    <w:r w:rsidR="002C7F26">
      <w:rPr>
        <w:noProof/>
      </w:rPr>
      <w:t>8</w:t>
    </w:r>
    <w:r>
      <w:rPr>
        <w:noProof/>
      </w:rPr>
      <w:fldChar w:fldCharType="end"/>
    </w:r>
    <w:r w:rsidR="00B82AEA">
      <w:t xml:space="preserve">. </w:t>
    </w:r>
    <w:r>
      <w:fldChar w:fldCharType="begin"/>
    </w:r>
    <w:r>
      <w:instrText xml:space="preserve"> STYLEREF  "Heading 1 (#)"  \* MERGEFORMAT </w:instrText>
    </w:r>
    <w:r>
      <w:fldChar w:fldCharType="separate"/>
    </w:r>
    <w:r w:rsidR="002C7F26">
      <w:rPr>
        <w:noProof/>
      </w:rPr>
      <w:t>Comparison against budget and the public account</w:t>
    </w:r>
    <w:r>
      <w:rPr>
        <w:noProof/>
      </w:rPr>
      <w:fldChar w:fldCharType="end"/>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5933E1" w:rsidP="00387A3A">
    <w:r>
      <w:rPr>
        <w:noProof/>
        <w:lang w:eastAsia="en-AU"/>
      </w:rPr>
      <mc:AlternateContent>
        <mc:Choice Requires="wps">
          <w:drawing>
            <wp:anchor distT="0" distB="0" distL="114300" distR="114300" simplePos="0" relativeHeight="251721728" behindDoc="0" locked="0" layoutInCell="1" allowOverlap="1" wp14:anchorId="15EB22CD" wp14:editId="78A2DF92">
              <wp:simplePos x="0" y="0"/>
              <wp:positionH relativeFrom="column">
                <wp:posOffset>9271000</wp:posOffset>
              </wp:positionH>
              <wp:positionV relativeFrom="paragraph">
                <wp:posOffset>299085</wp:posOffset>
              </wp:positionV>
              <wp:extent cx="396000" cy="61920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5933E1" w:rsidRPr="00387A3A" w:rsidRDefault="00E73501" w:rsidP="00387A3A">
                          <w:pPr>
                            <w:pStyle w:val="Header"/>
                            <w:jc w:val="right"/>
                          </w:pPr>
                          <w:r>
                            <w:fldChar w:fldCharType="begin"/>
                          </w:r>
                          <w:r>
                            <w:instrText xml:space="preserve"> STYLEREF  "Heading 1 (#)" \w  \* MERGEFORMAT </w:instrText>
                          </w:r>
                          <w:r>
                            <w:fldChar w:fldCharType="separate"/>
                          </w:r>
                          <w:r>
                            <w:rPr>
                              <w:noProof/>
                            </w:rPr>
                            <w:t>8</w:t>
                          </w:r>
                          <w:r>
                            <w:rPr>
                              <w:noProof/>
                            </w:rPr>
                            <w:fldChar w:fldCharType="end"/>
                          </w:r>
                          <w:r w:rsidR="005933E1" w:rsidRPr="00387A3A">
                            <w:t xml:space="preserve">. </w:t>
                          </w:r>
                          <w:r>
                            <w:fldChar w:fldCharType="begin"/>
                          </w:r>
                          <w:r>
                            <w:instrText xml:space="preserve"> STYLEREF  "Heading 1 (#</w:instrText>
                          </w:r>
                          <w:r>
                            <w:instrText xml:space="preserve">)"  \* MERGEFORMAT </w:instrText>
                          </w:r>
                          <w:r>
                            <w:fldChar w:fldCharType="separate"/>
                          </w:r>
                          <w:r>
                            <w:rPr>
                              <w:noProof/>
                            </w:rPr>
                            <w:t>Comparison against budget and the public account</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45" type="#_x0000_t202" style="position:absolute;margin-left:730pt;margin-top:23.55pt;width:31.2pt;height:487.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HD7AIAAFw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" filled="f" stroked="f" strokeweight=".5pt">
              <v:textbox style="layout-flow:vertical">
                <w:txbxContent>
                  <w:p w:rsidR="005933E1" w:rsidRPr="00387A3A" w:rsidRDefault="00E73501" w:rsidP="00387A3A">
                    <w:pPr>
                      <w:pStyle w:val="Header"/>
                      <w:jc w:val="right"/>
                    </w:pPr>
                    <w:r>
                      <w:fldChar w:fldCharType="begin"/>
                    </w:r>
                    <w:r>
                      <w:instrText xml:space="preserve"> STYLEREF  "Heading 1 (#)" \w  \* MERGEFORMAT </w:instrText>
                    </w:r>
                    <w:r>
                      <w:fldChar w:fldCharType="separate"/>
                    </w:r>
                    <w:r>
                      <w:rPr>
                        <w:noProof/>
                      </w:rPr>
                      <w:t>8</w:t>
                    </w:r>
                    <w:r>
                      <w:rPr>
                        <w:noProof/>
                      </w:rPr>
                      <w:fldChar w:fldCharType="end"/>
                    </w:r>
                    <w:r w:rsidR="005933E1" w:rsidRPr="00387A3A">
                      <w:t xml:space="preserve">. </w:t>
                    </w:r>
                    <w:r>
                      <w:fldChar w:fldCharType="begin"/>
                    </w:r>
                    <w:r>
                      <w:instrText xml:space="preserve"> STYLEREF  "Heading 1 (#</w:instrText>
                    </w:r>
                    <w:r>
                      <w:instrText xml:space="preserve">)"  \* MERGEFORMAT </w:instrText>
                    </w:r>
                    <w:r>
                      <w:fldChar w:fldCharType="separate"/>
                    </w:r>
                    <w:r>
                      <w:rPr>
                        <w:noProof/>
                      </w:rPr>
                      <w:t>Comparison against budget and the public account</w:t>
                    </w:r>
                    <w:r>
                      <w:rPr>
                        <w:noProof/>
                      </w:rPr>
                      <w:fldChar w:fldCharType="end"/>
                    </w:r>
                  </w:p>
                </w:txbxContent>
              </v:textbox>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pPr>
      <w:pStyle w:val="Header"/>
    </w:pPr>
    <w:r>
      <w:fldChar w:fldCharType="begin"/>
    </w:r>
    <w:r>
      <w:instrText xml:space="preserve"> STYLEREF  "Heading 1 (#)" \w  \* MERGEFORMAT </w:instrText>
    </w:r>
    <w:r>
      <w:fldChar w:fldCharType="separate"/>
    </w:r>
    <w:r>
      <w:rPr>
        <w:noProof/>
      </w:rPr>
      <w:t>9</w:t>
    </w:r>
    <w:r>
      <w:rPr>
        <w:noProof/>
      </w:rPr>
      <w:fldChar w:fldCharType="end"/>
    </w:r>
    <w:r w:rsidR="00B82AEA">
      <w:t xml:space="preserve">. </w:t>
    </w:r>
    <w:r>
      <w:fldChar w:fldCharType="begin"/>
    </w:r>
    <w:r>
      <w:instrText xml:space="preserve"> STYLEREF  "Heading 1 (#)"  \* MERGEFORMAT </w:instrText>
    </w:r>
    <w:r>
      <w:fldChar w:fldCharType="separate"/>
    </w:r>
    <w:r>
      <w:rPr>
        <w:noProof/>
      </w:rPr>
      <w:t>Other disclosures</w:t>
    </w:r>
    <w:r>
      <w:rPr>
        <w:noProof/>
      </w:rPr>
      <w:fldChar w:fldCharType="end"/>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E73501" w:rsidP="00AC68FF">
    <w:pPr>
      <w:pStyle w:val="Header"/>
      <w:jc w:val="right"/>
    </w:pPr>
    <w:r>
      <w:fldChar w:fldCharType="begin"/>
    </w:r>
    <w:r>
      <w:instrText xml:space="preserve"> STYLEREF  "Heading 1 (#)" \w  \* MERGEFORMAT </w:instrText>
    </w:r>
    <w:r>
      <w:fldChar w:fldCharType="separate"/>
    </w:r>
    <w:r>
      <w:rPr>
        <w:noProof/>
      </w:rPr>
      <w:t>8</w:t>
    </w:r>
    <w:r>
      <w:rPr>
        <w:noProof/>
      </w:rPr>
      <w:fldChar w:fldCharType="end"/>
    </w:r>
    <w:r w:rsidR="00B82AEA">
      <w:t xml:space="preserve">. </w:t>
    </w:r>
    <w:r>
      <w:fldChar w:fldCharType="begin"/>
    </w:r>
    <w:r>
      <w:instrText xml:space="preserve"> STYLEREF  "Heading 1 (#)"  \* MERGEFORMAT </w:instrText>
    </w:r>
    <w:r>
      <w:fldChar w:fldCharType="separate"/>
    </w:r>
    <w:r>
      <w:rPr>
        <w:noProof/>
      </w:rPr>
      <w:t>Comparison against budget and the public account</w:t>
    </w:r>
    <w:r>
      <w:rPr>
        <w:noProof/>
      </w:rPr>
      <w:fldChar w:fldCharType="end"/>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343347" w:rsidRDefault="00B82AEA" w:rsidP="00343347">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E73501" w:rsidP="00AC68FF">
    <w:pPr>
      <w:pStyle w:val="Header"/>
      <w:jc w:val="right"/>
    </w:pPr>
    <w:r>
      <w:fldChar w:fldCharType="begin"/>
    </w:r>
    <w:r>
      <w:instrText xml:space="preserve"> STYLEREF  "Heading 1 (#)" \w  \* MERGEFORMAT </w:instrText>
    </w:r>
    <w:r>
      <w:fldChar w:fldCharType="separate"/>
    </w:r>
    <w:r w:rsidR="002C7F26">
      <w:rPr>
        <w:noProof/>
      </w:rPr>
      <w:t>9</w:t>
    </w:r>
    <w:r>
      <w:rPr>
        <w:noProof/>
      </w:rPr>
      <w:fldChar w:fldCharType="end"/>
    </w:r>
    <w:r w:rsidR="00B82AEA">
      <w:t xml:space="preserve">. </w:t>
    </w:r>
    <w:r>
      <w:fldChar w:fldCharType="begin"/>
    </w:r>
    <w:r>
      <w:instrText xml:space="preserve"> STYLEREF  "Heading 1 (#)"  \* MERGEFORMAT </w:instrText>
    </w:r>
    <w:r>
      <w:fldChar w:fldCharType="separate"/>
    </w:r>
    <w:r w:rsidR="002C7F26">
      <w:rPr>
        <w:noProof/>
      </w:rPr>
      <w:t>Other disclosures</w:t>
    </w:r>
    <w:r>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BD2968" w:rsidRDefault="00B82AEA" w:rsidP="00AC68FF">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E73501" w:rsidP="00AC68FF">
    <w:pPr>
      <w:pStyle w:val="Header"/>
      <w:jc w:val="right"/>
    </w:pPr>
    <w:r>
      <w:fldChar w:fldCharType="begin"/>
    </w:r>
    <w:r>
      <w:instrText xml:space="preserve"> STYLEREF  "Heading 1 (#)" \w  \* MERGEFORMAT </w:instrText>
    </w:r>
    <w:r>
      <w:fldChar w:fldCharType="separate"/>
    </w:r>
    <w:r>
      <w:rPr>
        <w:noProof/>
      </w:rPr>
      <w:t>9</w:t>
    </w:r>
    <w:r>
      <w:rPr>
        <w:noProof/>
      </w:rPr>
      <w:fldChar w:fldCharType="end"/>
    </w:r>
    <w:r w:rsidR="00B82AEA">
      <w:t xml:space="preserve">. </w:t>
    </w:r>
    <w:r>
      <w:fldChar w:fldCharType="begin"/>
    </w:r>
    <w:r>
      <w:instrText xml:space="preserve"> STYLEREF  "Heading 1 (#)"  \* MERGEFORMAT </w:instrText>
    </w:r>
    <w:r>
      <w:fldChar w:fldCharType="separate"/>
    </w:r>
    <w:r>
      <w:rPr>
        <w:noProof/>
      </w:rPr>
      <w:t>Other disclosures</w:t>
    </w:r>
    <w:r>
      <w:rPr>
        <w:noProof/>
      </w:rPr>
      <w:fldChar w:fldCharType="end"/>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5933E1" w:rsidP="005933E1">
    <w:r>
      <w:rPr>
        <w:noProof/>
        <w:lang w:eastAsia="en-AU"/>
      </w:rPr>
      <mc:AlternateContent>
        <mc:Choice Requires="wps">
          <w:drawing>
            <wp:anchor distT="0" distB="0" distL="114300" distR="114300" simplePos="0" relativeHeight="251723776" behindDoc="0" locked="0" layoutInCell="1" allowOverlap="1" wp14:anchorId="15F1DE60" wp14:editId="7AECC27E">
              <wp:simplePos x="0" y="0"/>
              <wp:positionH relativeFrom="column">
                <wp:posOffset>9271000</wp:posOffset>
              </wp:positionH>
              <wp:positionV relativeFrom="paragraph">
                <wp:posOffset>277495</wp:posOffset>
              </wp:positionV>
              <wp:extent cx="396000" cy="61920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5933E1" w:rsidRDefault="0046140A" w:rsidP="005933E1">
                          <w:pPr>
                            <w:pStyle w:val="Header"/>
                          </w:pPr>
                          <w:fldSimple w:instr=" STYLEREF  &quot;Heading 1 (#)&quot; \w  \* MERGEFORMAT ">
                            <w:r w:rsidR="00E73501">
                              <w:rPr>
                                <w:noProof/>
                              </w:rPr>
                              <w:t>9</w:t>
                            </w:r>
                          </w:fldSimple>
                          <w:r w:rsidR="005933E1">
                            <w:t xml:space="preserve">. </w:t>
                          </w:r>
                          <w:fldSimple w:instr=" STYLEREF  &quot;Heading 1 (#)&quot;  \* MERGEFORMAT ">
                            <w:r w:rsidR="00E73501">
                              <w:rPr>
                                <w:noProof/>
                              </w:rPr>
                              <w:t>Other disclosures</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47" type="#_x0000_t202" style="position:absolute;margin-left:730pt;margin-top:21.85pt;width:31.2pt;height:487.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" filled="f" stroked="f" strokeweight=".5pt">
              <v:textbox style="layout-flow:vertical">
                <w:txbxContent>
                  <w:p w:rsidR="005933E1" w:rsidRDefault="0046140A" w:rsidP="005933E1">
                    <w:pPr>
                      <w:pStyle w:val="Header"/>
                    </w:pPr>
                    <w:fldSimple w:instr=" STYLEREF  &quot;Heading 1 (#)&quot; \w  \* MERGEFORMAT ">
                      <w:r w:rsidR="00E73501">
                        <w:rPr>
                          <w:noProof/>
                        </w:rPr>
                        <w:t>9</w:t>
                      </w:r>
                    </w:fldSimple>
                    <w:r w:rsidR="005933E1">
                      <w:t xml:space="preserve">. </w:t>
                    </w:r>
                    <w:fldSimple w:instr=" STYLEREF  &quot;Heading 1 (#)&quot;  \* MERGEFORMAT ">
                      <w:r w:rsidR="00E73501">
                        <w:rPr>
                          <w:noProof/>
                        </w:rPr>
                        <w:t>Other disclosures</w:t>
                      </w:r>
                    </w:fldSimple>
                  </w:p>
                </w:txbxContent>
              </v:textbox>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5D7B44" w:rsidRDefault="00B82AEA" w:rsidP="00263A1C">
    <w:r w:rsidRPr="005D7B44">
      <w:rPr>
        <w:noProof/>
        <w:lang w:eastAsia="en-AU"/>
      </w:rPr>
      <mc:AlternateContent>
        <mc:Choice Requires="wps">
          <w:drawing>
            <wp:anchor distT="0" distB="0" distL="114300" distR="114300" simplePos="0" relativeHeight="251685888" behindDoc="0" locked="0" layoutInCell="1" allowOverlap="1" wp14:anchorId="73AAF354" wp14:editId="0045D5C8">
              <wp:simplePos x="0" y="0"/>
              <wp:positionH relativeFrom="column">
                <wp:posOffset>9271000</wp:posOffset>
              </wp:positionH>
              <wp:positionV relativeFrom="paragraph">
                <wp:posOffset>299085</wp:posOffset>
              </wp:positionV>
              <wp:extent cx="396000" cy="61920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Pr="00263A1C" w:rsidRDefault="00E73501" w:rsidP="001D6F06">
                          <w:pPr>
                            <w:pStyle w:val="Header"/>
                            <w:jc w:val="right"/>
                          </w:pPr>
                          <w:r>
                            <w:fldChar w:fldCharType="begin"/>
                          </w:r>
                          <w:r>
                            <w:instrText xml:space="preserve"> STYLEREF  "Heading 1 (#)" \w  \* MERGEFORMAT </w:instrText>
                          </w:r>
                          <w:r>
                            <w:fldChar w:fldCharType="separate"/>
                          </w:r>
                          <w:r>
                            <w:rPr>
                              <w:noProof/>
                            </w:rPr>
                            <w:t>9</w:t>
                          </w:r>
                          <w:r>
                            <w:rPr>
                              <w:noProof/>
                            </w:rPr>
                            <w:fldChar w:fldCharType="end"/>
                          </w:r>
                          <w:r w:rsidR="00B82AEA" w:rsidRPr="00263A1C">
                            <w:t xml:space="preserve">. </w:t>
                          </w:r>
                          <w:r>
                            <w:fldChar w:fldCharType="begin"/>
                          </w:r>
                          <w:r>
                            <w:instrText xml:space="preserve"> STYLEREF  "Heading 1 (#)"  \* MERGEFORMAT </w:instrText>
                          </w:r>
                          <w:r>
                            <w:fldChar w:fldCharType="separate"/>
                          </w:r>
                          <w:r>
                            <w:rPr>
                              <w:noProof/>
                            </w:rPr>
                            <w:t>Other disclosures</w:t>
                          </w:r>
                          <w:r>
                            <w:rPr>
                              <w:noProof/>
                            </w:rPr>
                            <w:fldChar w:fldCharType="end"/>
                          </w:r>
                        </w:p>
                        <w:p w:rsidR="00B82AEA" w:rsidRPr="00263A1C" w:rsidRDefault="00B82AEA" w:rsidP="00263A1C">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48" type="#_x0000_t202" style="position:absolute;margin-left:730pt;margin-top:23.55pt;width:31.2pt;height:48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9+7AIAAFw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" filled="f" stroked="f" strokeweight=".5pt">
              <v:textbox style="layout-flow:vertical">
                <w:txbxContent>
                  <w:p w:rsidR="00B82AEA" w:rsidRPr="00263A1C" w:rsidRDefault="00E73501" w:rsidP="001D6F06">
                    <w:pPr>
                      <w:pStyle w:val="Header"/>
                      <w:jc w:val="right"/>
                    </w:pPr>
                    <w:r>
                      <w:fldChar w:fldCharType="begin"/>
                    </w:r>
                    <w:r>
                      <w:instrText xml:space="preserve"> STYLEREF  "Heading 1 (#)" \w  \* MERGEFORMAT </w:instrText>
                    </w:r>
                    <w:r>
                      <w:fldChar w:fldCharType="separate"/>
                    </w:r>
                    <w:r>
                      <w:rPr>
                        <w:noProof/>
                      </w:rPr>
                      <w:t>9</w:t>
                    </w:r>
                    <w:r>
                      <w:rPr>
                        <w:noProof/>
                      </w:rPr>
                      <w:fldChar w:fldCharType="end"/>
                    </w:r>
                    <w:r w:rsidR="00B82AEA" w:rsidRPr="00263A1C">
                      <w:t xml:space="preserve">. </w:t>
                    </w:r>
                    <w:r>
                      <w:fldChar w:fldCharType="begin"/>
                    </w:r>
                    <w:r>
                      <w:instrText xml:space="preserve"> STYLEREF  "Heading 1 (#)"  \* MERGEFORMAT </w:instrText>
                    </w:r>
                    <w:r>
                      <w:fldChar w:fldCharType="separate"/>
                    </w:r>
                    <w:r>
                      <w:rPr>
                        <w:noProof/>
                      </w:rPr>
                      <w:t>Other disclosures</w:t>
                    </w:r>
                    <w:r>
                      <w:rPr>
                        <w:noProof/>
                      </w:rPr>
                      <w:fldChar w:fldCharType="end"/>
                    </w:r>
                  </w:p>
                  <w:p w:rsidR="00B82AEA" w:rsidRPr="00263A1C" w:rsidRDefault="00B82AEA" w:rsidP="00263A1C">
                    <w:pPr>
                      <w:pStyle w:val="Header"/>
                    </w:pPr>
                  </w:p>
                </w:txbxContent>
              </v:textbox>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rsidP="00AC68FF">
    <w:pPr>
      <w:pStyle w:val="Header"/>
    </w:pPr>
    <w:r>
      <w:fldChar w:fldCharType="begin"/>
    </w:r>
    <w:r>
      <w:instrText xml:space="preserve"> STYLEREF  "Heading 1 (#)" \w  \* MERGEFORMAT </w:instrText>
    </w:r>
    <w:r>
      <w:fldChar w:fldCharType="separate"/>
    </w:r>
    <w:r>
      <w:rPr>
        <w:noProof/>
      </w:rPr>
      <w:t>9</w:t>
    </w:r>
    <w:r>
      <w:rPr>
        <w:noProof/>
      </w:rPr>
      <w:fldChar w:fldCharType="end"/>
    </w:r>
    <w:r w:rsidR="00B82AEA">
      <w:t xml:space="preserve">. </w:t>
    </w:r>
    <w:r>
      <w:fldChar w:fldCharType="begin"/>
    </w:r>
    <w:r>
      <w:instrText xml:space="preserve"> STYLEREF  "Heading 1 (#)"  \* MERGEFORMAT </w:instrText>
    </w:r>
    <w:r>
      <w:fldChar w:fldCharType="separate"/>
    </w:r>
    <w:r>
      <w:rPr>
        <w:noProof/>
      </w:rPr>
      <w:t>Other disclosures</w:t>
    </w:r>
    <w:r>
      <w:rPr>
        <w:noProof/>
      </w:rPr>
      <w:fldChar w:fldCharType="end"/>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pPr>
      <w:pStyle w:val="Header"/>
    </w:pPr>
    <w:r w:rsidRPr="004C1FBB">
      <w:t>PRIMARY FINANCIAL STATEMENTS</w:t>
    </w:r>
  </w:p>
  <w:p w:rsidR="00B82AEA" w:rsidRDefault="00B82AEA"/>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5933E1" w:rsidP="005933E1">
    <w:r w:rsidRPr="005D7B44">
      <w:rPr>
        <w:noProof/>
        <w:lang w:eastAsia="en-AU"/>
      </w:rPr>
      <mc:AlternateContent>
        <mc:Choice Requires="wps">
          <w:drawing>
            <wp:anchor distT="0" distB="0" distL="114300" distR="114300" simplePos="0" relativeHeight="251727872" behindDoc="0" locked="0" layoutInCell="1" allowOverlap="1" wp14:anchorId="257AC269" wp14:editId="7180F5D5">
              <wp:simplePos x="0" y="0"/>
              <wp:positionH relativeFrom="column">
                <wp:posOffset>9271000</wp:posOffset>
              </wp:positionH>
              <wp:positionV relativeFrom="paragraph">
                <wp:posOffset>277495</wp:posOffset>
              </wp:positionV>
              <wp:extent cx="396000" cy="61920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5933E1" w:rsidRPr="00E977BC" w:rsidRDefault="0046140A" w:rsidP="005933E1">
                          <w:pPr>
                            <w:pStyle w:val="Header"/>
                          </w:pPr>
                          <w:fldSimple w:instr=" STYLEREF  &quot;Heading 1 (#)&quot; \w  \* MERGEFORMAT ">
                            <w:r w:rsidR="00E73501">
                              <w:rPr>
                                <w:noProof/>
                              </w:rPr>
                              <w:t>9</w:t>
                            </w:r>
                          </w:fldSimple>
                          <w:r w:rsidR="005933E1" w:rsidRPr="00E977BC">
                            <w:t xml:space="preserve">. </w:t>
                          </w:r>
                          <w:fldSimple w:instr=" STYLEREF  &quot;Heading 1 (#)&quot;  \* MERGEFORMAT ">
                            <w:r w:rsidR="00E73501">
                              <w:rPr>
                                <w:noProof/>
                              </w:rPr>
                              <w:t>Other disclosures</w:t>
                            </w:r>
                          </w:fldSimple>
                        </w:p>
                        <w:p w:rsidR="005933E1" w:rsidRDefault="005933E1" w:rsidP="005933E1">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51" type="#_x0000_t202" style="position:absolute;margin-left:730pt;margin-top:21.85pt;width:31.2pt;height:487.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" filled="f" stroked="f" strokeweight=".5pt">
              <v:textbox style="layout-flow:vertical">
                <w:txbxContent>
                  <w:p w:rsidR="005933E1" w:rsidRPr="00E977BC" w:rsidRDefault="0046140A" w:rsidP="005933E1">
                    <w:pPr>
                      <w:pStyle w:val="Header"/>
                    </w:pPr>
                    <w:fldSimple w:instr=" STYLEREF  &quot;Heading 1 (#)&quot; \w  \* MERGEFORMAT ">
                      <w:r w:rsidR="00E73501">
                        <w:rPr>
                          <w:noProof/>
                        </w:rPr>
                        <w:t>9</w:t>
                      </w:r>
                    </w:fldSimple>
                    <w:r w:rsidR="005933E1" w:rsidRPr="00E977BC">
                      <w:t xml:space="preserve">. </w:t>
                    </w:r>
                    <w:fldSimple w:instr=" STYLEREF  &quot;Heading 1 (#)&quot;  \* MERGEFORMAT ">
                      <w:r w:rsidR="00E73501">
                        <w:rPr>
                          <w:noProof/>
                        </w:rPr>
                        <w:t>Other disclosures</w:t>
                      </w:r>
                    </w:fldSimple>
                  </w:p>
                  <w:p w:rsidR="005933E1" w:rsidRDefault="005933E1" w:rsidP="005933E1">
                    <w:pPr>
                      <w:pStyle w:val="Header"/>
                    </w:pPr>
                  </w:p>
                </w:txbxContent>
              </v:textbox>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5933E1" w:rsidP="005933E1">
    <w:r w:rsidRPr="005D7B44">
      <w:rPr>
        <w:noProof/>
        <w:lang w:eastAsia="en-AU"/>
      </w:rPr>
      <mc:AlternateContent>
        <mc:Choice Requires="wps">
          <w:drawing>
            <wp:anchor distT="0" distB="0" distL="114300" distR="114300" simplePos="0" relativeHeight="251725824" behindDoc="0" locked="0" layoutInCell="1" allowOverlap="1" wp14:anchorId="6A4F2F4F" wp14:editId="7AD6E4CE">
              <wp:simplePos x="0" y="0"/>
              <wp:positionH relativeFrom="column">
                <wp:posOffset>9271000</wp:posOffset>
              </wp:positionH>
              <wp:positionV relativeFrom="paragraph">
                <wp:posOffset>299085</wp:posOffset>
              </wp:positionV>
              <wp:extent cx="396000" cy="61920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5933E1" w:rsidRPr="00E977BC" w:rsidRDefault="0046140A" w:rsidP="005933E1">
                          <w:pPr>
                            <w:pStyle w:val="Header"/>
                            <w:jc w:val="right"/>
                          </w:pPr>
                          <w:fldSimple w:instr=" STYLEREF  &quot;Heading 1 (#)&quot; \w  \* MERGEFORMAT ">
                            <w:r w:rsidR="00E73501">
                              <w:rPr>
                                <w:noProof/>
                              </w:rPr>
                              <w:t>9</w:t>
                            </w:r>
                          </w:fldSimple>
                          <w:r w:rsidR="005933E1" w:rsidRPr="00E977BC">
                            <w:t xml:space="preserve">. </w:t>
                          </w:r>
                          <w:fldSimple w:instr=" STYLEREF  &quot;Heading 1 (#)&quot;  \* MERGEFORMAT ">
                            <w:r w:rsidR="00E73501">
                              <w:rPr>
                                <w:noProof/>
                              </w:rPr>
                              <w:t>Other disclosures</w:t>
                            </w:r>
                          </w:fldSimple>
                        </w:p>
                        <w:p w:rsidR="005933E1" w:rsidRDefault="005933E1" w:rsidP="005933E1">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 o:spid="_x0000_s1052" type="#_x0000_t202" style="position:absolute;margin-left:730pt;margin-top:23.55pt;width:31.2pt;height:487.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" filled="f" stroked="f" strokeweight=".5pt">
              <v:textbox style="layout-flow:vertical">
                <w:txbxContent>
                  <w:p w:rsidR="005933E1" w:rsidRPr="00E977BC" w:rsidRDefault="0046140A" w:rsidP="005933E1">
                    <w:pPr>
                      <w:pStyle w:val="Header"/>
                      <w:jc w:val="right"/>
                    </w:pPr>
                    <w:fldSimple w:instr=" STYLEREF  &quot;Heading 1 (#)&quot; \w  \* MERGEFORMAT ">
                      <w:r w:rsidR="00E73501">
                        <w:rPr>
                          <w:noProof/>
                        </w:rPr>
                        <w:t>9</w:t>
                      </w:r>
                    </w:fldSimple>
                    <w:r w:rsidR="005933E1" w:rsidRPr="00E977BC">
                      <w:t xml:space="preserve">. </w:t>
                    </w:r>
                    <w:fldSimple w:instr=" STYLEREF  &quot;Heading 1 (#)&quot;  \* MERGEFORMAT ">
                      <w:r w:rsidR="00E73501">
                        <w:rPr>
                          <w:noProof/>
                        </w:rPr>
                        <w:t>Other disclosures</w:t>
                      </w:r>
                    </w:fldSimple>
                  </w:p>
                  <w:p w:rsidR="005933E1" w:rsidRDefault="005933E1" w:rsidP="005933E1">
                    <w:pPr>
                      <w:pStyle w:val="Header"/>
                    </w:pPr>
                  </w:p>
                </w:txbxContent>
              </v:textbox>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rsidP="00AC68FF">
    <w:pPr>
      <w:pStyle w:val="Header"/>
    </w:pPr>
    <w:r>
      <w:fldChar w:fldCharType="begin"/>
    </w:r>
    <w:r>
      <w:instrText xml:space="preserve"> STYLEREF  "Heading 1 (#)" \w  \* MERGEFORMAT </w:instrText>
    </w:r>
    <w:r>
      <w:fldChar w:fldCharType="separate"/>
    </w:r>
    <w:r>
      <w:rPr>
        <w:noProof/>
      </w:rPr>
      <w:t>9</w:t>
    </w:r>
    <w:r>
      <w:rPr>
        <w:noProof/>
      </w:rPr>
      <w:fldChar w:fldCharType="end"/>
    </w:r>
    <w:r w:rsidR="00B82AEA">
      <w:t xml:space="preserve">. </w:t>
    </w:r>
    <w:r>
      <w:fldChar w:fldCharType="begin"/>
    </w:r>
    <w:r>
      <w:instrText xml:space="preserve"> STYLEREF  "Heading 1 (#)"  \* MERGEFORMAT </w:instrText>
    </w:r>
    <w:r>
      <w:fldChar w:fldCharType="separate"/>
    </w:r>
    <w:r>
      <w:rPr>
        <w:noProof/>
      </w:rPr>
      <w:t>Other disclosures</w:t>
    </w:r>
    <w:r>
      <w:rPr>
        <w:noProof/>
      </w:rPr>
      <w:fldChar w:fldCharType="end"/>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E73501" w:rsidP="00AC68FF">
    <w:pPr>
      <w:pStyle w:val="Header"/>
      <w:jc w:val="right"/>
    </w:pPr>
    <w:r>
      <w:fldChar w:fldCharType="begin"/>
    </w:r>
    <w:r>
      <w:instrText xml:space="preserve"> STYLEREF  "Heading 1 (#)" \w  \* MERGEFORMAT </w:instrText>
    </w:r>
    <w:r>
      <w:fldChar w:fldCharType="separate"/>
    </w:r>
    <w:r>
      <w:rPr>
        <w:noProof/>
      </w:rPr>
      <w:t>9</w:t>
    </w:r>
    <w:r>
      <w:rPr>
        <w:noProof/>
      </w:rPr>
      <w:fldChar w:fldCharType="end"/>
    </w:r>
    <w:r w:rsidR="00B82AEA">
      <w:t xml:space="preserve">. </w:t>
    </w:r>
    <w:r>
      <w:fldChar w:fldCharType="begin"/>
    </w:r>
    <w:r>
      <w:instrText xml:space="preserve"> STYLEREF  "Heading 1 (#)"  \* MERGEFORMAT </w:instrText>
    </w:r>
    <w:r>
      <w:fldChar w:fldCharType="separate"/>
    </w:r>
    <w:r>
      <w:rPr>
        <w:noProof/>
      </w:rPr>
      <w:t>Other disclosures</w:t>
    </w:r>
    <w:r>
      <w:rPr>
        <w:noProof/>
      </w:rPr>
      <w:fldChar w:fldCharType="end"/>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rsidP="00AC68FF">
    <w:pPr>
      <w:pStyle w:val="Header"/>
    </w:pPr>
    <w:r>
      <w:fldChar w:fldCharType="begin"/>
    </w:r>
    <w:r>
      <w:instrText xml:space="preserve"> STYLEREF  "Heading 1 (#</w:instrText>
    </w:r>
    <w:r>
      <w:instrText xml:space="preserve">)" \w  \* MERGEFORMAT </w:instrText>
    </w:r>
    <w:r>
      <w:fldChar w:fldCharType="separate"/>
    </w:r>
    <w:r>
      <w:rPr>
        <w:noProof/>
      </w:rPr>
      <w:t>9</w:t>
    </w:r>
    <w:r>
      <w:rPr>
        <w:noProof/>
      </w:rPr>
      <w:fldChar w:fldCharType="end"/>
    </w:r>
    <w:r w:rsidR="00B82AEA">
      <w:t xml:space="preserve">. </w:t>
    </w:r>
    <w:r>
      <w:fldChar w:fldCharType="begin"/>
    </w:r>
    <w:r>
      <w:instrText xml:space="preserve"> STYLEREF  "Heading 1 (#)"  \* MERGEFORMAT </w:instrText>
    </w:r>
    <w:r>
      <w:fldChar w:fldCharType="separate"/>
    </w:r>
    <w:r>
      <w:rPr>
        <w:noProof/>
      </w:rPr>
      <w:t>Other disclosures</w:t>
    </w:r>
    <w:r>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E73501" w:rsidP="00AC68FF">
    <w:pPr>
      <w:pStyle w:val="Header"/>
      <w:jc w:val="right"/>
    </w:pPr>
    <w:r>
      <w:fldChar w:fldCharType="begin"/>
    </w:r>
    <w:r>
      <w:instrText xml:space="preserve"> STYLEREF  "Heading 1 (#)" \w  \* MERGEFORMAT </w:instrText>
    </w:r>
    <w:r>
      <w:fldChar w:fldCharType="separate"/>
    </w:r>
    <w:r>
      <w:rPr>
        <w:noProof/>
      </w:rPr>
      <w:t>9</w:t>
    </w:r>
    <w:r>
      <w:rPr>
        <w:noProof/>
      </w:rPr>
      <w:fldChar w:fldCharType="end"/>
    </w:r>
    <w:r w:rsidR="00B82AEA">
      <w:t xml:space="preserve">. </w:t>
    </w:r>
    <w:r>
      <w:fldChar w:fldCharType="begin"/>
    </w:r>
    <w:r>
      <w:instrText xml:space="preserve"> STYLEREF  "Heading 1 (#)"  \* MERGEFORMAT </w:instrText>
    </w:r>
    <w:r>
      <w:fldChar w:fldCharType="separate"/>
    </w:r>
    <w:r>
      <w:rPr>
        <w:noProof/>
      </w:rPr>
      <w:t>Other disclosures</w:t>
    </w:r>
    <w:r>
      <w:rPr>
        <w:noProof/>
      </w:rPr>
      <w:fldChar w:fldCharType="end"/>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E73501" w:rsidP="00AC68FF">
    <w:pPr>
      <w:pStyle w:val="Header"/>
    </w:pPr>
    <w:r>
      <w:fldChar w:fldCharType="begin"/>
    </w:r>
    <w:r>
      <w:instrText xml:space="preserve"> STYLEREF  "Heading 1 (#)" \w  \* MERGEFORMAT </w:instrText>
    </w:r>
    <w:r>
      <w:fldChar w:fldCharType="separate"/>
    </w:r>
    <w:r>
      <w:rPr>
        <w:noProof/>
      </w:rPr>
      <w:t>9</w:t>
    </w:r>
    <w:r>
      <w:rPr>
        <w:noProof/>
      </w:rPr>
      <w:fldChar w:fldCharType="end"/>
    </w:r>
    <w:r w:rsidR="00B82AEA">
      <w:t xml:space="preserve">. </w:t>
    </w:r>
    <w:r>
      <w:fldChar w:fldCharType="begin"/>
    </w:r>
    <w:r>
      <w:instrText xml:space="preserve"> STYLEREF  "Heading 1 (#)"  \* MERGEFORMAT </w:instrText>
    </w:r>
    <w:r>
      <w:fldChar w:fldCharType="separate"/>
    </w:r>
    <w:r>
      <w:rPr>
        <w:noProof/>
      </w:rPr>
      <w:t>Other disclosures</w:t>
    </w:r>
    <w:r>
      <w:rPr>
        <w:noProof/>
      </w:rPr>
      <w:fldChar w:fldCharType="end"/>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E73501" w:rsidP="00AC68FF">
    <w:pPr>
      <w:pStyle w:val="Header"/>
      <w:jc w:val="right"/>
    </w:pPr>
    <w:r>
      <w:fldChar w:fldCharType="begin"/>
    </w:r>
    <w:r>
      <w:instrText xml:space="preserve"> STYLEREF  "Heading 1 (#)" \w  \* MERGEFORMAT </w:instrText>
    </w:r>
    <w:r>
      <w:fldChar w:fldCharType="separate"/>
    </w:r>
    <w:r>
      <w:rPr>
        <w:noProof/>
      </w:rPr>
      <w:t>9</w:t>
    </w:r>
    <w:r>
      <w:rPr>
        <w:noProof/>
      </w:rPr>
      <w:fldChar w:fldCharType="end"/>
    </w:r>
    <w:r w:rsidR="00B82AEA">
      <w:t xml:space="preserve">. </w:t>
    </w:r>
    <w:r>
      <w:fldChar w:fldCharType="begin"/>
    </w:r>
    <w:r>
      <w:instrText xml:space="preserve"> STYLEREF  "Heading 1 (#)"  \* MERGEFORMAT </w:instrText>
    </w:r>
    <w:r>
      <w:fldChar w:fldCharType="separate"/>
    </w:r>
    <w:r>
      <w:rPr>
        <w:noProof/>
      </w:rPr>
      <w:t>Other disclosures</w:t>
    </w:r>
    <w:r>
      <w:rPr>
        <w:noProof/>
      </w:rPr>
      <w:fldChar w:fldCharType="end"/>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rsidP="00AC68FF">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E73501" w:rsidP="00AC68FF">
    <w:pPr>
      <w:pStyle w:val="Header"/>
      <w:jc w:val="right"/>
    </w:pPr>
    <w:r>
      <w:fldChar w:fldCharType="begin"/>
    </w:r>
    <w:r>
      <w:instrText xml:space="preserve"> STYLEREF  "Heading 1 (#)" \w  \* MERGEFORMAT </w:instrText>
    </w:r>
    <w:r>
      <w:fldChar w:fldCharType="separate"/>
    </w:r>
    <w:r w:rsidR="002C7F26">
      <w:rPr>
        <w:noProof/>
      </w:rPr>
      <w:t>9</w:t>
    </w:r>
    <w:r>
      <w:rPr>
        <w:noProof/>
      </w:rPr>
      <w:fldChar w:fldCharType="end"/>
    </w:r>
    <w:r w:rsidR="00B82AEA">
      <w:t xml:space="preserve">. </w:t>
    </w:r>
    <w:r>
      <w:fldChar w:fldCharType="begin"/>
    </w:r>
    <w:r>
      <w:instrText xml:space="preserve"> STYLEREF  "Heading 1 (#)"  \* MERGEFORMAT </w:instrText>
    </w:r>
    <w:r>
      <w:fldChar w:fldCharType="separate"/>
    </w:r>
    <w:r w:rsidR="002C7F26">
      <w:rPr>
        <w:noProof/>
      </w:rPr>
      <w:t>Other disclosures</w:t>
    </w:r>
    <w:r>
      <w:rPr>
        <w:noProof/>
      </w:rPr>
      <w:fldChar w:fldCharType="end"/>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B82AEA" w:rsidP="00AC68FF">
    <w:pPr>
      <w:pStyle w:val="Header"/>
      <w:jc w:val="right"/>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03431C" w:rsidRDefault="00B82AEA" w:rsidP="0003431C">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D55A7A" w:rsidRDefault="00B82AEA" w:rsidP="00AC68FF">
    <w:pPr>
      <w:pStyle w:val="Header"/>
      <w:jc w:val="right"/>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2C641A" w:rsidRDefault="00B82AEA" w:rsidP="00AC68FF">
    <w:r>
      <w:rPr>
        <w:noProof/>
        <w:lang w:eastAsia="en-AU"/>
      </w:rPr>
      <mc:AlternateContent>
        <mc:Choice Requires="wps">
          <w:drawing>
            <wp:anchor distT="0" distB="0" distL="114300" distR="114300" simplePos="0" relativeHeight="251670528" behindDoc="0" locked="0" layoutInCell="1" allowOverlap="1" wp14:anchorId="372D9B7A" wp14:editId="6BB26B50">
              <wp:simplePos x="0" y="0"/>
              <wp:positionH relativeFrom="column">
                <wp:posOffset>9269910</wp:posOffset>
              </wp:positionH>
              <wp:positionV relativeFrom="paragraph">
                <wp:posOffset>276960</wp:posOffset>
              </wp:positionV>
              <wp:extent cx="396000" cy="6192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Default="00B82AEA" w:rsidP="00AC68FF">
                          <w:pPr>
                            <w:pStyle w:val="Header"/>
                          </w:pPr>
                        </w:p>
                        <w:p w:rsidR="00B82AEA" w:rsidRDefault="00B82AEA" w:rsidP="00AC68FF">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55" type="#_x0000_t202" style="position:absolute;margin-left:729.9pt;margin-top:21.8pt;width:31.2pt;height:487.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" filled="f" stroked="f" strokeweight=".5pt">
              <v:textbox style="layout-flow:vertical">
                <w:txbxContent>
                  <w:p w:rsidR="00B82AEA" w:rsidRDefault="00B82AEA" w:rsidP="00AC68FF">
                    <w:pPr>
                      <w:pStyle w:val="Header"/>
                    </w:pPr>
                  </w:p>
                  <w:p w:rsidR="00B82AEA" w:rsidRDefault="00B82AEA" w:rsidP="00AC68FF">
                    <w:pPr>
                      <w:pStyle w:val="Header"/>
                    </w:pPr>
                  </w:p>
                </w:txbxContent>
              </v:textbox>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Pr="002C641A" w:rsidRDefault="00B82AEA" w:rsidP="00AC68FF">
    <w:r>
      <w:rPr>
        <w:noProof/>
        <w:lang w:eastAsia="en-AU"/>
      </w:rPr>
      <mc:AlternateContent>
        <mc:Choice Requires="wps">
          <w:drawing>
            <wp:anchor distT="0" distB="0" distL="114300" distR="114300" simplePos="0" relativeHeight="251669504" behindDoc="0" locked="0" layoutInCell="1" allowOverlap="1" wp14:anchorId="36CBCDA8" wp14:editId="439D6798">
              <wp:simplePos x="0" y="0"/>
              <wp:positionH relativeFrom="column">
                <wp:posOffset>9269910</wp:posOffset>
              </wp:positionH>
              <wp:positionV relativeFrom="paragraph">
                <wp:posOffset>276960</wp:posOffset>
              </wp:positionV>
              <wp:extent cx="396000" cy="6192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82AEA" w:rsidRDefault="00B82AEA" w:rsidP="00AC68FF">
                          <w:pPr>
                            <w:pStyle w:val="Header"/>
                            <w:jc w:val="right"/>
                          </w:pPr>
                        </w:p>
                        <w:p w:rsidR="00B82AEA" w:rsidRDefault="00B82AEA" w:rsidP="00AC68FF">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56" type="#_x0000_t202" style="position:absolute;margin-left:729.9pt;margin-top:21.8pt;width:31.2pt;height:487.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" filled="f" stroked="f" strokeweight=".5pt">
              <v:textbox style="layout-flow:vertical">
                <w:txbxContent>
                  <w:p w:rsidR="00B82AEA" w:rsidRDefault="00B82AEA" w:rsidP="00AC68FF">
                    <w:pPr>
                      <w:pStyle w:val="Header"/>
                      <w:jc w:val="right"/>
                    </w:pPr>
                  </w:p>
                  <w:p w:rsidR="00B82AEA" w:rsidRDefault="00B82AEA" w:rsidP="00AC68FF">
                    <w:pPr>
                      <w:pStyle w:val="Header"/>
                      <w:jc w:val="right"/>
                    </w:pP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AEA" w:rsidRDefault="00B82A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nsid w:val="06EE77F9"/>
    <w:multiLevelType w:val="multilevel"/>
    <w:tmpl w:val="F104AB12"/>
    <w:numStyleLink w:val="NumberedHeadings"/>
  </w:abstractNum>
  <w:abstractNum w:abstractNumId="4">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AD0BFB"/>
    <w:multiLevelType w:val="multilevel"/>
    <w:tmpl w:val="9E92E2D2"/>
    <w:numStyleLink w:val="ListAlphaStyle"/>
  </w:abstractNum>
  <w:abstractNum w:abstractNumId="6">
    <w:nsid w:val="14E41F50"/>
    <w:multiLevelType w:val="multilevel"/>
    <w:tmpl w:val="9E92E2D2"/>
    <w:styleLink w:val="ListAlphaStyle"/>
    <w:lvl w:ilvl="0">
      <w:start w:val="1"/>
      <w:numFmt w:val="lowerLetter"/>
      <w:pStyle w:val="ListAlpha"/>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nsid w:val="21B54C55"/>
    <w:multiLevelType w:val="hybridMultilevel"/>
    <w:tmpl w:val="3E9A0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6F652C0"/>
    <w:multiLevelType w:val="multilevel"/>
    <w:tmpl w:val="A566B5C6"/>
    <w:styleLink w:val="ListNumberStyle"/>
    <w:lvl w:ilvl="0">
      <w:start w:val="1"/>
      <w:numFmt w:val="decimal"/>
      <w:lvlText w:val="%1)"/>
      <w:lvlJc w:val="left"/>
      <w:pPr>
        <w:ind w:left="397" w:hanging="397"/>
      </w:pPr>
      <w:rPr>
        <w:rFonts w:hint="default"/>
      </w:rPr>
    </w:lvl>
    <w:lvl w:ilvl="1">
      <w:start w:val="1"/>
      <w:numFmt w:val="none"/>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9">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nsid w:val="30D81DD3"/>
    <w:multiLevelType w:val="multilevel"/>
    <w:tmpl w:val="5E22C0F8"/>
    <w:numStyleLink w:val="Bullet"/>
  </w:abstractNum>
  <w:abstractNum w:abstractNumId="12">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nsid w:val="3E7A7D6E"/>
    <w:multiLevelType w:val="hybridMultilevel"/>
    <w:tmpl w:val="FAB6C022"/>
    <w:lvl w:ilvl="0" w:tplc="C28E38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4937019"/>
    <w:multiLevelType w:val="multilevel"/>
    <w:tmpl w:val="EFCE6D40"/>
    <w:styleLink w:val="ListBulletStyle"/>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6">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B695180"/>
    <w:multiLevelType w:val="multilevel"/>
    <w:tmpl w:val="5E22C0F8"/>
    <w:numStyleLink w:val="Bullet"/>
  </w:abstractNum>
  <w:abstractNum w:abstractNumId="19">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nsid w:val="6CFF3731"/>
    <w:multiLevelType w:val="multilevel"/>
    <w:tmpl w:val="7500EB92"/>
    <w:numStyleLink w:val="Number"/>
  </w:abstractNum>
  <w:num w:numId="1">
    <w:abstractNumId w:val="2"/>
  </w:num>
  <w:num w:numId="2">
    <w:abstractNumId w:val="12"/>
  </w:num>
  <w:num w:numId="3">
    <w:abstractNumId w:val="16"/>
  </w:num>
  <w:num w:numId="4">
    <w:abstractNumId w:val="10"/>
  </w:num>
  <w:num w:numId="5">
    <w:abstractNumId w:val="15"/>
  </w:num>
  <w:num w:numId="6">
    <w:abstractNumId w:val="17"/>
  </w:num>
  <w:num w:numId="7">
    <w:abstractNumId w:val="18"/>
  </w:num>
  <w:num w:numId="8">
    <w:abstractNumId w:val="20"/>
  </w:num>
  <w:num w:numId="9">
    <w:abstractNumId w:val="1"/>
  </w:num>
  <w:num w:numId="10">
    <w:abstractNumId w:val="0"/>
  </w:num>
  <w:num w:numId="11">
    <w:abstractNumId w:val="9"/>
  </w:num>
  <w:num w:numId="12">
    <w:abstractNumId w:val="4"/>
  </w:num>
  <w:num w:numId="13">
    <w:abstractNumId w:val="19"/>
  </w:num>
  <w:num w:numId="14">
    <w:abstractNumId w:val="3"/>
  </w:num>
  <w:num w:numId="15">
    <w:abstractNumId w:val="6"/>
  </w:num>
  <w:num w:numId="16">
    <w:abstractNumId w:val="5"/>
  </w:num>
  <w:num w:numId="17">
    <w:abstractNumId w:val="14"/>
  </w:num>
  <w:num w:numId="18">
    <w:abstractNumId w:val="8"/>
  </w:num>
  <w:num w:numId="19">
    <w:abstractNumId w:val="11"/>
    <w:lvlOverride w:ilvl="0">
      <w:lvl w:ilvl="0">
        <w:start w:val="1"/>
        <w:numFmt w:val="bullet"/>
        <w:lvlText w:val=""/>
        <w:lvlJc w:val="left"/>
        <w:pPr>
          <w:ind w:left="284" w:hanging="284"/>
        </w:pPr>
        <w:rPr>
          <w:rFonts w:ascii="Symbol" w:hAnsi="Symbol" w:hint="default"/>
        </w:rPr>
      </w:lvl>
    </w:lvlOverride>
    <w:lvlOverride w:ilvl="1">
      <w:lvl w:ilvl="1">
        <w:start w:val="1"/>
        <w:numFmt w:val="bullet"/>
        <w:lvlText w:val="–"/>
        <w:lvlJc w:val="left"/>
        <w:pPr>
          <w:ind w:left="568" w:hanging="284"/>
        </w:pPr>
        <w:rPr>
          <w:rFonts w:ascii="Arial" w:hAnsi="Arial"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20">
    <w:abstractNumId w:val="7"/>
  </w:num>
  <w:num w:numId="21">
    <w:abstractNumId w:val="11"/>
    <w:lvlOverride w:ilvl="4">
      <w:lvl w:ilvl="4">
        <w:start w:val="1"/>
        <w:numFmt w:val="lowerLetter"/>
        <w:lvlText w:val="(%5)"/>
        <w:lvlJc w:val="left"/>
        <w:pPr>
          <w:ind w:left="1420" w:hanging="284"/>
        </w:pPr>
        <w:rPr>
          <w:rFonts w:hint="default"/>
        </w:rPr>
      </w:lvl>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3"/>
    <w:lvlOverride w:ilvl="2">
      <w:lvl w:ilvl="2">
        <w:start w:val="1"/>
        <w:numFmt w:val="decimal"/>
        <w:pStyle w:val="Heading3"/>
        <w:lvlText w:val="%1.%2.%3"/>
        <w:lvlJc w:val="left"/>
        <w:pPr>
          <w:ind w:left="1701" w:hanging="851"/>
        </w:pPr>
      </w:lvl>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BE1"/>
    <w:rsid w:val="00001A3C"/>
    <w:rsid w:val="000068BC"/>
    <w:rsid w:val="00017EF2"/>
    <w:rsid w:val="00017F50"/>
    <w:rsid w:val="000256AE"/>
    <w:rsid w:val="0003431C"/>
    <w:rsid w:val="00037D54"/>
    <w:rsid w:val="00042ABE"/>
    <w:rsid w:val="00055A63"/>
    <w:rsid w:val="00056736"/>
    <w:rsid w:val="00057E4E"/>
    <w:rsid w:val="00057EFB"/>
    <w:rsid w:val="0006404F"/>
    <w:rsid w:val="00064F49"/>
    <w:rsid w:val="00067D08"/>
    <w:rsid w:val="0007193F"/>
    <w:rsid w:val="00073219"/>
    <w:rsid w:val="0007386D"/>
    <w:rsid w:val="00073EFA"/>
    <w:rsid w:val="00081EB7"/>
    <w:rsid w:val="00082872"/>
    <w:rsid w:val="00082D1F"/>
    <w:rsid w:val="00085B64"/>
    <w:rsid w:val="0009147C"/>
    <w:rsid w:val="000915C9"/>
    <w:rsid w:val="000937FA"/>
    <w:rsid w:val="00094648"/>
    <w:rsid w:val="000947FE"/>
    <w:rsid w:val="000A03F9"/>
    <w:rsid w:val="000A07AD"/>
    <w:rsid w:val="000A2CDF"/>
    <w:rsid w:val="000A5E6F"/>
    <w:rsid w:val="000B0487"/>
    <w:rsid w:val="000B3D1D"/>
    <w:rsid w:val="000C1B0B"/>
    <w:rsid w:val="000C43CD"/>
    <w:rsid w:val="000C68FD"/>
    <w:rsid w:val="000C6A23"/>
    <w:rsid w:val="000D0ECF"/>
    <w:rsid w:val="000D111F"/>
    <w:rsid w:val="000D53D5"/>
    <w:rsid w:val="000D5949"/>
    <w:rsid w:val="000D758E"/>
    <w:rsid w:val="000E037E"/>
    <w:rsid w:val="000E04E7"/>
    <w:rsid w:val="000E174A"/>
    <w:rsid w:val="000E1A6C"/>
    <w:rsid w:val="000E2126"/>
    <w:rsid w:val="000E28B3"/>
    <w:rsid w:val="000E754E"/>
    <w:rsid w:val="000E7B73"/>
    <w:rsid w:val="000F140B"/>
    <w:rsid w:val="000F34B0"/>
    <w:rsid w:val="000F5547"/>
    <w:rsid w:val="000F5BCA"/>
    <w:rsid w:val="00103DE5"/>
    <w:rsid w:val="001044FE"/>
    <w:rsid w:val="00104F1A"/>
    <w:rsid w:val="00111AEE"/>
    <w:rsid w:val="00113667"/>
    <w:rsid w:val="00117EC7"/>
    <w:rsid w:val="00120B97"/>
    <w:rsid w:val="001212DB"/>
    <w:rsid w:val="001213D6"/>
    <w:rsid w:val="001222D0"/>
    <w:rsid w:val="00124F13"/>
    <w:rsid w:val="00132069"/>
    <w:rsid w:val="00150302"/>
    <w:rsid w:val="001506B1"/>
    <w:rsid w:val="00150EA4"/>
    <w:rsid w:val="00153D29"/>
    <w:rsid w:val="00155927"/>
    <w:rsid w:val="001560FE"/>
    <w:rsid w:val="001575FA"/>
    <w:rsid w:val="00157D89"/>
    <w:rsid w:val="00160DB5"/>
    <w:rsid w:val="00161C03"/>
    <w:rsid w:val="00166699"/>
    <w:rsid w:val="001675E6"/>
    <w:rsid w:val="001753D7"/>
    <w:rsid w:val="001808F7"/>
    <w:rsid w:val="001828C5"/>
    <w:rsid w:val="00183F51"/>
    <w:rsid w:val="001845E1"/>
    <w:rsid w:val="0018520E"/>
    <w:rsid w:val="00185B60"/>
    <w:rsid w:val="0019169A"/>
    <w:rsid w:val="001934DA"/>
    <w:rsid w:val="00193FC8"/>
    <w:rsid w:val="001A0141"/>
    <w:rsid w:val="001B04ED"/>
    <w:rsid w:val="001B0E7F"/>
    <w:rsid w:val="001B286A"/>
    <w:rsid w:val="001B3B72"/>
    <w:rsid w:val="001C2C03"/>
    <w:rsid w:val="001D6F06"/>
    <w:rsid w:val="001D7A51"/>
    <w:rsid w:val="001E6E6F"/>
    <w:rsid w:val="001E7AFE"/>
    <w:rsid w:val="001F4F51"/>
    <w:rsid w:val="00204EB0"/>
    <w:rsid w:val="002065D0"/>
    <w:rsid w:val="00210496"/>
    <w:rsid w:val="0021177F"/>
    <w:rsid w:val="00212222"/>
    <w:rsid w:val="00214AB1"/>
    <w:rsid w:val="00220042"/>
    <w:rsid w:val="00220E35"/>
    <w:rsid w:val="0022112F"/>
    <w:rsid w:val="00222883"/>
    <w:rsid w:val="0022594E"/>
    <w:rsid w:val="002311FD"/>
    <w:rsid w:val="0023258F"/>
    <w:rsid w:val="00237563"/>
    <w:rsid w:val="002403C7"/>
    <w:rsid w:val="00241BC9"/>
    <w:rsid w:val="0024394B"/>
    <w:rsid w:val="00243E2F"/>
    <w:rsid w:val="00247670"/>
    <w:rsid w:val="0025200D"/>
    <w:rsid w:val="002526D6"/>
    <w:rsid w:val="00253619"/>
    <w:rsid w:val="00254B5A"/>
    <w:rsid w:val="002559F8"/>
    <w:rsid w:val="00255A9A"/>
    <w:rsid w:val="0025669F"/>
    <w:rsid w:val="00257E89"/>
    <w:rsid w:val="00260DE7"/>
    <w:rsid w:val="00263A1C"/>
    <w:rsid w:val="00271E79"/>
    <w:rsid w:val="00273C25"/>
    <w:rsid w:val="00281AB4"/>
    <w:rsid w:val="00294556"/>
    <w:rsid w:val="00295E0F"/>
    <w:rsid w:val="00296CF7"/>
    <w:rsid w:val="00297B6C"/>
    <w:rsid w:val="002A0391"/>
    <w:rsid w:val="002A3957"/>
    <w:rsid w:val="002A57BB"/>
    <w:rsid w:val="002B3B71"/>
    <w:rsid w:val="002B3E8C"/>
    <w:rsid w:val="002B526C"/>
    <w:rsid w:val="002B6C58"/>
    <w:rsid w:val="002B7DE4"/>
    <w:rsid w:val="002C3386"/>
    <w:rsid w:val="002C3B94"/>
    <w:rsid w:val="002C3F78"/>
    <w:rsid w:val="002C5BE1"/>
    <w:rsid w:val="002C6EA8"/>
    <w:rsid w:val="002C7D19"/>
    <w:rsid w:val="002C7F26"/>
    <w:rsid w:val="002D040C"/>
    <w:rsid w:val="002D47C9"/>
    <w:rsid w:val="002D52F9"/>
    <w:rsid w:val="002E628D"/>
    <w:rsid w:val="002F016E"/>
    <w:rsid w:val="002F35F1"/>
    <w:rsid w:val="002F7BBC"/>
    <w:rsid w:val="00301106"/>
    <w:rsid w:val="0030125B"/>
    <w:rsid w:val="00306420"/>
    <w:rsid w:val="00306EAE"/>
    <w:rsid w:val="00307AC2"/>
    <w:rsid w:val="00307E25"/>
    <w:rsid w:val="00327286"/>
    <w:rsid w:val="00330FD3"/>
    <w:rsid w:val="0033621D"/>
    <w:rsid w:val="003371B4"/>
    <w:rsid w:val="00337317"/>
    <w:rsid w:val="0034185B"/>
    <w:rsid w:val="00343347"/>
    <w:rsid w:val="00343667"/>
    <w:rsid w:val="003465A0"/>
    <w:rsid w:val="00347922"/>
    <w:rsid w:val="00354E3B"/>
    <w:rsid w:val="00357C4E"/>
    <w:rsid w:val="00360393"/>
    <w:rsid w:val="003631D0"/>
    <w:rsid w:val="00363B60"/>
    <w:rsid w:val="00370181"/>
    <w:rsid w:val="003703D1"/>
    <w:rsid w:val="0037139D"/>
    <w:rsid w:val="003741F4"/>
    <w:rsid w:val="0037430B"/>
    <w:rsid w:val="00377B81"/>
    <w:rsid w:val="003805EF"/>
    <w:rsid w:val="00380821"/>
    <w:rsid w:val="003825F8"/>
    <w:rsid w:val="00387024"/>
    <w:rsid w:val="00387A3A"/>
    <w:rsid w:val="00390A50"/>
    <w:rsid w:val="0039234B"/>
    <w:rsid w:val="00395FF7"/>
    <w:rsid w:val="003970E7"/>
    <w:rsid w:val="00397E96"/>
    <w:rsid w:val="003A03DF"/>
    <w:rsid w:val="003A0816"/>
    <w:rsid w:val="003A1578"/>
    <w:rsid w:val="003A1BBB"/>
    <w:rsid w:val="003A5819"/>
    <w:rsid w:val="003A7481"/>
    <w:rsid w:val="003C5DBD"/>
    <w:rsid w:val="003C75BF"/>
    <w:rsid w:val="003D279B"/>
    <w:rsid w:val="003D766C"/>
    <w:rsid w:val="003D7FD7"/>
    <w:rsid w:val="003E26A7"/>
    <w:rsid w:val="003E26C4"/>
    <w:rsid w:val="003E2986"/>
    <w:rsid w:val="003E58E4"/>
    <w:rsid w:val="003E68E6"/>
    <w:rsid w:val="003E6FBF"/>
    <w:rsid w:val="003E7CD9"/>
    <w:rsid w:val="00402880"/>
    <w:rsid w:val="00403881"/>
    <w:rsid w:val="00407B77"/>
    <w:rsid w:val="00407F41"/>
    <w:rsid w:val="004115B3"/>
    <w:rsid w:val="00415D0D"/>
    <w:rsid w:val="0042008E"/>
    <w:rsid w:val="004230C9"/>
    <w:rsid w:val="00423170"/>
    <w:rsid w:val="00424473"/>
    <w:rsid w:val="00424959"/>
    <w:rsid w:val="00432BD8"/>
    <w:rsid w:val="004419CD"/>
    <w:rsid w:val="00441FC3"/>
    <w:rsid w:val="00450141"/>
    <w:rsid w:val="00454513"/>
    <w:rsid w:val="0046140A"/>
    <w:rsid w:val="004638BC"/>
    <w:rsid w:val="00466278"/>
    <w:rsid w:val="00467510"/>
    <w:rsid w:val="00474C53"/>
    <w:rsid w:val="00475D53"/>
    <w:rsid w:val="00477551"/>
    <w:rsid w:val="00483D38"/>
    <w:rsid w:val="0048771F"/>
    <w:rsid w:val="00493C2E"/>
    <w:rsid w:val="004964EC"/>
    <w:rsid w:val="00496B0F"/>
    <w:rsid w:val="004A59F9"/>
    <w:rsid w:val="004B1258"/>
    <w:rsid w:val="004B1F1F"/>
    <w:rsid w:val="004B492A"/>
    <w:rsid w:val="004C1F0B"/>
    <w:rsid w:val="004C3D0D"/>
    <w:rsid w:val="004C59E7"/>
    <w:rsid w:val="004D32E9"/>
    <w:rsid w:val="004E40CD"/>
    <w:rsid w:val="004E5C31"/>
    <w:rsid w:val="004F03F6"/>
    <w:rsid w:val="004F2F5C"/>
    <w:rsid w:val="004F3EFD"/>
    <w:rsid w:val="004F5AD4"/>
    <w:rsid w:val="004F6DBA"/>
    <w:rsid w:val="004F738A"/>
    <w:rsid w:val="00500DAE"/>
    <w:rsid w:val="00504811"/>
    <w:rsid w:val="00510CBB"/>
    <w:rsid w:val="005154CE"/>
    <w:rsid w:val="005243EA"/>
    <w:rsid w:val="005271FE"/>
    <w:rsid w:val="005307AA"/>
    <w:rsid w:val="0053103E"/>
    <w:rsid w:val="00531EF1"/>
    <w:rsid w:val="00535247"/>
    <w:rsid w:val="00536ACD"/>
    <w:rsid w:val="00541C6D"/>
    <w:rsid w:val="00542176"/>
    <w:rsid w:val="00542B89"/>
    <w:rsid w:val="00544147"/>
    <w:rsid w:val="00545C39"/>
    <w:rsid w:val="00555F5E"/>
    <w:rsid w:val="005563E9"/>
    <w:rsid w:val="00556B3E"/>
    <w:rsid w:val="00560E01"/>
    <w:rsid w:val="005657B2"/>
    <w:rsid w:val="00566049"/>
    <w:rsid w:val="00566692"/>
    <w:rsid w:val="00573F75"/>
    <w:rsid w:val="00574728"/>
    <w:rsid w:val="00574AF9"/>
    <w:rsid w:val="00576C73"/>
    <w:rsid w:val="00580355"/>
    <w:rsid w:val="00580399"/>
    <w:rsid w:val="00581D45"/>
    <w:rsid w:val="005852CA"/>
    <w:rsid w:val="0058536D"/>
    <w:rsid w:val="005903BA"/>
    <w:rsid w:val="005933E1"/>
    <w:rsid w:val="00595C45"/>
    <w:rsid w:val="0059621E"/>
    <w:rsid w:val="005A0BEB"/>
    <w:rsid w:val="005A3B07"/>
    <w:rsid w:val="005B0F23"/>
    <w:rsid w:val="005C0288"/>
    <w:rsid w:val="005C09D4"/>
    <w:rsid w:val="005C62C6"/>
    <w:rsid w:val="005C71D4"/>
    <w:rsid w:val="005D108E"/>
    <w:rsid w:val="005D7B44"/>
    <w:rsid w:val="005E47B0"/>
    <w:rsid w:val="005F049A"/>
    <w:rsid w:val="005F3542"/>
    <w:rsid w:val="005F3DE5"/>
    <w:rsid w:val="0060067C"/>
    <w:rsid w:val="00600C46"/>
    <w:rsid w:val="006050D5"/>
    <w:rsid w:val="00605A27"/>
    <w:rsid w:val="00606611"/>
    <w:rsid w:val="00612683"/>
    <w:rsid w:val="00612950"/>
    <w:rsid w:val="006135D1"/>
    <w:rsid w:val="0061407E"/>
    <w:rsid w:val="00617210"/>
    <w:rsid w:val="00617936"/>
    <w:rsid w:val="0062070B"/>
    <w:rsid w:val="00620C4B"/>
    <w:rsid w:val="00622C6F"/>
    <w:rsid w:val="006243FE"/>
    <w:rsid w:val="0062613A"/>
    <w:rsid w:val="00626AEF"/>
    <w:rsid w:val="00627C2B"/>
    <w:rsid w:val="006309F6"/>
    <w:rsid w:val="00635722"/>
    <w:rsid w:val="00644B4A"/>
    <w:rsid w:val="006479D1"/>
    <w:rsid w:val="006517D1"/>
    <w:rsid w:val="00651946"/>
    <w:rsid w:val="0065280D"/>
    <w:rsid w:val="00664667"/>
    <w:rsid w:val="0066512E"/>
    <w:rsid w:val="00675BE1"/>
    <w:rsid w:val="00676AAC"/>
    <w:rsid w:val="00676CD7"/>
    <w:rsid w:val="006773B4"/>
    <w:rsid w:val="00677990"/>
    <w:rsid w:val="00677F5E"/>
    <w:rsid w:val="006835E4"/>
    <w:rsid w:val="006A0D84"/>
    <w:rsid w:val="006A1F6F"/>
    <w:rsid w:val="006A3371"/>
    <w:rsid w:val="006A35C1"/>
    <w:rsid w:val="006A64A9"/>
    <w:rsid w:val="006A6D19"/>
    <w:rsid w:val="006A7507"/>
    <w:rsid w:val="006B23F3"/>
    <w:rsid w:val="006B29FF"/>
    <w:rsid w:val="006C00EB"/>
    <w:rsid w:val="006C0F1F"/>
    <w:rsid w:val="006C4368"/>
    <w:rsid w:val="006C505F"/>
    <w:rsid w:val="006C76DC"/>
    <w:rsid w:val="006D4F41"/>
    <w:rsid w:val="006D778E"/>
    <w:rsid w:val="006E04DF"/>
    <w:rsid w:val="006E1EEA"/>
    <w:rsid w:val="006E2ADF"/>
    <w:rsid w:val="006E2BC5"/>
    <w:rsid w:val="006E400E"/>
    <w:rsid w:val="006E6F37"/>
    <w:rsid w:val="006F1D47"/>
    <w:rsid w:val="006F1F28"/>
    <w:rsid w:val="006F23B1"/>
    <w:rsid w:val="007021B4"/>
    <w:rsid w:val="00705B7B"/>
    <w:rsid w:val="007116A2"/>
    <w:rsid w:val="00714428"/>
    <w:rsid w:val="00720B4C"/>
    <w:rsid w:val="00722C32"/>
    <w:rsid w:val="00722E77"/>
    <w:rsid w:val="00724EFF"/>
    <w:rsid w:val="00725696"/>
    <w:rsid w:val="00725906"/>
    <w:rsid w:val="00726975"/>
    <w:rsid w:val="00726F1F"/>
    <w:rsid w:val="007273C5"/>
    <w:rsid w:val="00727E4F"/>
    <w:rsid w:val="007306A7"/>
    <w:rsid w:val="00731598"/>
    <w:rsid w:val="007346C0"/>
    <w:rsid w:val="007349CB"/>
    <w:rsid w:val="007352B3"/>
    <w:rsid w:val="00737FCE"/>
    <w:rsid w:val="00741825"/>
    <w:rsid w:val="00743CE4"/>
    <w:rsid w:val="00750C7C"/>
    <w:rsid w:val="00751550"/>
    <w:rsid w:val="00753E64"/>
    <w:rsid w:val="007575FF"/>
    <w:rsid w:val="0076376B"/>
    <w:rsid w:val="00765928"/>
    <w:rsid w:val="007676F1"/>
    <w:rsid w:val="00771A05"/>
    <w:rsid w:val="00773F07"/>
    <w:rsid w:val="007748F9"/>
    <w:rsid w:val="007779E1"/>
    <w:rsid w:val="00785944"/>
    <w:rsid w:val="00790E40"/>
    <w:rsid w:val="00790FB8"/>
    <w:rsid w:val="007919BA"/>
    <w:rsid w:val="007925EF"/>
    <w:rsid w:val="00794C4A"/>
    <w:rsid w:val="0079507A"/>
    <w:rsid w:val="00797CD1"/>
    <w:rsid w:val="00797E65"/>
    <w:rsid w:val="007A085F"/>
    <w:rsid w:val="007A0AD1"/>
    <w:rsid w:val="007A0D8B"/>
    <w:rsid w:val="007A11BE"/>
    <w:rsid w:val="007A4996"/>
    <w:rsid w:val="007A500C"/>
    <w:rsid w:val="007A5BD1"/>
    <w:rsid w:val="007A71DA"/>
    <w:rsid w:val="007A7975"/>
    <w:rsid w:val="007B51DD"/>
    <w:rsid w:val="007C4E5C"/>
    <w:rsid w:val="007D06DC"/>
    <w:rsid w:val="007D288D"/>
    <w:rsid w:val="007D2E99"/>
    <w:rsid w:val="007D449C"/>
    <w:rsid w:val="007D6D1A"/>
    <w:rsid w:val="007E2709"/>
    <w:rsid w:val="007E774C"/>
    <w:rsid w:val="007F05B7"/>
    <w:rsid w:val="007F1130"/>
    <w:rsid w:val="007F1AAF"/>
    <w:rsid w:val="00801B7F"/>
    <w:rsid w:val="0080479F"/>
    <w:rsid w:val="0081290D"/>
    <w:rsid w:val="00813995"/>
    <w:rsid w:val="00813A48"/>
    <w:rsid w:val="00814A7C"/>
    <w:rsid w:val="008155D0"/>
    <w:rsid w:val="00820AFD"/>
    <w:rsid w:val="00823F26"/>
    <w:rsid w:val="00831AE5"/>
    <w:rsid w:val="0083463B"/>
    <w:rsid w:val="00834B85"/>
    <w:rsid w:val="0083546E"/>
    <w:rsid w:val="00840C7A"/>
    <w:rsid w:val="00842AE8"/>
    <w:rsid w:val="00856812"/>
    <w:rsid w:val="0086442A"/>
    <w:rsid w:val="0086647D"/>
    <w:rsid w:val="00866918"/>
    <w:rsid w:val="00870335"/>
    <w:rsid w:val="00875D0E"/>
    <w:rsid w:val="00884BC4"/>
    <w:rsid w:val="00886DF7"/>
    <w:rsid w:val="00887F71"/>
    <w:rsid w:val="0089207D"/>
    <w:rsid w:val="00893855"/>
    <w:rsid w:val="008A0823"/>
    <w:rsid w:val="008A5A91"/>
    <w:rsid w:val="008A5F0E"/>
    <w:rsid w:val="008A6F84"/>
    <w:rsid w:val="008B2A39"/>
    <w:rsid w:val="008D128E"/>
    <w:rsid w:val="008D29E5"/>
    <w:rsid w:val="008D37BD"/>
    <w:rsid w:val="008D4739"/>
    <w:rsid w:val="008D5DD6"/>
    <w:rsid w:val="008D5E9E"/>
    <w:rsid w:val="008E1571"/>
    <w:rsid w:val="008E3105"/>
    <w:rsid w:val="008E406C"/>
    <w:rsid w:val="008E469A"/>
    <w:rsid w:val="008E4A0D"/>
    <w:rsid w:val="008E554D"/>
    <w:rsid w:val="008E5EA0"/>
    <w:rsid w:val="008F2E9F"/>
    <w:rsid w:val="008F3530"/>
    <w:rsid w:val="009008F6"/>
    <w:rsid w:val="00900DF0"/>
    <w:rsid w:val="009018C7"/>
    <w:rsid w:val="00901B8C"/>
    <w:rsid w:val="00903544"/>
    <w:rsid w:val="009046BD"/>
    <w:rsid w:val="009103EC"/>
    <w:rsid w:val="009146D5"/>
    <w:rsid w:val="009174A7"/>
    <w:rsid w:val="00917D22"/>
    <w:rsid w:val="00924B15"/>
    <w:rsid w:val="00933FF1"/>
    <w:rsid w:val="00934011"/>
    <w:rsid w:val="00934FFB"/>
    <w:rsid w:val="009373E3"/>
    <w:rsid w:val="00937701"/>
    <w:rsid w:val="009406ED"/>
    <w:rsid w:val="00943EAD"/>
    <w:rsid w:val="00945F71"/>
    <w:rsid w:val="00947417"/>
    <w:rsid w:val="009479BF"/>
    <w:rsid w:val="00950409"/>
    <w:rsid w:val="00950FB1"/>
    <w:rsid w:val="00951CFD"/>
    <w:rsid w:val="00952665"/>
    <w:rsid w:val="00953503"/>
    <w:rsid w:val="009544DA"/>
    <w:rsid w:val="009556A3"/>
    <w:rsid w:val="00961E83"/>
    <w:rsid w:val="009668EB"/>
    <w:rsid w:val="00967F9B"/>
    <w:rsid w:val="00974C9B"/>
    <w:rsid w:val="009754F2"/>
    <w:rsid w:val="0098338B"/>
    <w:rsid w:val="00983AF0"/>
    <w:rsid w:val="009862B3"/>
    <w:rsid w:val="00991A7E"/>
    <w:rsid w:val="009A2FFA"/>
    <w:rsid w:val="009A4DF2"/>
    <w:rsid w:val="009A664F"/>
    <w:rsid w:val="009B080A"/>
    <w:rsid w:val="009B185C"/>
    <w:rsid w:val="009B726A"/>
    <w:rsid w:val="009B7B27"/>
    <w:rsid w:val="009C28A4"/>
    <w:rsid w:val="009C4D58"/>
    <w:rsid w:val="009C51F1"/>
    <w:rsid w:val="009C6A5E"/>
    <w:rsid w:val="009C7E23"/>
    <w:rsid w:val="009D235E"/>
    <w:rsid w:val="009D414C"/>
    <w:rsid w:val="009D44E6"/>
    <w:rsid w:val="009D6D67"/>
    <w:rsid w:val="009E1F58"/>
    <w:rsid w:val="009E302E"/>
    <w:rsid w:val="009E4D30"/>
    <w:rsid w:val="009E6EDF"/>
    <w:rsid w:val="009F07A5"/>
    <w:rsid w:val="009F160B"/>
    <w:rsid w:val="009F6632"/>
    <w:rsid w:val="009F6886"/>
    <w:rsid w:val="009F6D73"/>
    <w:rsid w:val="00A015F0"/>
    <w:rsid w:val="00A05B0D"/>
    <w:rsid w:val="00A105F2"/>
    <w:rsid w:val="00A119C9"/>
    <w:rsid w:val="00A171DC"/>
    <w:rsid w:val="00A20782"/>
    <w:rsid w:val="00A2094F"/>
    <w:rsid w:val="00A20F1E"/>
    <w:rsid w:val="00A21C10"/>
    <w:rsid w:val="00A22419"/>
    <w:rsid w:val="00A264FE"/>
    <w:rsid w:val="00A30D6D"/>
    <w:rsid w:val="00A3420E"/>
    <w:rsid w:val="00A351BA"/>
    <w:rsid w:val="00A353D9"/>
    <w:rsid w:val="00A40680"/>
    <w:rsid w:val="00A42753"/>
    <w:rsid w:val="00A42771"/>
    <w:rsid w:val="00A441A5"/>
    <w:rsid w:val="00A46F1A"/>
    <w:rsid w:val="00A47629"/>
    <w:rsid w:val="00A50C8B"/>
    <w:rsid w:val="00A5347D"/>
    <w:rsid w:val="00A534B1"/>
    <w:rsid w:val="00A545AB"/>
    <w:rsid w:val="00A63051"/>
    <w:rsid w:val="00A637FA"/>
    <w:rsid w:val="00A71D28"/>
    <w:rsid w:val="00A72634"/>
    <w:rsid w:val="00A75888"/>
    <w:rsid w:val="00A75FEE"/>
    <w:rsid w:val="00A7711F"/>
    <w:rsid w:val="00A85FA2"/>
    <w:rsid w:val="00A9345E"/>
    <w:rsid w:val="00A94E87"/>
    <w:rsid w:val="00A977EF"/>
    <w:rsid w:val="00AB0C55"/>
    <w:rsid w:val="00AB2B48"/>
    <w:rsid w:val="00AB5FA5"/>
    <w:rsid w:val="00AB724F"/>
    <w:rsid w:val="00AC07FA"/>
    <w:rsid w:val="00AC4001"/>
    <w:rsid w:val="00AC68FF"/>
    <w:rsid w:val="00AD0212"/>
    <w:rsid w:val="00AD1487"/>
    <w:rsid w:val="00AD5C23"/>
    <w:rsid w:val="00AE26DF"/>
    <w:rsid w:val="00AF5018"/>
    <w:rsid w:val="00AF6157"/>
    <w:rsid w:val="00AF63C3"/>
    <w:rsid w:val="00AF7DCE"/>
    <w:rsid w:val="00B04832"/>
    <w:rsid w:val="00B06466"/>
    <w:rsid w:val="00B121BD"/>
    <w:rsid w:val="00B13F20"/>
    <w:rsid w:val="00B146AC"/>
    <w:rsid w:val="00B17122"/>
    <w:rsid w:val="00B24119"/>
    <w:rsid w:val="00B34A89"/>
    <w:rsid w:val="00B45243"/>
    <w:rsid w:val="00B4755F"/>
    <w:rsid w:val="00B56791"/>
    <w:rsid w:val="00B56B25"/>
    <w:rsid w:val="00B56C73"/>
    <w:rsid w:val="00B61331"/>
    <w:rsid w:val="00B63F61"/>
    <w:rsid w:val="00B70713"/>
    <w:rsid w:val="00B70D99"/>
    <w:rsid w:val="00B72498"/>
    <w:rsid w:val="00B728B0"/>
    <w:rsid w:val="00B764CE"/>
    <w:rsid w:val="00B77344"/>
    <w:rsid w:val="00B808FA"/>
    <w:rsid w:val="00B809CD"/>
    <w:rsid w:val="00B82AEA"/>
    <w:rsid w:val="00B82FB1"/>
    <w:rsid w:val="00B83597"/>
    <w:rsid w:val="00B8418E"/>
    <w:rsid w:val="00B862F0"/>
    <w:rsid w:val="00B91C7F"/>
    <w:rsid w:val="00B933FD"/>
    <w:rsid w:val="00B936B8"/>
    <w:rsid w:val="00BA126D"/>
    <w:rsid w:val="00BA26F2"/>
    <w:rsid w:val="00BB2087"/>
    <w:rsid w:val="00BB365D"/>
    <w:rsid w:val="00BB5411"/>
    <w:rsid w:val="00BB6F1F"/>
    <w:rsid w:val="00BB6FF4"/>
    <w:rsid w:val="00BC1376"/>
    <w:rsid w:val="00BC21AD"/>
    <w:rsid w:val="00BC5BCC"/>
    <w:rsid w:val="00BC6329"/>
    <w:rsid w:val="00BC6724"/>
    <w:rsid w:val="00BD0D9B"/>
    <w:rsid w:val="00BD1172"/>
    <w:rsid w:val="00BD2A8E"/>
    <w:rsid w:val="00BD2AB3"/>
    <w:rsid w:val="00BE12EA"/>
    <w:rsid w:val="00BE2FBB"/>
    <w:rsid w:val="00BF07FE"/>
    <w:rsid w:val="00BF08BC"/>
    <w:rsid w:val="00BF6E17"/>
    <w:rsid w:val="00C00568"/>
    <w:rsid w:val="00C0462D"/>
    <w:rsid w:val="00C04E2F"/>
    <w:rsid w:val="00C04F08"/>
    <w:rsid w:val="00C134E2"/>
    <w:rsid w:val="00C14F47"/>
    <w:rsid w:val="00C15470"/>
    <w:rsid w:val="00C16BF4"/>
    <w:rsid w:val="00C2116C"/>
    <w:rsid w:val="00C32D27"/>
    <w:rsid w:val="00C36FCD"/>
    <w:rsid w:val="00C461A9"/>
    <w:rsid w:val="00C4714D"/>
    <w:rsid w:val="00C5032A"/>
    <w:rsid w:val="00C532A5"/>
    <w:rsid w:val="00C573F8"/>
    <w:rsid w:val="00C65BE3"/>
    <w:rsid w:val="00C661B9"/>
    <w:rsid w:val="00C72023"/>
    <w:rsid w:val="00C72D96"/>
    <w:rsid w:val="00C75E55"/>
    <w:rsid w:val="00C77D7E"/>
    <w:rsid w:val="00C80D95"/>
    <w:rsid w:val="00C8749B"/>
    <w:rsid w:val="00C90B98"/>
    <w:rsid w:val="00C9101E"/>
    <w:rsid w:val="00C91E19"/>
    <w:rsid w:val="00C926FA"/>
    <w:rsid w:val="00C93D1A"/>
    <w:rsid w:val="00CA29CB"/>
    <w:rsid w:val="00CA3A0D"/>
    <w:rsid w:val="00CA41CF"/>
    <w:rsid w:val="00CA4410"/>
    <w:rsid w:val="00CA4F8B"/>
    <w:rsid w:val="00CA53C0"/>
    <w:rsid w:val="00CA6435"/>
    <w:rsid w:val="00CA7221"/>
    <w:rsid w:val="00CB2EA1"/>
    <w:rsid w:val="00CB303A"/>
    <w:rsid w:val="00CB43A2"/>
    <w:rsid w:val="00CC3BA2"/>
    <w:rsid w:val="00CC3DD5"/>
    <w:rsid w:val="00CD1FEA"/>
    <w:rsid w:val="00CD6B20"/>
    <w:rsid w:val="00CD6F54"/>
    <w:rsid w:val="00CD6FC0"/>
    <w:rsid w:val="00CD7F5E"/>
    <w:rsid w:val="00CE01C5"/>
    <w:rsid w:val="00CE05A2"/>
    <w:rsid w:val="00CE0E2F"/>
    <w:rsid w:val="00CE30BD"/>
    <w:rsid w:val="00CE3D5F"/>
    <w:rsid w:val="00CE4B69"/>
    <w:rsid w:val="00CE5CF8"/>
    <w:rsid w:val="00CE6A19"/>
    <w:rsid w:val="00CE763C"/>
    <w:rsid w:val="00CE7C34"/>
    <w:rsid w:val="00CF0546"/>
    <w:rsid w:val="00CF2B70"/>
    <w:rsid w:val="00CF5E6F"/>
    <w:rsid w:val="00D028BB"/>
    <w:rsid w:val="00D02935"/>
    <w:rsid w:val="00D07E7D"/>
    <w:rsid w:val="00D11A1E"/>
    <w:rsid w:val="00D341DE"/>
    <w:rsid w:val="00D3519E"/>
    <w:rsid w:val="00D379C4"/>
    <w:rsid w:val="00D429FE"/>
    <w:rsid w:val="00D451B9"/>
    <w:rsid w:val="00D47122"/>
    <w:rsid w:val="00D47FAC"/>
    <w:rsid w:val="00D54912"/>
    <w:rsid w:val="00D63655"/>
    <w:rsid w:val="00D705FE"/>
    <w:rsid w:val="00D71612"/>
    <w:rsid w:val="00D7231C"/>
    <w:rsid w:val="00D75608"/>
    <w:rsid w:val="00D75A85"/>
    <w:rsid w:val="00D760FE"/>
    <w:rsid w:val="00D81DD9"/>
    <w:rsid w:val="00D827B1"/>
    <w:rsid w:val="00D82AC2"/>
    <w:rsid w:val="00D87C48"/>
    <w:rsid w:val="00D90023"/>
    <w:rsid w:val="00D90086"/>
    <w:rsid w:val="00D90A05"/>
    <w:rsid w:val="00D91EF6"/>
    <w:rsid w:val="00D97443"/>
    <w:rsid w:val="00D977CF"/>
    <w:rsid w:val="00DA4CB5"/>
    <w:rsid w:val="00DA769F"/>
    <w:rsid w:val="00DB186F"/>
    <w:rsid w:val="00DB2477"/>
    <w:rsid w:val="00DB2A52"/>
    <w:rsid w:val="00DB2D01"/>
    <w:rsid w:val="00DB7BB3"/>
    <w:rsid w:val="00DC16E5"/>
    <w:rsid w:val="00DC576E"/>
    <w:rsid w:val="00DD1082"/>
    <w:rsid w:val="00DE3014"/>
    <w:rsid w:val="00DE36DF"/>
    <w:rsid w:val="00DE38D7"/>
    <w:rsid w:val="00DE5F03"/>
    <w:rsid w:val="00DE7ED9"/>
    <w:rsid w:val="00DF14C0"/>
    <w:rsid w:val="00DF4B2E"/>
    <w:rsid w:val="00E108FF"/>
    <w:rsid w:val="00E14FA6"/>
    <w:rsid w:val="00E173B6"/>
    <w:rsid w:val="00E244F1"/>
    <w:rsid w:val="00E2799F"/>
    <w:rsid w:val="00E31D88"/>
    <w:rsid w:val="00E32FD9"/>
    <w:rsid w:val="00E34095"/>
    <w:rsid w:val="00E36DAC"/>
    <w:rsid w:val="00E37936"/>
    <w:rsid w:val="00E40EDA"/>
    <w:rsid w:val="00E41328"/>
    <w:rsid w:val="00E42052"/>
    <w:rsid w:val="00E42684"/>
    <w:rsid w:val="00E45AC6"/>
    <w:rsid w:val="00E46DD4"/>
    <w:rsid w:val="00E46E4F"/>
    <w:rsid w:val="00E505E9"/>
    <w:rsid w:val="00E52A0F"/>
    <w:rsid w:val="00E6074E"/>
    <w:rsid w:val="00E63BE0"/>
    <w:rsid w:val="00E63D1F"/>
    <w:rsid w:val="00E64CBF"/>
    <w:rsid w:val="00E65539"/>
    <w:rsid w:val="00E709BA"/>
    <w:rsid w:val="00E7185E"/>
    <w:rsid w:val="00E73501"/>
    <w:rsid w:val="00E73BF7"/>
    <w:rsid w:val="00E74052"/>
    <w:rsid w:val="00E75212"/>
    <w:rsid w:val="00E81039"/>
    <w:rsid w:val="00E815F9"/>
    <w:rsid w:val="00E8244C"/>
    <w:rsid w:val="00E977BC"/>
    <w:rsid w:val="00E97FD9"/>
    <w:rsid w:val="00EA18A1"/>
    <w:rsid w:val="00EA4E6B"/>
    <w:rsid w:val="00EA5C59"/>
    <w:rsid w:val="00EB0619"/>
    <w:rsid w:val="00EB2DF9"/>
    <w:rsid w:val="00EB4924"/>
    <w:rsid w:val="00EB68A5"/>
    <w:rsid w:val="00EC3EAA"/>
    <w:rsid w:val="00EC7040"/>
    <w:rsid w:val="00ED06E6"/>
    <w:rsid w:val="00ED07D6"/>
    <w:rsid w:val="00ED1ABD"/>
    <w:rsid w:val="00ED3271"/>
    <w:rsid w:val="00ED5415"/>
    <w:rsid w:val="00ED5DFC"/>
    <w:rsid w:val="00EE0ACF"/>
    <w:rsid w:val="00EE3840"/>
    <w:rsid w:val="00EE7F4C"/>
    <w:rsid w:val="00EF0A38"/>
    <w:rsid w:val="00EF3C02"/>
    <w:rsid w:val="00EF7434"/>
    <w:rsid w:val="00F0128E"/>
    <w:rsid w:val="00F070FE"/>
    <w:rsid w:val="00F078AA"/>
    <w:rsid w:val="00F110B5"/>
    <w:rsid w:val="00F12718"/>
    <w:rsid w:val="00F14E4B"/>
    <w:rsid w:val="00F15DE6"/>
    <w:rsid w:val="00F21B68"/>
    <w:rsid w:val="00F2420E"/>
    <w:rsid w:val="00F270C7"/>
    <w:rsid w:val="00F27445"/>
    <w:rsid w:val="00F31FC9"/>
    <w:rsid w:val="00F3421F"/>
    <w:rsid w:val="00F36C92"/>
    <w:rsid w:val="00F4185A"/>
    <w:rsid w:val="00F44EB3"/>
    <w:rsid w:val="00F476D0"/>
    <w:rsid w:val="00F525A5"/>
    <w:rsid w:val="00F55D36"/>
    <w:rsid w:val="00F6286D"/>
    <w:rsid w:val="00F63294"/>
    <w:rsid w:val="00F65FF9"/>
    <w:rsid w:val="00F71AB2"/>
    <w:rsid w:val="00F73174"/>
    <w:rsid w:val="00F74BC1"/>
    <w:rsid w:val="00F7560F"/>
    <w:rsid w:val="00F75A5B"/>
    <w:rsid w:val="00F8170E"/>
    <w:rsid w:val="00F858E5"/>
    <w:rsid w:val="00F91FC1"/>
    <w:rsid w:val="00F9559A"/>
    <w:rsid w:val="00FA3262"/>
    <w:rsid w:val="00FA6472"/>
    <w:rsid w:val="00FA68DF"/>
    <w:rsid w:val="00FB1BDF"/>
    <w:rsid w:val="00FB2A00"/>
    <w:rsid w:val="00FB2D42"/>
    <w:rsid w:val="00FB3B7B"/>
    <w:rsid w:val="00FC05D4"/>
    <w:rsid w:val="00FC5E1B"/>
    <w:rsid w:val="00FD279A"/>
    <w:rsid w:val="00FD4336"/>
    <w:rsid w:val="00FE07B5"/>
    <w:rsid w:val="00FF28F5"/>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semiHidden="0" w:uiPriority="9" w:unhideWhenUsed="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94" w:unhideWhenUsed="0"/>
    <w:lsdException w:name="toc 4" w:uiPriority="96" w:unhideWhenUsed="0"/>
    <w:lsdException w:name="toc 5" w:uiPriority="96" w:unhideWhenUsed="0"/>
    <w:lsdException w:name="toc 6" w:uiPriority="96" w:unhideWhenUsed="0"/>
    <w:lsdException w:name="toc 7" w:uiPriority="96" w:unhideWhenUsed="0"/>
    <w:lsdException w:name="toc 8" w:uiPriority="96" w:unhideWhenUsed="0"/>
    <w:lsdException w:name="toc 9" w:uiPriority="94"/>
    <w:lsdException w:name="footnote text" w:qFormat="1"/>
    <w:lsdException w:name="header" w:uiPriority="84"/>
    <w:lsdException w:name="footer" w:uiPriority="85"/>
    <w:lsdException w:name="caption" w:uiPriority="35" w:qFormat="1"/>
    <w:lsdException w:name="page number" w:uiPriority="0"/>
    <w:lsdException w:name="List" w:semiHidden="0" w:uiPriority="29" w:unhideWhenUsed="0"/>
    <w:lsdException w:name="List Bullet" w:uiPriority="19" w:qFormat="1"/>
    <w:lsdException w:name="List Number" w:semiHidden="0" w:uiPriority="19" w:unhideWhenUsed="0" w:qFormat="1"/>
    <w:lsdException w:name="List 2" w:uiPriority="29" w:unhideWhenUsed="0"/>
    <w:lsdException w:name="List 3" w:uiPriority="29"/>
    <w:lsdException w:name="List 4" w:uiPriority="29"/>
    <w:lsdException w:name="List 5" w:uiPriority="29"/>
    <w:lsdException w:name="List Bullet 2" w:uiPriority="19"/>
    <w:lsdException w:name="List Bullet 3" w:uiPriority="19"/>
    <w:lsdException w:name="List Bullet 4" w:uiPriority="19"/>
    <w:lsdException w:name="List Bullet 5" w:uiPriority="19"/>
    <w:lsdException w:name="List Number 2" w:semiHidden="0" w:uiPriority="19" w:unhideWhenUsed="0"/>
    <w:lsdException w:name="List Number 3" w:uiPriority="19"/>
    <w:lsdException w:name="List Number 4" w:uiPriority="19"/>
    <w:lsdException w:name="List Number 5" w:uiPriority="19"/>
    <w:lsdException w:name="Title" w:uiPriority="89" w:unhideWhenUsed="0" w:qFormat="1"/>
    <w:lsdException w:name="Default Paragraph Font" w:uiPriority="1"/>
    <w:lsdException w:name="Body Text" w:uiPriority="4"/>
    <w:lsdException w:name="List Continue" w:semiHidden="0" w:uiPriority="26" w:unhideWhenUsed="0" w:qFormat="1"/>
    <w:lsdException w:name="List Continue 2" w:semiHidden="0" w:uiPriority="26" w:unhideWhenUsed="0"/>
    <w:lsdException w:name="List Continue 3" w:uiPriority="26"/>
    <w:lsdException w:name="List Continue 4" w:uiPriority="26"/>
    <w:lsdException w:name="List Continue 5" w:uiPriority="26"/>
    <w:lsdException w:name="Subtitle" w:uiPriority="90" w:unhideWhenUsed="0" w:qFormat="1"/>
    <w:lsdException w:name="Strong" w:uiPriority="98" w:unhideWhenUsed="0"/>
    <w:lsdException w:name="Emphasis" w:uiPriority="98"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8" w:unhideWhenUsed="0"/>
    <w:lsdException w:name="Intense Emphasis" w:uiPriority="98"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90"/>
  </w:latentStyles>
  <w:style w:type="paragraph" w:default="1" w:styleId="Normal">
    <w:name w:val="Normal"/>
    <w:qFormat/>
    <w:rsid w:val="00626AEF"/>
    <w:pPr>
      <w:keepLines/>
    </w:pPr>
  </w:style>
  <w:style w:type="paragraph" w:styleId="Heading10">
    <w:name w:val="heading 1"/>
    <w:next w:val="Normal"/>
    <w:link w:val="Heading1Char"/>
    <w:uiPriority w:val="9"/>
    <w:qFormat/>
    <w:rsid w:val="00C72023"/>
    <w:pPr>
      <w:keepNext/>
      <w:keepLines/>
      <w:pBdr>
        <w:bottom w:val="single" w:sz="12" w:space="1" w:color="auto"/>
      </w:pBdr>
      <w:spacing w:before="360"/>
      <w:outlineLvl w:val="0"/>
    </w:pPr>
    <w:rPr>
      <w:rFonts w:asciiTheme="majorHAnsi" w:eastAsiaTheme="majorEastAsia" w:hAnsiTheme="majorHAnsi" w:cstheme="majorBidi"/>
      <w:b/>
      <w:bCs/>
      <w:caps/>
      <w:spacing w:val="-2"/>
      <w:sz w:val="26"/>
      <w:szCs w:val="28"/>
    </w:rPr>
  </w:style>
  <w:style w:type="paragraph" w:styleId="Heading20">
    <w:name w:val="heading 2"/>
    <w:basedOn w:val="Heading10"/>
    <w:next w:val="Normal"/>
    <w:link w:val="Heading2Char"/>
    <w:uiPriority w:val="9"/>
    <w:qFormat/>
    <w:rsid w:val="00C72023"/>
    <w:pPr>
      <w:numPr>
        <w:ilvl w:val="1"/>
      </w:numPr>
      <w:pBdr>
        <w:bottom w:val="none" w:sz="0" w:space="0" w:color="auto"/>
      </w:pBdr>
      <w:tabs>
        <w:tab w:val="right" w:pos="9582"/>
      </w:tabs>
      <w:spacing w:before="240"/>
      <w:outlineLvl w:val="1"/>
    </w:pPr>
    <w:rPr>
      <w:bCs w:val="0"/>
      <w:caps w:val="0"/>
      <w:szCs w:val="26"/>
    </w:rPr>
  </w:style>
  <w:style w:type="paragraph" w:styleId="Heading30">
    <w:name w:val="heading 3"/>
    <w:basedOn w:val="Heading20"/>
    <w:next w:val="Normal"/>
    <w:link w:val="Heading3Char"/>
    <w:uiPriority w:val="9"/>
    <w:qFormat/>
    <w:rsid w:val="00C72023"/>
    <w:pPr>
      <w:numPr>
        <w:ilvl w:val="2"/>
      </w:numPr>
      <w:pBdr>
        <w:bottom w:val="single" w:sz="6" w:space="1" w:color="auto"/>
      </w:pBdr>
      <w:outlineLvl w:val="2"/>
    </w:pPr>
    <w:rPr>
      <w:bCs/>
      <w:sz w:val="23"/>
    </w:rPr>
  </w:style>
  <w:style w:type="paragraph" w:styleId="Heading4">
    <w:name w:val="heading 4"/>
    <w:basedOn w:val="Heading30"/>
    <w:next w:val="Normal"/>
    <w:link w:val="Heading4Char"/>
    <w:uiPriority w:val="9"/>
    <w:rsid w:val="00C72023"/>
    <w:pPr>
      <w:numPr>
        <w:ilvl w:val="3"/>
      </w:numPr>
      <w:pBdr>
        <w:bottom w:val="none" w:sz="0" w:space="0" w:color="auto"/>
      </w:pBdr>
      <w:spacing w:before="180"/>
      <w:outlineLvl w:val="3"/>
    </w:pPr>
    <w:rPr>
      <w:b w:val="0"/>
      <w:bCs w:val="0"/>
      <w:i/>
      <w:iCs/>
      <w:spacing w:val="0"/>
    </w:rPr>
  </w:style>
  <w:style w:type="paragraph" w:styleId="Heading5">
    <w:name w:val="heading 5"/>
    <w:basedOn w:val="Heading4"/>
    <w:next w:val="Normal"/>
    <w:link w:val="Heading5Char"/>
    <w:uiPriority w:val="9"/>
    <w:unhideWhenUsed/>
    <w:rsid w:val="00EB0619"/>
    <w:pPr>
      <w:numPr>
        <w:ilvl w:val="4"/>
      </w:numPr>
      <w:outlineLvl w:val="4"/>
    </w:pPr>
    <w:rPr>
      <w:b/>
      <w:i w:val="0"/>
      <w:sz w:val="21"/>
    </w:rPr>
  </w:style>
  <w:style w:type="paragraph" w:styleId="Heading6">
    <w:name w:val="heading 6"/>
    <w:basedOn w:val="Normal"/>
    <w:next w:val="Normal"/>
    <w:link w:val="Heading6Char"/>
    <w:uiPriority w:val="9"/>
    <w:semiHidden/>
    <w:unhideWhenUsed/>
    <w:qFormat/>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qFormat/>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C72023"/>
    <w:rPr>
      <w:rFonts w:asciiTheme="majorHAnsi" w:eastAsiaTheme="majorEastAsia" w:hAnsiTheme="majorHAnsi" w:cstheme="majorBidi"/>
      <w:b/>
      <w:bCs/>
      <w:caps/>
      <w:spacing w:val="-2"/>
      <w:sz w:val="26"/>
      <w:szCs w:val="28"/>
    </w:rPr>
  </w:style>
  <w:style w:type="paragraph" w:customStyle="1" w:styleId="Chapterheading">
    <w:name w:val="Chapter heading"/>
    <w:basedOn w:val="Normal"/>
    <w:next w:val="Heading10"/>
    <w:link w:val="ChapterheadingChar"/>
    <w:uiPriority w:val="89"/>
    <w:rsid w:val="0061407E"/>
    <w:pPr>
      <w:keepNext/>
      <w:pBdr>
        <w:bottom w:val="single" w:sz="12" w:space="1" w:color="auto"/>
      </w:pBdr>
      <w:spacing w:before="1440" w:after="360"/>
      <w:outlineLvl w:val="0"/>
    </w:pPr>
    <w:rPr>
      <w:rFonts w:asciiTheme="majorHAnsi" w:eastAsiaTheme="majorEastAsia" w:hAnsiTheme="majorHAnsi" w:cstheme="majorBidi"/>
      <w:b/>
      <w:bCs/>
      <w:caps/>
      <w:spacing w:val="-2"/>
      <w:sz w:val="48"/>
      <w:szCs w:val="28"/>
    </w:rPr>
  </w:style>
  <w:style w:type="character" w:customStyle="1" w:styleId="Heading3Char">
    <w:name w:val="Heading 3 Char"/>
    <w:basedOn w:val="DefaultParagraphFont"/>
    <w:link w:val="Heading30"/>
    <w:uiPriority w:val="9"/>
    <w:rsid w:val="00C72023"/>
    <w:rPr>
      <w:rFonts w:asciiTheme="majorHAnsi" w:eastAsiaTheme="majorEastAsia" w:hAnsiTheme="majorHAnsi" w:cstheme="majorBidi"/>
      <w:b/>
      <w:bCs/>
      <w:spacing w:val="-2"/>
      <w:sz w:val="23"/>
      <w:szCs w:val="26"/>
    </w:rPr>
  </w:style>
  <w:style w:type="character" w:customStyle="1" w:styleId="Heading2Char">
    <w:name w:val="Heading 2 Char"/>
    <w:basedOn w:val="DefaultParagraphFont"/>
    <w:link w:val="Heading20"/>
    <w:uiPriority w:val="9"/>
    <w:rsid w:val="00C72023"/>
    <w:rPr>
      <w:rFonts w:asciiTheme="majorHAnsi" w:eastAsiaTheme="majorEastAsia" w:hAnsiTheme="majorHAnsi" w:cstheme="majorBidi"/>
      <w:b/>
      <w:spacing w:val="-2"/>
      <w:sz w:val="26"/>
      <w:szCs w:val="26"/>
    </w:rPr>
  </w:style>
  <w:style w:type="character" w:customStyle="1" w:styleId="Heading4Char">
    <w:name w:val="Heading 4 Char"/>
    <w:basedOn w:val="DefaultParagraphFont"/>
    <w:link w:val="Heading4"/>
    <w:uiPriority w:val="9"/>
    <w:rsid w:val="00C72023"/>
    <w:rPr>
      <w:rFonts w:asciiTheme="majorHAnsi" w:eastAsiaTheme="majorEastAsia" w:hAnsiTheme="majorHAnsi" w:cstheme="majorBidi"/>
      <w:i/>
      <w:iCs/>
      <w:sz w:val="23"/>
      <w:szCs w:val="26"/>
    </w:rPr>
  </w:style>
  <w:style w:type="character" w:customStyle="1" w:styleId="Heading2Char0">
    <w:name w:val="Heading 2 (#) Char"/>
    <w:basedOn w:val="Heading2Char"/>
    <w:link w:val="Heading2"/>
    <w:uiPriority w:val="14"/>
    <w:rsid w:val="0037430B"/>
    <w:rPr>
      <w:rFonts w:asciiTheme="majorHAnsi" w:eastAsiaTheme="majorEastAsia" w:hAnsiTheme="majorHAnsi" w:cstheme="majorBidi"/>
      <w:b/>
      <w:spacing w:val="-2"/>
      <w:sz w:val="26"/>
      <w:szCs w:val="26"/>
    </w:rPr>
  </w:style>
  <w:style w:type="paragraph" w:customStyle="1" w:styleId="Source">
    <w:name w:val="Source"/>
    <w:basedOn w:val="Normal"/>
    <w:next w:val="Note"/>
    <w:uiPriority w:val="51"/>
    <w:qFormat/>
    <w:rsid w:val="006F23B1"/>
    <w:pPr>
      <w:spacing w:before="20" w:after="60"/>
    </w:pPr>
    <w:rPr>
      <w:rFonts w:asciiTheme="majorHAnsi" w:hAnsiTheme="majorHAnsi"/>
      <w:i/>
      <w:spacing w:val="-2"/>
      <w:sz w:val="14"/>
    </w:rPr>
  </w:style>
  <w:style w:type="paragraph" w:customStyle="1" w:styleId="Note">
    <w:name w:val="Note"/>
    <w:basedOn w:val="Normal"/>
    <w:link w:val="NoteChar"/>
    <w:uiPriority w:val="52"/>
    <w:qFormat/>
    <w:rsid w:val="006F23B1"/>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after="200" w:line="276" w:lineRule="auto"/>
    </w:pPr>
    <w:rPr>
      <w:lang w:val="en-US" w:eastAsia="ja-JP"/>
    </w:rPr>
  </w:style>
  <w:style w:type="paragraph" w:styleId="FootnoteText">
    <w:name w:val="footnote text"/>
    <w:basedOn w:val="Normal"/>
    <w:link w:val="FootnoteTextChar"/>
    <w:uiPriority w:val="99"/>
    <w:semiHidden/>
    <w:qFormat/>
    <w:rsid w:val="007A11BE"/>
    <w:pPr>
      <w:spacing w:before="40"/>
    </w:pPr>
    <w:rPr>
      <w:rFonts w:eastAsiaTheme="minorEastAsia"/>
      <w:sz w:val="20"/>
      <w:lang w:val="en-US" w:eastAsia="ja-JP"/>
    </w:rPr>
  </w:style>
  <w:style w:type="character" w:customStyle="1" w:styleId="FootnoteTextChar">
    <w:name w:val="Footnote Text Char"/>
    <w:basedOn w:val="DefaultParagraphFont"/>
    <w:link w:val="FootnoteText"/>
    <w:uiPriority w:val="99"/>
    <w:semiHidden/>
    <w:rsid w:val="007A11BE"/>
    <w:rPr>
      <w:rFonts w:eastAsiaTheme="minorEastAsia"/>
      <w:sz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84"/>
    <w:rsid w:val="00CA41CF"/>
    <w:pPr>
      <w:spacing w:after="180"/>
    </w:pPr>
    <w:rPr>
      <w:rFonts w:asciiTheme="majorHAnsi" w:hAnsiTheme="majorHAnsi"/>
      <w:b/>
      <w:caps/>
      <w:color w:val="53565A"/>
    </w:rPr>
  </w:style>
  <w:style w:type="character" w:customStyle="1" w:styleId="HeaderChar">
    <w:name w:val="Header Char"/>
    <w:basedOn w:val="DefaultParagraphFont"/>
    <w:link w:val="Header"/>
    <w:uiPriority w:val="84"/>
    <w:rsid w:val="00CA41CF"/>
    <w:rPr>
      <w:rFonts w:asciiTheme="majorHAnsi" w:hAnsiTheme="majorHAnsi"/>
      <w:b/>
      <w:caps/>
      <w:color w:val="53565A"/>
    </w:rPr>
  </w:style>
  <w:style w:type="numbering" w:styleId="111111">
    <w:name w:val="Outline List 2"/>
    <w:basedOn w:val="NoList"/>
    <w:uiPriority w:val="99"/>
    <w:semiHidden/>
    <w:unhideWhenUsed/>
    <w:rsid w:val="00C00568"/>
    <w:pPr>
      <w:numPr>
        <w:numId w:val="11"/>
      </w:numPr>
    </w:pPr>
  </w:style>
  <w:style w:type="character" w:customStyle="1" w:styleId="FooteroddChar">
    <w:name w:val="Footer (odd) Char"/>
    <w:basedOn w:val="DefaultParagraphFont"/>
    <w:link w:val="Footerodd"/>
    <w:uiPriority w:val="85"/>
    <w:rsid w:val="00967F9B"/>
    <w:rPr>
      <w:rFonts w:asciiTheme="majorHAnsi" w:hAnsiTheme="majorHAnsi"/>
      <w:sz w:val="18"/>
    </w:rPr>
  </w:style>
  <w:style w:type="paragraph" w:customStyle="1" w:styleId="Footerodd">
    <w:name w:val="Footer (odd)"/>
    <w:basedOn w:val="Normal"/>
    <w:link w:val="FooteroddChar"/>
    <w:uiPriority w:val="85"/>
    <w:rsid w:val="00967F9B"/>
    <w:pPr>
      <w:pBdr>
        <w:top w:val="single" w:sz="6" w:space="1" w:color="auto"/>
      </w:pBdr>
      <w:tabs>
        <w:tab w:val="center" w:pos="5103"/>
        <w:tab w:val="right" w:pos="9639"/>
        <w:tab w:val="right" w:pos="14572"/>
      </w:tabs>
      <w:spacing w:before="0"/>
    </w:pPr>
    <w:rPr>
      <w:rFonts w:asciiTheme="majorHAnsi" w:hAnsiTheme="majorHAnsi"/>
      <w:sz w:val="18"/>
    </w:rPr>
  </w:style>
  <w:style w:type="paragraph" w:customStyle="1" w:styleId="NoteDash">
    <w:name w:val="Note Dash"/>
    <w:basedOn w:val="Note"/>
    <w:next w:val="Note"/>
    <w:uiPriority w:val="53"/>
    <w:qFormat/>
    <w:rsid w:val="00E46DD4"/>
    <w:pPr>
      <w:numPr>
        <w:numId w:val="3"/>
      </w:numPr>
      <w:ind w:left="568" w:hanging="284"/>
    </w:pPr>
  </w:style>
  <w:style w:type="character" w:customStyle="1" w:styleId="NoteChar">
    <w:name w:val="Note Char"/>
    <w:basedOn w:val="DefaultParagraphFont"/>
    <w:link w:val="Note"/>
    <w:uiPriority w:val="52"/>
    <w:rsid w:val="006F23B1"/>
    <w:rPr>
      <w:rFonts w:asciiTheme="majorHAnsi" w:hAnsiTheme="majorHAnsi"/>
      <w:i/>
      <w:spacing w:val="-2"/>
      <w:sz w:val="14"/>
    </w:rPr>
  </w:style>
  <w:style w:type="paragraph" w:styleId="TOC1">
    <w:name w:val="toc 1"/>
    <w:basedOn w:val="Normal"/>
    <w:next w:val="Normal"/>
    <w:uiPriority w:val="39"/>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qFormat/>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rsid w:val="00EB0619"/>
    <w:rPr>
      <w:rFonts w:asciiTheme="majorHAnsi" w:eastAsiaTheme="majorEastAsia" w:hAnsiTheme="majorHAnsi" w:cstheme="majorBidi"/>
      <w:b/>
      <w:iCs/>
      <w:sz w:val="21"/>
      <w:szCs w:val="26"/>
    </w:rPr>
  </w:style>
  <w:style w:type="paragraph" w:styleId="ListBullet">
    <w:name w:val="List Bullet"/>
    <w:basedOn w:val="Normal"/>
    <w:uiPriority w:val="19"/>
    <w:qFormat/>
    <w:rsid w:val="00CE5CF8"/>
    <w:pPr>
      <w:numPr>
        <w:numId w:val="7"/>
      </w:numPr>
      <w:spacing w:before="60"/>
    </w:pPr>
  </w:style>
  <w:style w:type="paragraph" w:styleId="List">
    <w:name w:val="List"/>
    <w:basedOn w:val="Normal"/>
    <w:uiPriority w:val="29"/>
    <w:unhideWhenUsed/>
    <w:rsid w:val="008A5A91"/>
    <w:pPr>
      <w:keepLines w:val="0"/>
      <w:tabs>
        <w:tab w:val="left" w:pos="284"/>
        <w:tab w:val="left" w:pos="567"/>
        <w:tab w:val="left" w:pos="851"/>
      </w:tabs>
    </w:pPr>
  </w:style>
  <w:style w:type="paragraph" w:styleId="ListContinue">
    <w:name w:val="List Continue"/>
    <w:basedOn w:val="Normal"/>
    <w:uiPriority w:val="26"/>
    <w:qFormat/>
    <w:rsid w:val="006C00EB"/>
    <w:pPr>
      <w:spacing w:before="60"/>
      <w:ind w:left="284"/>
    </w:pPr>
  </w:style>
  <w:style w:type="paragraph" w:styleId="ListContinue2">
    <w:name w:val="List Continue 2"/>
    <w:basedOn w:val="Normal"/>
    <w:uiPriority w:val="26"/>
    <w:rsid w:val="006C00EB"/>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aliases w:val="Footer (Odd page)"/>
    <w:basedOn w:val="Normal"/>
    <w:link w:val="FooterChar"/>
    <w:uiPriority w:val="85"/>
    <w:unhideWhenUsed/>
    <w:rsid w:val="00967F9B"/>
    <w:pPr>
      <w:tabs>
        <w:tab w:val="center" w:pos="4513"/>
        <w:tab w:val="right" w:pos="9026"/>
      </w:tabs>
      <w:spacing w:before="0"/>
    </w:pPr>
  </w:style>
  <w:style w:type="paragraph" w:styleId="TOC2">
    <w:name w:val="toc 2"/>
    <w:basedOn w:val="TOC1"/>
    <w:next w:val="Normal"/>
    <w:uiPriority w:val="39"/>
    <w:rsid w:val="00F63294"/>
    <w:pPr>
      <w:tabs>
        <w:tab w:val="left" w:pos="567"/>
      </w:tabs>
      <w:spacing w:before="60" w:after="60" w:line="264" w:lineRule="auto"/>
      <w:ind w:left="284" w:right="567"/>
    </w:pPr>
    <w:rPr>
      <w:b w:val="0"/>
      <w:noProof/>
    </w:rPr>
  </w:style>
  <w:style w:type="character" w:styleId="PageNumber">
    <w:name w:val="page number"/>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rsid w:val="000E2126"/>
    <w:pPr>
      <w:tabs>
        <w:tab w:val="left" w:pos="1021"/>
        <w:tab w:val="right" w:leader="dot" w:pos="9072"/>
      </w:tabs>
      <w:spacing w:after="100"/>
    </w:pPr>
    <w:rPr>
      <w:rFonts w:asciiTheme="majorHAnsi" w:hAnsiTheme="majorHAnsi"/>
      <w:spacing w:val="2"/>
    </w:rPr>
  </w:style>
  <w:style w:type="character" w:styleId="Hyperlink">
    <w:name w:val="Hyperlink"/>
    <w:uiPriority w:val="99"/>
    <w:rsid w:val="00924B15"/>
    <w:rPr>
      <w:color w:val="0000FF"/>
      <w:u w:val="single"/>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qFormat/>
    <w:rsid w:val="00EB0619"/>
    <w:pPr>
      <w:keepNext/>
    </w:pPr>
    <w:rPr>
      <w:rFonts w:asciiTheme="majorHAnsi" w:hAnsiTheme="majorHAnsi"/>
      <w:b/>
    </w:rPr>
  </w:style>
  <w:style w:type="paragraph" w:customStyle="1" w:styleId="HighlightBoxBullet">
    <w:name w:val="Highlight Box Bullet"/>
    <w:basedOn w:val="ListBullet"/>
    <w:uiPriority w:val="61"/>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link w:val="TableHeadingChar"/>
    <w:uiPriority w:val="49"/>
    <w:qFormat/>
    <w:rsid w:val="00E977BC"/>
    <w:pPr>
      <w:keepNext/>
      <w:tabs>
        <w:tab w:val="left" w:pos="1134"/>
        <w:tab w:val="right" w:pos="9639"/>
        <w:tab w:val="right" w:pos="14572"/>
      </w:tabs>
      <w:spacing w:before="240" w:after="6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unhideWhenUsed/>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rsid w:val="003E68E6"/>
    <w:rPr>
      <w:rFonts w:asciiTheme="majorHAnsi" w:eastAsiaTheme="majorEastAsia" w:hAnsiTheme="majorHAnsi" w:cstheme="majorBidi"/>
      <w:b/>
      <w:bCs/>
      <w:caps/>
      <w:spacing w:val="-2"/>
      <w:sz w:val="2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94"/>
    <w:rsid w:val="00B24119"/>
    <w:pPr>
      <w:tabs>
        <w:tab w:val="left" w:pos="567"/>
        <w:tab w:val="right" w:leader="dot" w:pos="4536"/>
      </w:tabs>
      <w:spacing w:after="100"/>
      <w:ind w:left="567" w:right="340" w:hanging="567"/>
    </w:pPr>
    <w:rPr>
      <w:spacing w:val="-2"/>
    </w:rPr>
  </w:style>
  <w:style w:type="paragraph" w:customStyle="1" w:styleId="Footereven">
    <w:name w:val="Footer (even)"/>
    <w:basedOn w:val="Normal"/>
    <w:link w:val="FooterevenChar"/>
    <w:uiPriority w:val="85"/>
    <w:rsid w:val="00967F9B"/>
    <w:pPr>
      <w:pBdr>
        <w:top w:val="single" w:sz="6" w:space="1" w:color="auto"/>
      </w:pBdr>
      <w:tabs>
        <w:tab w:val="center" w:pos="4536"/>
        <w:tab w:val="right" w:pos="9639"/>
        <w:tab w:val="right" w:pos="14572"/>
      </w:tabs>
      <w:spacing w:before="0"/>
    </w:pPr>
    <w:rPr>
      <w:rFonts w:asciiTheme="majorHAnsi" w:hAnsiTheme="majorHAnsi"/>
      <w:sz w:val="18"/>
    </w:rPr>
  </w:style>
  <w:style w:type="table" w:customStyle="1" w:styleId="DTFTable">
    <w:name w:val="DTF Table"/>
    <w:basedOn w:val="TableNormal"/>
    <w:uiPriority w:val="99"/>
    <w:rsid w:val="00A637FA"/>
    <w:pPr>
      <w:spacing w:before="20" w:after="20"/>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unhideWhenUsed/>
    <w:rsid w:val="002C3386"/>
    <w:pPr>
      <w:numPr>
        <w:ilvl w:val="2"/>
        <w:numId w:val="8"/>
      </w:numPr>
      <w:spacing w:before="60"/>
      <w:ind w:left="851"/>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6"/>
    <w:semiHidden/>
    <w:unhideWhenUsed/>
    <w:rsid w:val="000915C9"/>
    <w:pPr>
      <w:ind w:left="1191"/>
    </w:pPr>
  </w:style>
  <w:style w:type="paragraph" w:customStyle="1" w:styleId="Heading1">
    <w:name w:val="Heading 1 (#)"/>
    <w:basedOn w:val="Heading10"/>
    <w:link w:val="Heading1Char0"/>
    <w:uiPriority w:val="14"/>
    <w:qFormat/>
    <w:rsid w:val="003E68E6"/>
    <w:pPr>
      <w:numPr>
        <w:numId w:val="14"/>
      </w:numPr>
    </w:pPr>
  </w:style>
  <w:style w:type="paragraph" w:customStyle="1" w:styleId="Heading2">
    <w:name w:val="Heading 2 (#)"/>
    <w:basedOn w:val="Heading20"/>
    <w:link w:val="Heading2Char0"/>
    <w:uiPriority w:val="14"/>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rsid w:val="00C72023"/>
    <w:pPr>
      <w:numPr>
        <w:numId w:val="14"/>
      </w:numPr>
      <w:pBdr>
        <w:bottom w:val="none" w:sz="0" w:space="0" w:color="auto"/>
      </w:pBdr>
      <w:spacing w:after="120"/>
    </w:pPr>
  </w:style>
  <w:style w:type="character" w:customStyle="1" w:styleId="Heading3Char0">
    <w:name w:val="Heading 3 (#) Char"/>
    <w:basedOn w:val="Heading3Char"/>
    <w:link w:val="Heading3"/>
    <w:uiPriority w:val="14"/>
    <w:rsid w:val="00C72023"/>
    <w:rPr>
      <w:rFonts w:asciiTheme="majorHAnsi" w:eastAsiaTheme="majorEastAsia" w:hAnsiTheme="majorHAnsi" w:cstheme="majorBidi"/>
      <w:b/>
      <w:bCs/>
      <w:spacing w:val="-2"/>
      <w:sz w:val="23"/>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6"/>
    <w:semiHidden/>
    <w:unhideWhenUsed/>
    <w:rsid w:val="002F7BBC"/>
    <w:pPr>
      <w:spacing w:after="120"/>
      <w:ind w:left="1132"/>
      <w:contextualSpacing/>
    </w:pPr>
  </w:style>
  <w:style w:type="paragraph" w:styleId="ListContinue5">
    <w:name w:val="List Continue 5"/>
    <w:basedOn w:val="Normal"/>
    <w:uiPriority w:val="26"/>
    <w:semiHidden/>
    <w:unhideWhenUsed/>
    <w:rsid w:val="002F7BBC"/>
    <w:pPr>
      <w:spacing w:after="120"/>
      <w:ind w:left="1415"/>
      <w:contextualSpacing/>
    </w:pPr>
  </w:style>
  <w:style w:type="character" w:customStyle="1" w:styleId="FooterChar">
    <w:name w:val="Footer Char"/>
    <w:aliases w:val="Footer (Odd page) Char"/>
    <w:basedOn w:val="DefaultParagraphFont"/>
    <w:link w:val="Footer"/>
    <w:uiPriority w:val="85"/>
    <w:rsid w:val="00967F9B"/>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C00568"/>
    <w:pPr>
      <w:spacing w:after="120"/>
    </w:pPr>
  </w:style>
  <w:style w:type="character" w:customStyle="1" w:styleId="BodyTextChar">
    <w:name w:val="Body Text Char"/>
    <w:basedOn w:val="DefaultParagraphFont"/>
    <w:link w:val="BodyText"/>
    <w:uiPriority w:val="4"/>
    <w:semiHidden/>
    <w:rsid w:val="00C00568"/>
  </w:style>
  <w:style w:type="paragraph" w:styleId="BodyText2">
    <w:name w:val="Body Text 2"/>
    <w:basedOn w:val="Normal"/>
    <w:link w:val="BodyText2Char"/>
    <w:uiPriority w:val="99"/>
    <w:semiHidden/>
    <w:unhideWhenUsed/>
    <w:rsid w:val="00C00568"/>
    <w:pPr>
      <w:spacing w:after="120" w:line="480" w:lineRule="auto"/>
    </w:pPr>
  </w:style>
  <w:style w:type="character" w:customStyle="1" w:styleId="BodyText2Char">
    <w:name w:val="Body Text 2 Char"/>
    <w:basedOn w:val="DefaultParagraphFont"/>
    <w:link w:val="BodyText2"/>
    <w:uiPriority w:val="99"/>
    <w:semiHidden/>
    <w:rsid w:val="00C00568"/>
  </w:style>
  <w:style w:type="paragraph" w:styleId="BodyText3">
    <w:name w:val="Body Text 3"/>
    <w:basedOn w:val="Normal"/>
    <w:link w:val="BodyText3Char"/>
    <w:uiPriority w:val="99"/>
    <w:semiHidden/>
    <w:unhideWhenUsed/>
    <w:rsid w:val="00C00568"/>
    <w:pPr>
      <w:spacing w:after="120"/>
    </w:pPr>
    <w:rPr>
      <w:sz w:val="16"/>
      <w:szCs w:val="16"/>
    </w:rPr>
  </w:style>
  <w:style w:type="character" w:customStyle="1" w:styleId="BodyText3Char">
    <w:name w:val="Body Text 3 Char"/>
    <w:basedOn w:val="DefaultParagraphFont"/>
    <w:link w:val="BodyText3"/>
    <w:uiPriority w:val="99"/>
    <w:semiHidden/>
    <w:rsid w:val="00C00568"/>
    <w:rPr>
      <w:sz w:val="16"/>
      <w:szCs w:val="16"/>
    </w:rPr>
  </w:style>
  <w:style w:type="paragraph" w:styleId="BodyTextFirstIndent">
    <w:name w:val="Body Text First Indent"/>
    <w:basedOn w:val="BodyText"/>
    <w:link w:val="BodyTextFirstIndentChar"/>
    <w:uiPriority w:val="99"/>
    <w:semiHidden/>
    <w:unhideWhenUsed/>
    <w:rsid w:val="00C00568"/>
    <w:pPr>
      <w:spacing w:after="0"/>
      <w:ind w:firstLine="360"/>
    </w:pPr>
  </w:style>
  <w:style w:type="character" w:customStyle="1" w:styleId="BodyTextFirstIndentChar">
    <w:name w:val="Body Text First Indent Char"/>
    <w:basedOn w:val="BodyTextChar"/>
    <w:link w:val="BodyTextFirstIndent"/>
    <w:uiPriority w:val="99"/>
    <w:semiHidden/>
    <w:rsid w:val="00C00568"/>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C00568"/>
    <w:pPr>
      <w:spacing w:after="0"/>
      <w:ind w:left="360" w:firstLine="360"/>
    </w:pPr>
  </w:style>
  <w:style w:type="character" w:customStyle="1" w:styleId="BodyTextFirstIndent2Char">
    <w:name w:val="Body Text First Indent 2 Char"/>
    <w:basedOn w:val="BodyTextIndentChar"/>
    <w:link w:val="BodyTextFirstIndent2"/>
    <w:uiPriority w:val="99"/>
    <w:semiHidden/>
    <w:rsid w:val="00C00568"/>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qFormat/>
    <w:rsid w:val="00C00568"/>
    <w:pPr>
      <w:spacing w:before="0" w:after="200"/>
    </w:pPr>
    <w:rPr>
      <w:b/>
      <w:bCs/>
      <w:color w:val="0063A6" w:themeColor="accent1"/>
      <w:sz w:val="18"/>
      <w:szCs w:val="18"/>
    </w:rPr>
  </w:style>
  <w:style w:type="paragraph" w:styleId="Closing">
    <w:name w:val="Closing"/>
    <w:basedOn w:val="Normal"/>
    <w:link w:val="ClosingChar"/>
    <w:uiPriority w:val="99"/>
    <w:semiHidden/>
    <w:unhideWhenUsed/>
    <w:rsid w:val="00C00568"/>
    <w:pPr>
      <w:spacing w:before="0"/>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pPr>
      <w:spacing w:before="0"/>
    </w:pPr>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pPr>
      <w:spacing w:before="0"/>
    </w:pPr>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pPr>
      <w:spacing w:before="0"/>
    </w:pPr>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pPr>
      <w:spacing w:before="0"/>
    </w:pPr>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pPr>
      <w:spacing w:before="0"/>
    </w:pPr>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pPr>
      <w:spacing w:before="0"/>
    </w:pPr>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pPr>
      <w:spacing w:before="0"/>
    </w:pPr>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pPr>
      <w:spacing w:before="0"/>
    </w:pPr>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pPr>
      <w:spacing w:before="0"/>
    </w:pPr>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pPr>
      <w:spacing w:before="0"/>
    </w:pPr>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pPr>
      <w:spacing w:before="0"/>
    </w:pPr>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pPr>
      <w:spacing w:before="0"/>
    </w:pPr>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pPr>
      <w:spacing w:before="0"/>
    </w:pPr>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pPr>
      <w:spacing w:before="0"/>
    </w:pPr>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pPr>
      <w:spacing w:before="0"/>
    </w:pPr>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pPr>
      <w:spacing w:before="0"/>
    </w:pPr>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pPr>
      <w:spacing w:before="0"/>
    </w:pPr>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pPr>
      <w:spacing w:before="0"/>
    </w:pPr>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pPr>
      <w:spacing w:before="0"/>
    </w:pPr>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spacing w:before="0"/>
      <w:ind w:left="220" w:hanging="220"/>
    </w:pPr>
  </w:style>
  <w:style w:type="paragraph" w:styleId="Index2">
    <w:name w:val="index 2"/>
    <w:basedOn w:val="Normal"/>
    <w:next w:val="Normal"/>
    <w:autoRedefine/>
    <w:uiPriority w:val="99"/>
    <w:semiHidden/>
    <w:unhideWhenUsed/>
    <w:rsid w:val="00C00568"/>
    <w:pPr>
      <w:spacing w:before="0"/>
      <w:ind w:left="440" w:hanging="220"/>
    </w:pPr>
  </w:style>
  <w:style w:type="paragraph" w:styleId="Index3">
    <w:name w:val="index 3"/>
    <w:basedOn w:val="Normal"/>
    <w:next w:val="Normal"/>
    <w:autoRedefine/>
    <w:uiPriority w:val="99"/>
    <w:semiHidden/>
    <w:unhideWhenUsed/>
    <w:rsid w:val="00C00568"/>
    <w:pPr>
      <w:spacing w:before="0"/>
      <w:ind w:left="660" w:hanging="220"/>
    </w:pPr>
  </w:style>
  <w:style w:type="paragraph" w:styleId="Index4">
    <w:name w:val="index 4"/>
    <w:basedOn w:val="Normal"/>
    <w:next w:val="Normal"/>
    <w:autoRedefine/>
    <w:uiPriority w:val="99"/>
    <w:semiHidden/>
    <w:unhideWhenUsed/>
    <w:rsid w:val="00C00568"/>
    <w:pPr>
      <w:spacing w:before="0"/>
      <w:ind w:left="880" w:hanging="220"/>
    </w:pPr>
  </w:style>
  <w:style w:type="paragraph" w:styleId="Index5">
    <w:name w:val="index 5"/>
    <w:basedOn w:val="Normal"/>
    <w:next w:val="Normal"/>
    <w:autoRedefine/>
    <w:uiPriority w:val="99"/>
    <w:semiHidden/>
    <w:unhideWhenUsed/>
    <w:rsid w:val="00C00568"/>
    <w:pPr>
      <w:spacing w:before="0"/>
      <w:ind w:left="1100" w:hanging="220"/>
    </w:pPr>
  </w:style>
  <w:style w:type="paragraph" w:styleId="Index6">
    <w:name w:val="index 6"/>
    <w:basedOn w:val="Normal"/>
    <w:next w:val="Normal"/>
    <w:autoRedefine/>
    <w:uiPriority w:val="99"/>
    <w:semiHidden/>
    <w:unhideWhenUsed/>
    <w:rsid w:val="00C00568"/>
    <w:pPr>
      <w:spacing w:before="0"/>
      <w:ind w:left="1320" w:hanging="220"/>
    </w:pPr>
  </w:style>
  <w:style w:type="paragraph" w:styleId="Index7">
    <w:name w:val="index 7"/>
    <w:basedOn w:val="Normal"/>
    <w:next w:val="Normal"/>
    <w:autoRedefine/>
    <w:uiPriority w:val="99"/>
    <w:semiHidden/>
    <w:unhideWhenUsed/>
    <w:rsid w:val="00C00568"/>
    <w:pPr>
      <w:spacing w:before="0"/>
      <w:ind w:left="1540" w:hanging="220"/>
    </w:pPr>
  </w:style>
  <w:style w:type="paragraph" w:styleId="Index8">
    <w:name w:val="index 8"/>
    <w:basedOn w:val="Normal"/>
    <w:next w:val="Normal"/>
    <w:autoRedefine/>
    <w:uiPriority w:val="99"/>
    <w:semiHidden/>
    <w:unhideWhenUsed/>
    <w:rsid w:val="00C00568"/>
    <w:pPr>
      <w:spacing w:before="0"/>
      <w:ind w:left="1760" w:hanging="220"/>
    </w:pPr>
  </w:style>
  <w:style w:type="paragraph" w:styleId="Index9">
    <w:name w:val="index 9"/>
    <w:basedOn w:val="Normal"/>
    <w:next w:val="Normal"/>
    <w:autoRedefine/>
    <w:uiPriority w:val="99"/>
    <w:semiHidden/>
    <w:unhideWhenUsed/>
    <w:rsid w:val="00C00568"/>
    <w:pPr>
      <w:spacing w:before="0"/>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pPr>
      <w:spacing w:before="0"/>
    </w:pPr>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pPr>
      <w:spacing w:before="0"/>
    </w:pPr>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pPr>
      <w:spacing w:before="0"/>
    </w:pPr>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pPr>
      <w:spacing w:before="0"/>
    </w:pPr>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pPr>
      <w:spacing w:before="0"/>
    </w:pPr>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pPr>
      <w:spacing w:before="0"/>
    </w:pPr>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pPr>
      <w:spacing w:before="0"/>
    </w:pPr>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pPr>
      <w:spacing w:before="0"/>
    </w:pPr>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pPr>
      <w:spacing w:before="0"/>
    </w:pPr>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spacing w:before="0"/>
    </w:pPr>
  </w:style>
  <w:style w:type="paragraph" w:styleId="NormalWeb">
    <w:name w:val="Normal (Web)"/>
    <w:basedOn w:val="Normal"/>
    <w:uiPriority w:val="99"/>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pPr>
      <w:spacing w:before="0"/>
    </w:pPr>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pPr>
      <w:spacing w:befor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semiHidden/>
    <w:rsid w:val="00C00568"/>
    <w:rPr>
      <w:i/>
      <w:iCs/>
      <w:color w:val="000000" w:themeColor="text1"/>
    </w:rPr>
  </w:style>
  <w:style w:type="character" w:customStyle="1" w:styleId="QuoteChar">
    <w:name w:val="Quote Char"/>
    <w:basedOn w:val="DefaultParagraphFont"/>
    <w:link w:val="Quote"/>
    <w:uiPriority w:val="29"/>
    <w:semiHidden/>
    <w:rsid w:val="00C00568"/>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spacing w:before="0"/>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Normal"/>
    <w:next w:val="Normal"/>
    <w:link w:val="SubtitleChar"/>
    <w:uiPriority w:val="90"/>
    <w:semiHidden/>
    <w:qFormat/>
    <w:rsid w:val="00C00568"/>
    <w:pPr>
      <w:numPr>
        <w:ilvl w:val="1"/>
      </w:numPr>
    </w:pPr>
    <w:rPr>
      <w:rFonts w:asciiTheme="majorHAnsi" w:eastAsiaTheme="majorEastAsia" w:hAnsiTheme="majorHAnsi" w:cstheme="majorBidi"/>
      <w:i/>
      <w:iCs/>
      <w:color w:val="0063A6" w:themeColor="accent1"/>
      <w:spacing w:val="15"/>
      <w:sz w:val="24"/>
      <w:szCs w:val="24"/>
    </w:rPr>
  </w:style>
  <w:style w:type="character" w:customStyle="1" w:styleId="SubtitleChar">
    <w:name w:val="Subtitle Char"/>
    <w:basedOn w:val="DefaultParagraphFont"/>
    <w:link w:val="Subtitle"/>
    <w:uiPriority w:val="11"/>
    <w:semiHidden/>
    <w:rsid w:val="00C00568"/>
    <w:rPr>
      <w:rFonts w:asciiTheme="majorHAnsi" w:eastAsiaTheme="majorEastAsia" w:hAnsiTheme="majorHAnsi" w:cstheme="majorBidi"/>
      <w:i/>
      <w:iCs/>
      <w:color w:val="0063A6" w:themeColor="accent1"/>
      <w:spacing w:val="15"/>
      <w:sz w:val="24"/>
      <w:szCs w:val="24"/>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paragraph" w:styleId="TableofFigures">
    <w:name w:val="table of figures"/>
    <w:basedOn w:val="Normal"/>
    <w:next w:val="Normal"/>
    <w:uiPriority w:val="99"/>
    <w:semiHidden/>
    <w:unhideWhenUsed/>
    <w:rsid w:val="00C00568"/>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89"/>
    <w:semiHidden/>
    <w:qFormat/>
    <w:rsid w:val="00C00568"/>
    <w:pPr>
      <w:pBdr>
        <w:bottom w:val="single" w:sz="8" w:space="4" w:color="0063A6" w:themeColor="accent1"/>
      </w:pBdr>
      <w:spacing w:before="0" w:after="300"/>
      <w:contextualSpacing/>
    </w:pPr>
    <w:rPr>
      <w:rFonts w:asciiTheme="majorHAnsi" w:eastAsiaTheme="majorEastAsia" w:hAnsiTheme="majorHAnsi" w:cstheme="majorBidi"/>
      <w:color w:val="170F34" w:themeColor="text2" w:themeShade="BF"/>
      <w:spacing w:val="5"/>
      <w:kern w:val="28"/>
      <w:sz w:val="52"/>
      <w:szCs w:val="52"/>
    </w:rPr>
  </w:style>
  <w:style w:type="character" w:customStyle="1" w:styleId="TitleChar">
    <w:name w:val="Title Char"/>
    <w:basedOn w:val="DefaultParagraphFont"/>
    <w:link w:val="Title"/>
    <w:uiPriority w:val="10"/>
    <w:semiHidden/>
    <w:rsid w:val="00C00568"/>
    <w:rPr>
      <w:rFonts w:asciiTheme="majorHAnsi" w:eastAsiaTheme="majorEastAsia" w:hAnsiTheme="majorHAnsi" w:cstheme="majorBidi"/>
      <w:color w:val="170F34" w:themeColor="text2" w:themeShade="BF"/>
      <w:spacing w:val="5"/>
      <w:kern w:val="28"/>
      <w:sz w:val="52"/>
      <w:szCs w:val="52"/>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val="0"/>
      <w:color w:val="004A7C" w:themeColor="accent1" w:themeShade="BF"/>
      <w:spacing w:val="0"/>
      <w:sz w:val="28"/>
    </w:rPr>
  </w:style>
  <w:style w:type="table" w:customStyle="1" w:styleId="DTFTextTable">
    <w:name w:val="DTF Text Table"/>
    <w:basedOn w:val="DTFTable"/>
    <w:uiPriority w:val="99"/>
    <w:rsid w:val="00917D22"/>
    <w:pPr>
      <w:spacing w:after="120" w:line="216" w:lineRule="auto"/>
      <w:jc w:val="left"/>
    </w:pPr>
    <w:rPr>
      <w:sz w:val="20"/>
    </w:rPr>
    <w:tblPr/>
    <w:tblStylePr w:type="firstRow">
      <w:pPr>
        <w:wordWrap/>
        <w:spacing w:beforeLines="0" w:before="20" w:beforeAutospacing="0" w:afterLines="0" w:after="20" w:afterAutospacing="0" w:line="216"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tcBorders>
          <w:top w:val="nil"/>
          <w:left w:val="nil"/>
          <w:bottom w:val="single" w:sz="6" w:space="0" w:color="auto"/>
          <w:right w:val="nil"/>
          <w:insideH w:val="nil"/>
          <w:insideV w:val="nil"/>
          <w:tl2br w:val="nil"/>
          <w:tr2bl w:val="nil"/>
        </w:tcBorders>
        <w:shd w:val="clear" w:color="auto" w:fill="EBEBEB" w:themeFill="background2"/>
      </w:tcPr>
    </w:tblStylePr>
    <w:tblStylePr w:type="band2Horz">
      <w:tblPr/>
      <w:tcPr>
        <w:tcBorders>
          <w:top w:val="nil"/>
          <w:left w:val="nil"/>
          <w:bottom w:val="single" w:sz="6" w:space="0" w:color="auto"/>
          <w:right w:val="nil"/>
          <w:insideH w:val="nil"/>
          <w:insideV w:val="nil"/>
          <w:tl2br w:val="nil"/>
          <w:tr2bl w:val="nil"/>
        </w:tcBorders>
        <w:shd w:val="clear" w:color="auto" w:fill="FFFFFF" w:themeFill="background1"/>
      </w:tcPr>
    </w:tblStylePr>
  </w:style>
  <w:style w:type="character" w:customStyle="1" w:styleId="FooterevenChar">
    <w:name w:val="Footer (even) Char"/>
    <w:basedOn w:val="DefaultParagraphFont"/>
    <w:link w:val="Footereven"/>
    <w:uiPriority w:val="85"/>
    <w:rsid w:val="00967F9B"/>
    <w:rPr>
      <w:rFonts w:asciiTheme="majorHAnsi" w:hAnsiTheme="majorHAnsi"/>
      <w:sz w:val="18"/>
    </w:rPr>
  </w:style>
  <w:style w:type="paragraph" w:customStyle="1" w:styleId="ObjectiveHeading">
    <w:name w:val="Objective Heading"/>
    <w:basedOn w:val="Normal"/>
    <w:next w:val="Normal"/>
    <w:uiPriority w:val="62"/>
    <w:qFormat/>
    <w:rsid w:val="00EB0619"/>
    <w:pPr>
      <w:keepNext/>
      <w:pBdr>
        <w:top w:val="single" w:sz="6" w:space="3" w:color="auto"/>
        <w:left w:val="single" w:sz="6" w:space="5" w:color="auto"/>
        <w:bottom w:val="single" w:sz="6" w:space="3" w:color="auto"/>
        <w:right w:val="single" w:sz="6" w:space="5" w:color="auto"/>
      </w:pBdr>
      <w:shd w:val="clear" w:color="auto" w:fill="F2F2F2" w:themeFill="background1" w:themeFillShade="F2"/>
    </w:pPr>
    <w:rPr>
      <w:rFonts w:asciiTheme="majorHAnsi" w:hAnsiTheme="majorHAnsi"/>
      <w:b/>
      <w:sz w:val="24"/>
    </w:rPr>
  </w:style>
  <w:style w:type="paragraph" w:customStyle="1" w:styleId="TableUnits">
    <w:name w:val="Table Units"/>
    <w:basedOn w:val="Normal"/>
    <w:next w:val="Normal"/>
    <w:link w:val="TableUnitsChar"/>
    <w:uiPriority w:val="50"/>
    <w:qFormat/>
    <w:rsid w:val="00E977BC"/>
    <w:pPr>
      <w:keepNext/>
      <w:tabs>
        <w:tab w:val="left" w:pos="567"/>
        <w:tab w:val="right" w:pos="9639"/>
        <w:tab w:val="right" w:pos="14572"/>
      </w:tabs>
      <w:spacing w:before="0" w:after="60"/>
      <w:ind w:left="1134" w:hanging="1134"/>
      <w:jc w:val="right"/>
    </w:pPr>
    <w:rPr>
      <w:rFonts w:asciiTheme="majorHAnsi" w:hAnsiTheme="majorHAnsi"/>
      <w:b/>
      <w:sz w:val="20"/>
      <w:szCs w:val="20"/>
    </w:rPr>
  </w:style>
  <w:style w:type="table" w:customStyle="1" w:styleId="DTFPerformanceMeasuresTable">
    <w:name w:val="DTF Performance Measures Table"/>
    <w:basedOn w:val="DTFTable"/>
    <w:uiPriority w:val="99"/>
    <w:rsid w:val="00F8170E"/>
    <w:pPr>
      <w:spacing w:before="0"/>
    </w:pPr>
    <w:tblPr>
      <w:tblStyleRowBandSize w:val="0"/>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44"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ChapterheadingChar">
    <w:name w:val="Chapter heading Char"/>
    <w:basedOn w:val="DefaultParagraphFont"/>
    <w:link w:val="Chapterheading"/>
    <w:uiPriority w:val="89"/>
    <w:rsid w:val="00934011"/>
    <w:rPr>
      <w:rFonts w:asciiTheme="majorHAnsi" w:eastAsiaTheme="majorEastAsia" w:hAnsiTheme="majorHAnsi" w:cstheme="majorBidi"/>
      <w:b/>
      <w:bCs/>
      <w:caps/>
      <w:spacing w:val="-2"/>
      <w:sz w:val="48"/>
      <w:szCs w:val="28"/>
    </w:rPr>
  </w:style>
  <w:style w:type="paragraph" w:customStyle="1" w:styleId="TableofContentsheading">
    <w:name w:val="Table of Contents heading"/>
    <w:basedOn w:val="Normal"/>
    <w:next w:val="Normal"/>
    <w:rsid w:val="00F63294"/>
    <w:pPr>
      <w:keepNext/>
      <w:keepLines w:val="0"/>
      <w:pBdr>
        <w:bottom w:val="single" w:sz="12" w:space="7" w:color="auto"/>
      </w:pBdr>
      <w:spacing w:before="1440" w:after="360"/>
    </w:pPr>
    <w:rPr>
      <w:rFonts w:ascii="Calibri" w:eastAsia="Times New Roman" w:hAnsi="Calibri" w:cs="Times New Roman"/>
      <w:b/>
      <w:caps/>
      <w:sz w:val="38"/>
      <w:szCs w:val="28"/>
    </w:rPr>
  </w:style>
  <w:style w:type="paragraph" w:customStyle="1" w:styleId="PerformanceMeasureNote">
    <w:name w:val="Performance Measure Note"/>
    <w:basedOn w:val="Normal"/>
    <w:uiPriority w:val="63"/>
    <w:rsid w:val="00A46F1A"/>
    <w:pPr>
      <w:spacing w:before="20" w:after="20"/>
      <w:ind w:left="170"/>
      <w:contextualSpacing/>
    </w:pPr>
    <w:rPr>
      <w:rFonts w:asciiTheme="majorHAnsi" w:hAnsiTheme="majorHAnsi"/>
      <w:i/>
      <w:spacing w:val="-2"/>
      <w:sz w:val="15"/>
      <w:szCs w:val="15"/>
    </w:rPr>
  </w:style>
  <w:style w:type="paragraph" w:customStyle="1" w:styleId="Performancemeasuremetric">
    <w:name w:val="Performance measure metric"/>
    <w:basedOn w:val="Normal"/>
    <w:uiPriority w:val="63"/>
    <w:rsid w:val="00A46F1A"/>
    <w:pPr>
      <w:keepLines w:val="0"/>
      <w:spacing w:before="20" w:after="20"/>
      <w:ind w:left="-14"/>
    </w:pPr>
    <w:rPr>
      <w:rFonts w:asciiTheme="majorHAnsi" w:hAnsiTheme="majorHAnsi"/>
      <w:i/>
      <w:sz w:val="17"/>
    </w:rPr>
  </w:style>
  <w:style w:type="paragraph" w:customStyle="1" w:styleId="HighlightBullet">
    <w:name w:val="Highlight Bullet"/>
    <w:basedOn w:val="ListBullet"/>
    <w:next w:val="HighlightBoxText"/>
    <w:uiPriority w:val="79"/>
    <w:qFormat/>
    <w:rsid w:val="00A46F1A"/>
    <w:pPr>
      <w:keepLines w:val="0"/>
      <w:numPr>
        <w:numId w:val="0"/>
      </w:numPr>
      <w:pBdr>
        <w:top w:val="single" w:sz="6" w:space="1" w:color="0063A6" w:themeColor="accent1"/>
        <w:left w:val="single" w:sz="6" w:space="4" w:color="0063A6" w:themeColor="accent1"/>
        <w:bottom w:val="single" w:sz="6" w:space="1" w:color="0063A6" w:themeColor="accent1"/>
        <w:right w:val="single" w:sz="6" w:space="4" w:color="0063A6" w:themeColor="accent1"/>
      </w:pBdr>
      <w:shd w:val="clear" w:color="auto" w:fill="E3EBF4" w:themeFill="accent3" w:themeFillTint="33"/>
      <w:spacing w:before="0" w:after="60" w:line="264" w:lineRule="auto"/>
      <w:ind w:left="680" w:hanging="680"/>
    </w:pPr>
  </w:style>
  <w:style w:type="paragraph" w:customStyle="1" w:styleId="Subheadingunderline">
    <w:name w:val="Subheading (underline)"/>
    <w:basedOn w:val="Normal"/>
    <w:next w:val="Normal"/>
    <w:uiPriority w:val="50"/>
    <w:qFormat/>
    <w:rsid w:val="00A46F1A"/>
    <w:pPr>
      <w:keepNext/>
      <w:keepLines w:val="0"/>
      <w:pBdr>
        <w:bottom w:val="single" w:sz="6" w:space="1" w:color="0063A6" w:themeColor="accent1"/>
      </w:pBdr>
      <w:tabs>
        <w:tab w:val="right" w:pos="9582"/>
        <w:tab w:val="right" w:pos="14742"/>
      </w:tabs>
      <w:spacing w:before="200" w:after="120" w:line="264" w:lineRule="auto"/>
    </w:pPr>
    <w:rPr>
      <w:rFonts w:asciiTheme="majorHAnsi" w:hAnsiTheme="majorHAnsi"/>
      <w:b/>
      <w:spacing w:val="-2"/>
    </w:rPr>
  </w:style>
  <w:style w:type="paragraph" w:customStyle="1" w:styleId="Subheading">
    <w:name w:val="Subheading"/>
    <w:basedOn w:val="Normal"/>
    <w:next w:val="TableUnits"/>
    <w:uiPriority w:val="49"/>
    <w:qFormat/>
    <w:rsid w:val="00A46F1A"/>
    <w:pPr>
      <w:keepNext/>
      <w:keepLines w:val="0"/>
      <w:tabs>
        <w:tab w:val="right" w:pos="9582"/>
        <w:tab w:val="right" w:pos="14742"/>
      </w:tabs>
      <w:spacing w:before="200" w:after="160" w:line="264" w:lineRule="auto"/>
    </w:pPr>
    <w:rPr>
      <w:rFonts w:asciiTheme="majorHAnsi" w:hAnsiTheme="majorHAnsi"/>
      <w:b/>
      <w:spacing w:val="-2"/>
    </w:rPr>
  </w:style>
  <w:style w:type="table" w:customStyle="1" w:styleId="TableDTFGeneral">
    <w:name w:val="Table DTF General"/>
    <w:basedOn w:val="TableNormal"/>
    <w:uiPriority w:val="99"/>
    <w:rsid w:val="00A46F1A"/>
    <w:pPr>
      <w:spacing w:before="20" w:after="20"/>
      <w:jc w:val="right"/>
    </w:pPr>
    <w:rPr>
      <w:rFonts w:asciiTheme="majorHAnsi" w:hAnsiTheme="majorHAnsi"/>
      <w:spacing w:val="4"/>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TableUnitsChar">
    <w:name w:val="Table Units Char"/>
    <w:basedOn w:val="DefaultParagraphFont"/>
    <w:link w:val="TableUnits"/>
    <w:uiPriority w:val="50"/>
    <w:rsid w:val="00E977BC"/>
    <w:rPr>
      <w:rFonts w:asciiTheme="majorHAnsi" w:hAnsiTheme="majorHAnsi"/>
      <w:b/>
      <w:sz w:val="20"/>
      <w:szCs w:val="20"/>
    </w:rPr>
  </w:style>
  <w:style w:type="paragraph" w:customStyle="1" w:styleId="FooterEvenpage">
    <w:name w:val="Footer (Even page)"/>
    <w:basedOn w:val="Footer"/>
    <w:uiPriority w:val="98"/>
    <w:qFormat/>
    <w:rsid w:val="00A46F1A"/>
    <w:pPr>
      <w:keepLines w:val="0"/>
      <w:pBdr>
        <w:top w:val="single" w:sz="6" w:space="1" w:color="0063A6" w:themeColor="accent1"/>
      </w:pBdr>
      <w:tabs>
        <w:tab w:val="clear" w:pos="4513"/>
        <w:tab w:val="clear" w:pos="9026"/>
        <w:tab w:val="center" w:pos="3686"/>
        <w:tab w:val="right" w:pos="9639"/>
      </w:tabs>
      <w:spacing w:line="264" w:lineRule="auto"/>
    </w:pPr>
    <w:rPr>
      <w:rFonts w:asciiTheme="majorHAnsi" w:hAnsiTheme="majorHAnsi"/>
      <w:sz w:val="18"/>
    </w:rPr>
  </w:style>
  <w:style w:type="paragraph" w:customStyle="1" w:styleId="ControlledEntitiesDepartment">
    <w:name w:val="Controlled Entities Department"/>
    <w:basedOn w:val="Normal"/>
    <w:next w:val="Normal"/>
    <w:uiPriority w:val="97"/>
    <w:qFormat/>
    <w:rsid w:val="00A46F1A"/>
    <w:pPr>
      <w:shd w:val="clear" w:color="auto" w:fill="D9D9D9" w:themeFill="background1" w:themeFillShade="D9"/>
      <w:spacing w:before="40"/>
    </w:pPr>
    <w:rPr>
      <w:rFonts w:asciiTheme="majorHAnsi" w:eastAsia="Times New Roman" w:hAnsiTheme="majorHAnsi" w:cs="Times New Roman"/>
      <w:b/>
      <w:bCs/>
      <w:color w:val="000000" w:themeColor="text1"/>
      <w:sz w:val="18"/>
      <w:szCs w:val="18"/>
      <w:lang w:eastAsia="en-AU"/>
    </w:rPr>
  </w:style>
  <w:style w:type="table" w:customStyle="1" w:styleId="TableGrid20">
    <w:name w:val="Table Grid2"/>
    <w:basedOn w:val="TableNormal"/>
    <w:next w:val="TableGrid"/>
    <w:uiPriority w:val="59"/>
    <w:rsid w:val="00A46F1A"/>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lphaStyle">
    <w:name w:val="List Alpha Style"/>
    <w:uiPriority w:val="99"/>
    <w:rsid w:val="00A46F1A"/>
    <w:pPr>
      <w:numPr>
        <w:numId w:val="15"/>
      </w:numPr>
    </w:pPr>
  </w:style>
  <w:style w:type="paragraph" w:customStyle="1" w:styleId="ListAlpha">
    <w:name w:val="List Alpha"/>
    <w:basedOn w:val="Normal"/>
    <w:uiPriority w:val="24"/>
    <w:rsid w:val="00A46F1A"/>
    <w:pPr>
      <w:keepLines w:val="0"/>
      <w:numPr>
        <w:numId w:val="16"/>
      </w:numPr>
      <w:spacing w:before="60"/>
    </w:pPr>
  </w:style>
  <w:style w:type="table" w:customStyle="1" w:styleId="TableGrid10">
    <w:name w:val="Table Grid1"/>
    <w:basedOn w:val="TableNormal"/>
    <w:next w:val="TableGrid"/>
    <w:rsid w:val="00A46F1A"/>
    <w:pPr>
      <w:spacing w:before="0" w:after="120"/>
      <w:jc w:val="both"/>
    </w:pPr>
    <w:rPr>
      <w:rFonts w:ascii="Calibri" w:eastAsia="Times New Roman" w:hAnsi="Calibri" w:cs="Times New Roman"/>
      <w:sz w:val="20"/>
      <w:szCs w:val="20"/>
      <w:lang w:eastAsia="en-AU"/>
    </w:rPr>
    <w:tblPr/>
  </w:style>
  <w:style w:type="numbering" w:customStyle="1" w:styleId="ListBulletStyle">
    <w:name w:val="List Bullet Style"/>
    <w:uiPriority w:val="99"/>
    <w:rsid w:val="00A46F1A"/>
    <w:pPr>
      <w:numPr>
        <w:numId w:val="17"/>
      </w:numPr>
    </w:pPr>
  </w:style>
  <w:style w:type="numbering" w:customStyle="1" w:styleId="ListNumberStyle">
    <w:name w:val="List Number Style"/>
    <w:uiPriority w:val="99"/>
    <w:rsid w:val="00A46F1A"/>
    <w:pPr>
      <w:numPr>
        <w:numId w:val="18"/>
      </w:numPr>
    </w:pPr>
  </w:style>
  <w:style w:type="paragraph" w:customStyle="1" w:styleId="ControlledEntitiesSector">
    <w:name w:val="Controlled Entities Sector"/>
    <w:basedOn w:val="Normal"/>
    <w:next w:val="ControlledEntitiesDepartment"/>
    <w:uiPriority w:val="98"/>
    <w:qFormat/>
    <w:rsid w:val="00A46F1A"/>
    <w:pPr>
      <w:shd w:val="clear" w:color="auto" w:fill="000000" w:themeFill="text1"/>
      <w:spacing w:before="20" w:after="60"/>
      <w:jc w:val="center"/>
    </w:pPr>
    <w:rPr>
      <w:rFonts w:asciiTheme="majorHAnsi" w:eastAsia="Times New Roman" w:hAnsiTheme="majorHAnsi" w:cstheme="minorHAnsi"/>
      <w:b/>
      <w:i/>
      <w:color w:val="FFFFFF" w:themeColor="background1"/>
      <w:sz w:val="18"/>
      <w:lang w:eastAsia="en-AU"/>
    </w:rPr>
  </w:style>
  <w:style w:type="character" w:customStyle="1" w:styleId="TableHeadingChar">
    <w:name w:val="Table Heading Char"/>
    <w:basedOn w:val="DefaultParagraphFont"/>
    <w:link w:val="TableHeading"/>
    <w:uiPriority w:val="49"/>
    <w:rsid w:val="00E977BC"/>
    <w:rPr>
      <w:rFonts w:asciiTheme="majorHAnsi" w:hAnsiTheme="majorHAnsi"/>
      <w: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semiHidden="0" w:uiPriority="9" w:unhideWhenUsed="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94" w:unhideWhenUsed="0"/>
    <w:lsdException w:name="toc 4" w:uiPriority="96" w:unhideWhenUsed="0"/>
    <w:lsdException w:name="toc 5" w:uiPriority="96" w:unhideWhenUsed="0"/>
    <w:lsdException w:name="toc 6" w:uiPriority="96" w:unhideWhenUsed="0"/>
    <w:lsdException w:name="toc 7" w:uiPriority="96" w:unhideWhenUsed="0"/>
    <w:lsdException w:name="toc 8" w:uiPriority="96" w:unhideWhenUsed="0"/>
    <w:lsdException w:name="toc 9" w:uiPriority="94"/>
    <w:lsdException w:name="footnote text" w:qFormat="1"/>
    <w:lsdException w:name="header" w:uiPriority="84"/>
    <w:lsdException w:name="footer" w:uiPriority="85"/>
    <w:lsdException w:name="caption" w:uiPriority="35" w:qFormat="1"/>
    <w:lsdException w:name="page number" w:uiPriority="0"/>
    <w:lsdException w:name="List" w:semiHidden="0" w:uiPriority="29" w:unhideWhenUsed="0"/>
    <w:lsdException w:name="List Bullet" w:uiPriority="19" w:qFormat="1"/>
    <w:lsdException w:name="List Number" w:semiHidden="0" w:uiPriority="19" w:unhideWhenUsed="0" w:qFormat="1"/>
    <w:lsdException w:name="List 2" w:uiPriority="29" w:unhideWhenUsed="0"/>
    <w:lsdException w:name="List 3" w:uiPriority="29"/>
    <w:lsdException w:name="List 4" w:uiPriority="29"/>
    <w:lsdException w:name="List 5" w:uiPriority="29"/>
    <w:lsdException w:name="List Bullet 2" w:uiPriority="19"/>
    <w:lsdException w:name="List Bullet 3" w:uiPriority="19"/>
    <w:lsdException w:name="List Bullet 4" w:uiPriority="19"/>
    <w:lsdException w:name="List Bullet 5" w:uiPriority="19"/>
    <w:lsdException w:name="List Number 2" w:semiHidden="0" w:uiPriority="19" w:unhideWhenUsed="0"/>
    <w:lsdException w:name="List Number 3" w:uiPriority="19"/>
    <w:lsdException w:name="List Number 4" w:uiPriority="19"/>
    <w:lsdException w:name="List Number 5" w:uiPriority="19"/>
    <w:lsdException w:name="Title" w:uiPriority="89" w:unhideWhenUsed="0" w:qFormat="1"/>
    <w:lsdException w:name="Default Paragraph Font" w:uiPriority="1"/>
    <w:lsdException w:name="Body Text" w:uiPriority="4"/>
    <w:lsdException w:name="List Continue" w:semiHidden="0" w:uiPriority="26" w:unhideWhenUsed="0" w:qFormat="1"/>
    <w:lsdException w:name="List Continue 2" w:semiHidden="0" w:uiPriority="26" w:unhideWhenUsed="0"/>
    <w:lsdException w:name="List Continue 3" w:uiPriority="26"/>
    <w:lsdException w:name="List Continue 4" w:uiPriority="26"/>
    <w:lsdException w:name="List Continue 5" w:uiPriority="26"/>
    <w:lsdException w:name="Subtitle" w:uiPriority="90" w:unhideWhenUsed="0" w:qFormat="1"/>
    <w:lsdException w:name="Strong" w:uiPriority="98" w:unhideWhenUsed="0"/>
    <w:lsdException w:name="Emphasis" w:uiPriority="98"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8" w:unhideWhenUsed="0"/>
    <w:lsdException w:name="Intense Emphasis" w:uiPriority="98"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90"/>
  </w:latentStyles>
  <w:style w:type="paragraph" w:default="1" w:styleId="Normal">
    <w:name w:val="Normal"/>
    <w:qFormat/>
    <w:rsid w:val="00626AEF"/>
    <w:pPr>
      <w:keepLines/>
    </w:pPr>
  </w:style>
  <w:style w:type="paragraph" w:styleId="Heading10">
    <w:name w:val="heading 1"/>
    <w:next w:val="Normal"/>
    <w:link w:val="Heading1Char"/>
    <w:uiPriority w:val="9"/>
    <w:qFormat/>
    <w:rsid w:val="00C72023"/>
    <w:pPr>
      <w:keepNext/>
      <w:keepLines/>
      <w:pBdr>
        <w:bottom w:val="single" w:sz="12" w:space="1" w:color="auto"/>
      </w:pBdr>
      <w:spacing w:before="360"/>
      <w:outlineLvl w:val="0"/>
    </w:pPr>
    <w:rPr>
      <w:rFonts w:asciiTheme="majorHAnsi" w:eastAsiaTheme="majorEastAsia" w:hAnsiTheme="majorHAnsi" w:cstheme="majorBidi"/>
      <w:b/>
      <w:bCs/>
      <w:caps/>
      <w:spacing w:val="-2"/>
      <w:sz w:val="26"/>
      <w:szCs w:val="28"/>
    </w:rPr>
  </w:style>
  <w:style w:type="paragraph" w:styleId="Heading20">
    <w:name w:val="heading 2"/>
    <w:basedOn w:val="Heading10"/>
    <w:next w:val="Normal"/>
    <w:link w:val="Heading2Char"/>
    <w:uiPriority w:val="9"/>
    <w:qFormat/>
    <w:rsid w:val="00C72023"/>
    <w:pPr>
      <w:numPr>
        <w:ilvl w:val="1"/>
      </w:numPr>
      <w:pBdr>
        <w:bottom w:val="none" w:sz="0" w:space="0" w:color="auto"/>
      </w:pBdr>
      <w:tabs>
        <w:tab w:val="right" w:pos="9582"/>
      </w:tabs>
      <w:spacing w:before="240"/>
      <w:outlineLvl w:val="1"/>
    </w:pPr>
    <w:rPr>
      <w:bCs w:val="0"/>
      <w:caps w:val="0"/>
      <w:szCs w:val="26"/>
    </w:rPr>
  </w:style>
  <w:style w:type="paragraph" w:styleId="Heading30">
    <w:name w:val="heading 3"/>
    <w:basedOn w:val="Heading20"/>
    <w:next w:val="Normal"/>
    <w:link w:val="Heading3Char"/>
    <w:uiPriority w:val="9"/>
    <w:qFormat/>
    <w:rsid w:val="00C72023"/>
    <w:pPr>
      <w:numPr>
        <w:ilvl w:val="2"/>
      </w:numPr>
      <w:pBdr>
        <w:bottom w:val="single" w:sz="6" w:space="1" w:color="auto"/>
      </w:pBdr>
      <w:outlineLvl w:val="2"/>
    </w:pPr>
    <w:rPr>
      <w:bCs/>
      <w:sz w:val="23"/>
    </w:rPr>
  </w:style>
  <w:style w:type="paragraph" w:styleId="Heading4">
    <w:name w:val="heading 4"/>
    <w:basedOn w:val="Heading30"/>
    <w:next w:val="Normal"/>
    <w:link w:val="Heading4Char"/>
    <w:uiPriority w:val="9"/>
    <w:rsid w:val="00C72023"/>
    <w:pPr>
      <w:numPr>
        <w:ilvl w:val="3"/>
      </w:numPr>
      <w:pBdr>
        <w:bottom w:val="none" w:sz="0" w:space="0" w:color="auto"/>
      </w:pBdr>
      <w:spacing w:before="180"/>
      <w:outlineLvl w:val="3"/>
    </w:pPr>
    <w:rPr>
      <w:b w:val="0"/>
      <w:bCs w:val="0"/>
      <w:i/>
      <w:iCs/>
      <w:spacing w:val="0"/>
    </w:rPr>
  </w:style>
  <w:style w:type="paragraph" w:styleId="Heading5">
    <w:name w:val="heading 5"/>
    <w:basedOn w:val="Heading4"/>
    <w:next w:val="Normal"/>
    <w:link w:val="Heading5Char"/>
    <w:uiPriority w:val="9"/>
    <w:unhideWhenUsed/>
    <w:rsid w:val="00EB0619"/>
    <w:pPr>
      <w:numPr>
        <w:ilvl w:val="4"/>
      </w:numPr>
      <w:outlineLvl w:val="4"/>
    </w:pPr>
    <w:rPr>
      <w:b/>
      <w:i w:val="0"/>
      <w:sz w:val="21"/>
    </w:rPr>
  </w:style>
  <w:style w:type="paragraph" w:styleId="Heading6">
    <w:name w:val="heading 6"/>
    <w:basedOn w:val="Normal"/>
    <w:next w:val="Normal"/>
    <w:link w:val="Heading6Char"/>
    <w:uiPriority w:val="9"/>
    <w:semiHidden/>
    <w:unhideWhenUsed/>
    <w:qFormat/>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qFormat/>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C72023"/>
    <w:rPr>
      <w:rFonts w:asciiTheme="majorHAnsi" w:eastAsiaTheme="majorEastAsia" w:hAnsiTheme="majorHAnsi" w:cstheme="majorBidi"/>
      <w:b/>
      <w:bCs/>
      <w:caps/>
      <w:spacing w:val="-2"/>
      <w:sz w:val="26"/>
      <w:szCs w:val="28"/>
    </w:rPr>
  </w:style>
  <w:style w:type="paragraph" w:customStyle="1" w:styleId="Chapterheading">
    <w:name w:val="Chapter heading"/>
    <w:basedOn w:val="Normal"/>
    <w:next w:val="Heading10"/>
    <w:link w:val="ChapterheadingChar"/>
    <w:uiPriority w:val="89"/>
    <w:rsid w:val="0061407E"/>
    <w:pPr>
      <w:keepNext/>
      <w:pBdr>
        <w:bottom w:val="single" w:sz="12" w:space="1" w:color="auto"/>
      </w:pBdr>
      <w:spacing w:before="1440" w:after="360"/>
      <w:outlineLvl w:val="0"/>
    </w:pPr>
    <w:rPr>
      <w:rFonts w:asciiTheme="majorHAnsi" w:eastAsiaTheme="majorEastAsia" w:hAnsiTheme="majorHAnsi" w:cstheme="majorBidi"/>
      <w:b/>
      <w:bCs/>
      <w:caps/>
      <w:spacing w:val="-2"/>
      <w:sz w:val="48"/>
      <w:szCs w:val="28"/>
    </w:rPr>
  </w:style>
  <w:style w:type="character" w:customStyle="1" w:styleId="Heading3Char">
    <w:name w:val="Heading 3 Char"/>
    <w:basedOn w:val="DefaultParagraphFont"/>
    <w:link w:val="Heading30"/>
    <w:uiPriority w:val="9"/>
    <w:rsid w:val="00C72023"/>
    <w:rPr>
      <w:rFonts w:asciiTheme="majorHAnsi" w:eastAsiaTheme="majorEastAsia" w:hAnsiTheme="majorHAnsi" w:cstheme="majorBidi"/>
      <w:b/>
      <w:bCs/>
      <w:spacing w:val="-2"/>
      <w:sz w:val="23"/>
      <w:szCs w:val="26"/>
    </w:rPr>
  </w:style>
  <w:style w:type="character" w:customStyle="1" w:styleId="Heading2Char">
    <w:name w:val="Heading 2 Char"/>
    <w:basedOn w:val="DefaultParagraphFont"/>
    <w:link w:val="Heading20"/>
    <w:uiPriority w:val="9"/>
    <w:rsid w:val="00C72023"/>
    <w:rPr>
      <w:rFonts w:asciiTheme="majorHAnsi" w:eastAsiaTheme="majorEastAsia" w:hAnsiTheme="majorHAnsi" w:cstheme="majorBidi"/>
      <w:b/>
      <w:spacing w:val="-2"/>
      <w:sz w:val="26"/>
      <w:szCs w:val="26"/>
    </w:rPr>
  </w:style>
  <w:style w:type="character" w:customStyle="1" w:styleId="Heading4Char">
    <w:name w:val="Heading 4 Char"/>
    <w:basedOn w:val="DefaultParagraphFont"/>
    <w:link w:val="Heading4"/>
    <w:uiPriority w:val="9"/>
    <w:rsid w:val="00C72023"/>
    <w:rPr>
      <w:rFonts w:asciiTheme="majorHAnsi" w:eastAsiaTheme="majorEastAsia" w:hAnsiTheme="majorHAnsi" w:cstheme="majorBidi"/>
      <w:i/>
      <w:iCs/>
      <w:sz w:val="23"/>
      <w:szCs w:val="26"/>
    </w:rPr>
  </w:style>
  <w:style w:type="character" w:customStyle="1" w:styleId="Heading2Char0">
    <w:name w:val="Heading 2 (#) Char"/>
    <w:basedOn w:val="Heading2Char"/>
    <w:link w:val="Heading2"/>
    <w:uiPriority w:val="14"/>
    <w:rsid w:val="0037430B"/>
    <w:rPr>
      <w:rFonts w:asciiTheme="majorHAnsi" w:eastAsiaTheme="majorEastAsia" w:hAnsiTheme="majorHAnsi" w:cstheme="majorBidi"/>
      <w:b/>
      <w:spacing w:val="-2"/>
      <w:sz w:val="26"/>
      <w:szCs w:val="26"/>
    </w:rPr>
  </w:style>
  <w:style w:type="paragraph" w:customStyle="1" w:styleId="Source">
    <w:name w:val="Source"/>
    <w:basedOn w:val="Normal"/>
    <w:next w:val="Note"/>
    <w:uiPriority w:val="51"/>
    <w:qFormat/>
    <w:rsid w:val="006F23B1"/>
    <w:pPr>
      <w:spacing w:before="20" w:after="60"/>
    </w:pPr>
    <w:rPr>
      <w:rFonts w:asciiTheme="majorHAnsi" w:hAnsiTheme="majorHAnsi"/>
      <w:i/>
      <w:spacing w:val="-2"/>
      <w:sz w:val="14"/>
    </w:rPr>
  </w:style>
  <w:style w:type="paragraph" w:customStyle="1" w:styleId="Note">
    <w:name w:val="Note"/>
    <w:basedOn w:val="Normal"/>
    <w:link w:val="NoteChar"/>
    <w:uiPriority w:val="52"/>
    <w:qFormat/>
    <w:rsid w:val="006F23B1"/>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after="200" w:line="276" w:lineRule="auto"/>
    </w:pPr>
    <w:rPr>
      <w:lang w:val="en-US" w:eastAsia="ja-JP"/>
    </w:rPr>
  </w:style>
  <w:style w:type="paragraph" w:styleId="FootnoteText">
    <w:name w:val="footnote text"/>
    <w:basedOn w:val="Normal"/>
    <w:link w:val="FootnoteTextChar"/>
    <w:uiPriority w:val="99"/>
    <w:semiHidden/>
    <w:qFormat/>
    <w:rsid w:val="007A11BE"/>
    <w:pPr>
      <w:spacing w:before="40"/>
    </w:pPr>
    <w:rPr>
      <w:rFonts w:eastAsiaTheme="minorEastAsia"/>
      <w:sz w:val="20"/>
      <w:lang w:val="en-US" w:eastAsia="ja-JP"/>
    </w:rPr>
  </w:style>
  <w:style w:type="character" w:customStyle="1" w:styleId="FootnoteTextChar">
    <w:name w:val="Footnote Text Char"/>
    <w:basedOn w:val="DefaultParagraphFont"/>
    <w:link w:val="FootnoteText"/>
    <w:uiPriority w:val="99"/>
    <w:semiHidden/>
    <w:rsid w:val="007A11BE"/>
    <w:rPr>
      <w:rFonts w:eastAsiaTheme="minorEastAsia"/>
      <w:sz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84"/>
    <w:rsid w:val="00CA41CF"/>
    <w:pPr>
      <w:spacing w:after="180"/>
    </w:pPr>
    <w:rPr>
      <w:rFonts w:asciiTheme="majorHAnsi" w:hAnsiTheme="majorHAnsi"/>
      <w:b/>
      <w:caps/>
      <w:color w:val="53565A"/>
    </w:rPr>
  </w:style>
  <w:style w:type="character" w:customStyle="1" w:styleId="HeaderChar">
    <w:name w:val="Header Char"/>
    <w:basedOn w:val="DefaultParagraphFont"/>
    <w:link w:val="Header"/>
    <w:uiPriority w:val="84"/>
    <w:rsid w:val="00CA41CF"/>
    <w:rPr>
      <w:rFonts w:asciiTheme="majorHAnsi" w:hAnsiTheme="majorHAnsi"/>
      <w:b/>
      <w:caps/>
      <w:color w:val="53565A"/>
    </w:rPr>
  </w:style>
  <w:style w:type="numbering" w:styleId="111111">
    <w:name w:val="Outline List 2"/>
    <w:basedOn w:val="NoList"/>
    <w:uiPriority w:val="99"/>
    <w:semiHidden/>
    <w:unhideWhenUsed/>
    <w:rsid w:val="00C00568"/>
    <w:pPr>
      <w:numPr>
        <w:numId w:val="11"/>
      </w:numPr>
    </w:pPr>
  </w:style>
  <w:style w:type="character" w:customStyle="1" w:styleId="FooteroddChar">
    <w:name w:val="Footer (odd) Char"/>
    <w:basedOn w:val="DefaultParagraphFont"/>
    <w:link w:val="Footerodd"/>
    <w:uiPriority w:val="85"/>
    <w:rsid w:val="00967F9B"/>
    <w:rPr>
      <w:rFonts w:asciiTheme="majorHAnsi" w:hAnsiTheme="majorHAnsi"/>
      <w:sz w:val="18"/>
    </w:rPr>
  </w:style>
  <w:style w:type="paragraph" w:customStyle="1" w:styleId="Footerodd">
    <w:name w:val="Footer (odd)"/>
    <w:basedOn w:val="Normal"/>
    <w:link w:val="FooteroddChar"/>
    <w:uiPriority w:val="85"/>
    <w:rsid w:val="00967F9B"/>
    <w:pPr>
      <w:pBdr>
        <w:top w:val="single" w:sz="6" w:space="1" w:color="auto"/>
      </w:pBdr>
      <w:tabs>
        <w:tab w:val="center" w:pos="5103"/>
        <w:tab w:val="right" w:pos="9639"/>
        <w:tab w:val="right" w:pos="14572"/>
      </w:tabs>
      <w:spacing w:before="0"/>
    </w:pPr>
    <w:rPr>
      <w:rFonts w:asciiTheme="majorHAnsi" w:hAnsiTheme="majorHAnsi"/>
      <w:sz w:val="18"/>
    </w:rPr>
  </w:style>
  <w:style w:type="paragraph" w:customStyle="1" w:styleId="NoteDash">
    <w:name w:val="Note Dash"/>
    <w:basedOn w:val="Note"/>
    <w:next w:val="Note"/>
    <w:uiPriority w:val="53"/>
    <w:qFormat/>
    <w:rsid w:val="00E46DD4"/>
    <w:pPr>
      <w:numPr>
        <w:numId w:val="3"/>
      </w:numPr>
      <w:ind w:left="568" w:hanging="284"/>
    </w:pPr>
  </w:style>
  <w:style w:type="character" w:customStyle="1" w:styleId="NoteChar">
    <w:name w:val="Note Char"/>
    <w:basedOn w:val="DefaultParagraphFont"/>
    <w:link w:val="Note"/>
    <w:uiPriority w:val="52"/>
    <w:rsid w:val="006F23B1"/>
    <w:rPr>
      <w:rFonts w:asciiTheme="majorHAnsi" w:hAnsiTheme="majorHAnsi"/>
      <w:i/>
      <w:spacing w:val="-2"/>
      <w:sz w:val="14"/>
    </w:rPr>
  </w:style>
  <w:style w:type="paragraph" w:styleId="TOC1">
    <w:name w:val="toc 1"/>
    <w:basedOn w:val="Normal"/>
    <w:next w:val="Normal"/>
    <w:uiPriority w:val="39"/>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qFormat/>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rsid w:val="00EB0619"/>
    <w:rPr>
      <w:rFonts w:asciiTheme="majorHAnsi" w:eastAsiaTheme="majorEastAsia" w:hAnsiTheme="majorHAnsi" w:cstheme="majorBidi"/>
      <w:b/>
      <w:iCs/>
      <w:sz w:val="21"/>
      <w:szCs w:val="26"/>
    </w:rPr>
  </w:style>
  <w:style w:type="paragraph" w:styleId="ListBullet">
    <w:name w:val="List Bullet"/>
    <w:basedOn w:val="Normal"/>
    <w:uiPriority w:val="19"/>
    <w:qFormat/>
    <w:rsid w:val="00CE5CF8"/>
    <w:pPr>
      <w:numPr>
        <w:numId w:val="7"/>
      </w:numPr>
      <w:spacing w:before="60"/>
    </w:pPr>
  </w:style>
  <w:style w:type="paragraph" w:styleId="List">
    <w:name w:val="List"/>
    <w:basedOn w:val="Normal"/>
    <w:uiPriority w:val="29"/>
    <w:unhideWhenUsed/>
    <w:rsid w:val="008A5A91"/>
    <w:pPr>
      <w:keepLines w:val="0"/>
      <w:tabs>
        <w:tab w:val="left" w:pos="284"/>
        <w:tab w:val="left" w:pos="567"/>
        <w:tab w:val="left" w:pos="851"/>
      </w:tabs>
    </w:pPr>
  </w:style>
  <w:style w:type="paragraph" w:styleId="ListContinue">
    <w:name w:val="List Continue"/>
    <w:basedOn w:val="Normal"/>
    <w:uiPriority w:val="26"/>
    <w:qFormat/>
    <w:rsid w:val="006C00EB"/>
    <w:pPr>
      <w:spacing w:before="60"/>
      <w:ind w:left="284"/>
    </w:pPr>
  </w:style>
  <w:style w:type="paragraph" w:styleId="ListContinue2">
    <w:name w:val="List Continue 2"/>
    <w:basedOn w:val="Normal"/>
    <w:uiPriority w:val="26"/>
    <w:rsid w:val="006C00EB"/>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aliases w:val="Footer (Odd page)"/>
    <w:basedOn w:val="Normal"/>
    <w:link w:val="FooterChar"/>
    <w:uiPriority w:val="85"/>
    <w:unhideWhenUsed/>
    <w:rsid w:val="00967F9B"/>
    <w:pPr>
      <w:tabs>
        <w:tab w:val="center" w:pos="4513"/>
        <w:tab w:val="right" w:pos="9026"/>
      </w:tabs>
      <w:spacing w:before="0"/>
    </w:pPr>
  </w:style>
  <w:style w:type="paragraph" w:styleId="TOC2">
    <w:name w:val="toc 2"/>
    <w:basedOn w:val="TOC1"/>
    <w:next w:val="Normal"/>
    <w:uiPriority w:val="39"/>
    <w:rsid w:val="00F63294"/>
    <w:pPr>
      <w:tabs>
        <w:tab w:val="left" w:pos="567"/>
      </w:tabs>
      <w:spacing w:before="60" w:after="60" w:line="264" w:lineRule="auto"/>
      <w:ind w:left="284" w:right="567"/>
    </w:pPr>
    <w:rPr>
      <w:b w:val="0"/>
      <w:noProof/>
    </w:rPr>
  </w:style>
  <w:style w:type="character" w:styleId="PageNumber">
    <w:name w:val="page number"/>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rsid w:val="000E2126"/>
    <w:pPr>
      <w:tabs>
        <w:tab w:val="left" w:pos="1021"/>
        <w:tab w:val="right" w:leader="dot" w:pos="9072"/>
      </w:tabs>
      <w:spacing w:after="100"/>
    </w:pPr>
    <w:rPr>
      <w:rFonts w:asciiTheme="majorHAnsi" w:hAnsiTheme="majorHAnsi"/>
      <w:spacing w:val="2"/>
    </w:rPr>
  </w:style>
  <w:style w:type="character" w:styleId="Hyperlink">
    <w:name w:val="Hyperlink"/>
    <w:uiPriority w:val="99"/>
    <w:rsid w:val="00924B15"/>
    <w:rPr>
      <w:color w:val="0000FF"/>
      <w:u w:val="single"/>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qFormat/>
    <w:rsid w:val="00EB0619"/>
    <w:pPr>
      <w:keepNext/>
    </w:pPr>
    <w:rPr>
      <w:rFonts w:asciiTheme="majorHAnsi" w:hAnsiTheme="majorHAnsi"/>
      <w:b/>
    </w:rPr>
  </w:style>
  <w:style w:type="paragraph" w:customStyle="1" w:styleId="HighlightBoxBullet">
    <w:name w:val="Highlight Box Bullet"/>
    <w:basedOn w:val="ListBullet"/>
    <w:uiPriority w:val="61"/>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link w:val="TableHeadingChar"/>
    <w:uiPriority w:val="49"/>
    <w:qFormat/>
    <w:rsid w:val="00E977BC"/>
    <w:pPr>
      <w:keepNext/>
      <w:tabs>
        <w:tab w:val="left" w:pos="1134"/>
        <w:tab w:val="right" w:pos="9639"/>
        <w:tab w:val="right" w:pos="14572"/>
      </w:tabs>
      <w:spacing w:before="240" w:after="6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unhideWhenUsed/>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rsid w:val="003E68E6"/>
    <w:rPr>
      <w:rFonts w:asciiTheme="majorHAnsi" w:eastAsiaTheme="majorEastAsia" w:hAnsiTheme="majorHAnsi" w:cstheme="majorBidi"/>
      <w:b/>
      <w:bCs/>
      <w:caps/>
      <w:spacing w:val="-2"/>
      <w:sz w:val="2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94"/>
    <w:rsid w:val="00B24119"/>
    <w:pPr>
      <w:tabs>
        <w:tab w:val="left" w:pos="567"/>
        <w:tab w:val="right" w:leader="dot" w:pos="4536"/>
      </w:tabs>
      <w:spacing w:after="100"/>
      <w:ind w:left="567" w:right="340" w:hanging="567"/>
    </w:pPr>
    <w:rPr>
      <w:spacing w:val="-2"/>
    </w:rPr>
  </w:style>
  <w:style w:type="paragraph" w:customStyle="1" w:styleId="Footereven">
    <w:name w:val="Footer (even)"/>
    <w:basedOn w:val="Normal"/>
    <w:link w:val="FooterevenChar"/>
    <w:uiPriority w:val="85"/>
    <w:rsid w:val="00967F9B"/>
    <w:pPr>
      <w:pBdr>
        <w:top w:val="single" w:sz="6" w:space="1" w:color="auto"/>
      </w:pBdr>
      <w:tabs>
        <w:tab w:val="center" w:pos="4536"/>
        <w:tab w:val="right" w:pos="9639"/>
        <w:tab w:val="right" w:pos="14572"/>
      </w:tabs>
      <w:spacing w:before="0"/>
    </w:pPr>
    <w:rPr>
      <w:rFonts w:asciiTheme="majorHAnsi" w:hAnsiTheme="majorHAnsi"/>
      <w:sz w:val="18"/>
    </w:rPr>
  </w:style>
  <w:style w:type="table" w:customStyle="1" w:styleId="DTFTable">
    <w:name w:val="DTF Table"/>
    <w:basedOn w:val="TableNormal"/>
    <w:uiPriority w:val="99"/>
    <w:rsid w:val="00A637FA"/>
    <w:pPr>
      <w:spacing w:before="20" w:after="20"/>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unhideWhenUsed/>
    <w:rsid w:val="002C3386"/>
    <w:pPr>
      <w:numPr>
        <w:ilvl w:val="2"/>
        <w:numId w:val="8"/>
      </w:numPr>
      <w:spacing w:before="60"/>
      <w:ind w:left="851"/>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6"/>
    <w:semiHidden/>
    <w:unhideWhenUsed/>
    <w:rsid w:val="000915C9"/>
    <w:pPr>
      <w:ind w:left="1191"/>
    </w:pPr>
  </w:style>
  <w:style w:type="paragraph" w:customStyle="1" w:styleId="Heading1">
    <w:name w:val="Heading 1 (#)"/>
    <w:basedOn w:val="Heading10"/>
    <w:link w:val="Heading1Char0"/>
    <w:uiPriority w:val="14"/>
    <w:qFormat/>
    <w:rsid w:val="003E68E6"/>
    <w:pPr>
      <w:numPr>
        <w:numId w:val="14"/>
      </w:numPr>
    </w:pPr>
  </w:style>
  <w:style w:type="paragraph" w:customStyle="1" w:styleId="Heading2">
    <w:name w:val="Heading 2 (#)"/>
    <w:basedOn w:val="Heading20"/>
    <w:link w:val="Heading2Char0"/>
    <w:uiPriority w:val="14"/>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rsid w:val="00C72023"/>
    <w:pPr>
      <w:numPr>
        <w:numId w:val="14"/>
      </w:numPr>
      <w:pBdr>
        <w:bottom w:val="none" w:sz="0" w:space="0" w:color="auto"/>
      </w:pBdr>
      <w:spacing w:after="120"/>
    </w:pPr>
  </w:style>
  <w:style w:type="character" w:customStyle="1" w:styleId="Heading3Char0">
    <w:name w:val="Heading 3 (#) Char"/>
    <w:basedOn w:val="Heading3Char"/>
    <w:link w:val="Heading3"/>
    <w:uiPriority w:val="14"/>
    <w:rsid w:val="00C72023"/>
    <w:rPr>
      <w:rFonts w:asciiTheme="majorHAnsi" w:eastAsiaTheme="majorEastAsia" w:hAnsiTheme="majorHAnsi" w:cstheme="majorBidi"/>
      <w:b/>
      <w:bCs/>
      <w:spacing w:val="-2"/>
      <w:sz w:val="23"/>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6"/>
    <w:semiHidden/>
    <w:unhideWhenUsed/>
    <w:rsid w:val="002F7BBC"/>
    <w:pPr>
      <w:spacing w:after="120"/>
      <w:ind w:left="1132"/>
      <w:contextualSpacing/>
    </w:pPr>
  </w:style>
  <w:style w:type="paragraph" w:styleId="ListContinue5">
    <w:name w:val="List Continue 5"/>
    <w:basedOn w:val="Normal"/>
    <w:uiPriority w:val="26"/>
    <w:semiHidden/>
    <w:unhideWhenUsed/>
    <w:rsid w:val="002F7BBC"/>
    <w:pPr>
      <w:spacing w:after="120"/>
      <w:ind w:left="1415"/>
      <w:contextualSpacing/>
    </w:pPr>
  </w:style>
  <w:style w:type="character" w:customStyle="1" w:styleId="FooterChar">
    <w:name w:val="Footer Char"/>
    <w:aliases w:val="Footer (Odd page) Char"/>
    <w:basedOn w:val="DefaultParagraphFont"/>
    <w:link w:val="Footer"/>
    <w:uiPriority w:val="85"/>
    <w:rsid w:val="00967F9B"/>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C00568"/>
    <w:pPr>
      <w:spacing w:after="120"/>
    </w:pPr>
  </w:style>
  <w:style w:type="character" w:customStyle="1" w:styleId="BodyTextChar">
    <w:name w:val="Body Text Char"/>
    <w:basedOn w:val="DefaultParagraphFont"/>
    <w:link w:val="BodyText"/>
    <w:uiPriority w:val="4"/>
    <w:semiHidden/>
    <w:rsid w:val="00C00568"/>
  </w:style>
  <w:style w:type="paragraph" w:styleId="BodyText2">
    <w:name w:val="Body Text 2"/>
    <w:basedOn w:val="Normal"/>
    <w:link w:val="BodyText2Char"/>
    <w:uiPriority w:val="99"/>
    <w:semiHidden/>
    <w:unhideWhenUsed/>
    <w:rsid w:val="00C00568"/>
    <w:pPr>
      <w:spacing w:after="120" w:line="480" w:lineRule="auto"/>
    </w:pPr>
  </w:style>
  <w:style w:type="character" w:customStyle="1" w:styleId="BodyText2Char">
    <w:name w:val="Body Text 2 Char"/>
    <w:basedOn w:val="DefaultParagraphFont"/>
    <w:link w:val="BodyText2"/>
    <w:uiPriority w:val="99"/>
    <w:semiHidden/>
    <w:rsid w:val="00C00568"/>
  </w:style>
  <w:style w:type="paragraph" w:styleId="BodyText3">
    <w:name w:val="Body Text 3"/>
    <w:basedOn w:val="Normal"/>
    <w:link w:val="BodyText3Char"/>
    <w:uiPriority w:val="99"/>
    <w:semiHidden/>
    <w:unhideWhenUsed/>
    <w:rsid w:val="00C00568"/>
    <w:pPr>
      <w:spacing w:after="120"/>
    </w:pPr>
    <w:rPr>
      <w:sz w:val="16"/>
      <w:szCs w:val="16"/>
    </w:rPr>
  </w:style>
  <w:style w:type="character" w:customStyle="1" w:styleId="BodyText3Char">
    <w:name w:val="Body Text 3 Char"/>
    <w:basedOn w:val="DefaultParagraphFont"/>
    <w:link w:val="BodyText3"/>
    <w:uiPriority w:val="99"/>
    <w:semiHidden/>
    <w:rsid w:val="00C00568"/>
    <w:rPr>
      <w:sz w:val="16"/>
      <w:szCs w:val="16"/>
    </w:rPr>
  </w:style>
  <w:style w:type="paragraph" w:styleId="BodyTextFirstIndent">
    <w:name w:val="Body Text First Indent"/>
    <w:basedOn w:val="BodyText"/>
    <w:link w:val="BodyTextFirstIndentChar"/>
    <w:uiPriority w:val="99"/>
    <w:semiHidden/>
    <w:unhideWhenUsed/>
    <w:rsid w:val="00C00568"/>
    <w:pPr>
      <w:spacing w:after="0"/>
      <w:ind w:firstLine="360"/>
    </w:pPr>
  </w:style>
  <w:style w:type="character" w:customStyle="1" w:styleId="BodyTextFirstIndentChar">
    <w:name w:val="Body Text First Indent Char"/>
    <w:basedOn w:val="BodyTextChar"/>
    <w:link w:val="BodyTextFirstIndent"/>
    <w:uiPriority w:val="99"/>
    <w:semiHidden/>
    <w:rsid w:val="00C00568"/>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C00568"/>
    <w:pPr>
      <w:spacing w:after="0"/>
      <w:ind w:left="360" w:firstLine="360"/>
    </w:pPr>
  </w:style>
  <w:style w:type="character" w:customStyle="1" w:styleId="BodyTextFirstIndent2Char">
    <w:name w:val="Body Text First Indent 2 Char"/>
    <w:basedOn w:val="BodyTextIndentChar"/>
    <w:link w:val="BodyTextFirstIndent2"/>
    <w:uiPriority w:val="99"/>
    <w:semiHidden/>
    <w:rsid w:val="00C00568"/>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qFormat/>
    <w:rsid w:val="00C00568"/>
    <w:pPr>
      <w:spacing w:before="0" w:after="200"/>
    </w:pPr>
    <w:rPr>
      <w:b/>
      <w:bCs/>
      <w:color w:val="0063A6" w:themeColor="accent1"/>
      <w:sz w:val="18"/>
      <w:szCs w:val="18"/>
    </w:rPr>
  </w:style>
  <w:style w:type="paragraph" w:styleId="Closing">
    <w:name w:val="Closing"/>
    <w:basedOn w:val="Normal"/>
    <w:link w:val="ClosingChar"/>
    <w:uiPriority w:val="99"/>
    <w:semiHidden/>
    <w:unhideWhenUsed/>
    <w:rsid w:val="00C00568"/>
    <w:pPr>
      <w:spacing w:before="0"/>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pPr>
      <w:spacing w:before="0"/>
    </w:pPr>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pPr>
      <w:spacing w:before="0"/>
    </w:pPr>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pPr>
      <w:spacing w:before="0"/>
    </w:pPr>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pPr>
      <w:spacing w:before="0"/>
    </w:pPr>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pPr>
      <w:spacing w:before="0"/>
    </w:pPr>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pPr>
      <w:spacing w:before="0"/>
    </w:pPr>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pPr>
      <w:spacing w:before="0"/>
    </w:pPr>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pPr>
      <w:spacing w:before="0"/>
    </w:pPr>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pPr>
      <w:spacing w:before="0"/>
    </w:pPr>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pPr>
      <w:spacing w:before="0"/>
    </w:pPr>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pPr>
      <w:spacing w:before="0"/>
    </w:pPr>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pPr>
      <w:spacing w:before="0"/>
    </w:pPr>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pPr>
      <w:spacing w:before="0"/>
    </w:pPr>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pPr>
      <w:spacing w:before="0"/>
    </w:pPr>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pPr>
      <w:spacing w:before="0"/>
    </w:pPr>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pPr>
      <w:spacing w:before="0"/>
    </w:pPr>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pPr>
      <w:spacing w:before="0"/>
    </w:pPr>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pPr>
      <w:spacing w:before="0"/>
    </w:pPr>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pPr>
      <w:spacing w:before="0"/>
    </w:pPr>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spacing w:before="0"/>
      <w:ind w:left="220" w:hanging="220"/>
    </w:pPr>
  </w:style>
  <w:style w:type="paragraph" w:styleId="Index2">
    <w:name w:val="index 2"/>
    <w:basedOn w:val="Normal"/>
    <w:next w:val="Normal"/>
    <w:autoRedefine/>
    <w:uiPriority w:val="99"/>
    <w:semiHidden/>
    <w:unhideWhenUsed/>
    <w:rsid w:val="00C00568"/>
    <w:pPr>
      <w:spacing w:before="0"/>
      <w:ind w:left="440" w:hanging="220"/>
    </w:pPr>
  </w:style>
  <w:style w:type="paragraph" w:styleId="Index3">
    <w:name w:val="index 3"/>
    <w:basedOn w:val="Normal"/>
    <w:next w:val="Normal"/>
    <w:autoRedefine/>
    <w:uiPriority w:val="99"/>
    <w:semiHidden/>
    <w:unhideWhenUsed/>
    <w:rsid w:val="00C00568"/>
    <w:pPr>
      <w:spacing w:before="0"/>
      <w:ind w:left="660" w:hanging="220"/>
    </w:pPr>
  </w:style>
  <w:style w:type="paragraph" w:styleId="Index4">
    <w:name w:val="index 4"/>
    <w:basedOn w:val="Normal"/>
    <w:next w:val="Normal"/>
    <w:autoRedefine/>
    <w:uiPriority w:val="99"/>
    <w:semiHidden/>
    <w:unhideWhenUsed/>
    <w:rsid w:val="00C00568"/>
    <w:pPr>
      <w:spacing w:before="0"/>
      <w:ind w:left="880" w:hanging="220"/>
    </w:pPr>
  </w:style>
  <w:style w:type="paragraph" w:styleId="Index5">
    <w:name w:val="index 5"/>
    <w:basedOn w:val="Normal"/>
    <w:next w:val="Normal"/>
    <w:autoRedefine/>
    <w:uiPriority w:val="99"/>
    <w:semiHidden/>
    <w:unhideWhenUsed/>
    <w:rsid w:val="00C00568"/>
    <w:pPr>
      <w:spacing w:before="0"/>
      <w:ind w:left="1100" w:hanging="220"/>
    </w:pPr>
  </w:style>
  <w:style w:type="paragraph" w:styleId="Index6">
    <w:name w:val="index 6"/>
    <w:basedOn w:val="Normal"/>
    <w:next w:val="Normal"/>
    <w:autoRedefine/>
    <w:uiPriority w:val="99"/>
    <w:semiHidden/>
    <w:unhideWhenUsed/>
    <w:rsid w:val="00C00568"/>
    <w:pPr>
      <w:spacing w:before="0"/>
      <w:ind w:left="1320" w:hanging="220"/>
    </w:pPr>
  </w:style>
  <w:style w:type="paragraph" w:styleId="Index7">
    <w:name w:val="index 7"/>
    <w:basedOn w:val="Normal"/>
    <w:next w:val="Normal"/>
    <w:autoRedefine/>
    <w:uiPriority w:val="99"/>
    <w:semiHidden/>
    <w:unhideWhenUsed/>
    <w:rsid w:val="00C00568"/>
    <w:pPr>
      <w:spacing w:before="0"/>
      <w:ind w:left="1540" w:hanging="220"/>
    </w:pPr>
  </w:style>
  <w:style w:type="paragraph" w:styleId="Index8">
    <w:name w:val="index 8"/>
    <w:basedOn w:val="Normal"/>
    <w:next w:val="Normal"/>
    <w:autoRedefine/>
    <w:uiPriority w:val="99"/>
    <w:semiHidden/>
    <w:unhideWhenUsed/>
    <w:rsid w:val="00C00568"/>
    <w:pPr>
      <w:spacing w:before="0"/>
      <w:ind w:left="1760" w:hanging="220"/>
    </w:pPr>
  </w:style>
  <w:style w:type="paragraph" w:styleId="Index9">
    <w:name w:val="index 9"/>
    <w:basedOn w:val="Normal"/>
    <w:next w:val="Normal"/>
    <w:autoRedefine/>
    <w:uiPriority w:val="99"/>
    <w:semiHidden/>
    <w:unhideWhenUsed/>
    <w:rsid w:val="00C00568"/>
    <w:pPr>
      <w:spacing w:before="0"/>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pPr>
      <w:spacing w:before="0"/>
    </w:pPr>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pPr>
      <w:spacing w:before="0"/>
    </w:pPr>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pPr>
      <w:spacing w:before="0"/>
    </w:pPr>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pPr>
      <w:spacing w:before="0"/>
    </w:pPr>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pPr>
      <w:spacing w:before="0"/>
    </w:pPr>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pPr>
      <w:spacing w:before="0"/>
    </w:pPr>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pPr>
      <w:spacing w:before="0"/>
    </w:pPr>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pPr>
      <w:spacing w:before="0"/>
    </w:pPr>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pPr>
      <w:spacing w:before="0"/>
    </w:pPr>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spacing w:before="0"/>
    </w:pPr>
  </w:style>
  <w:style w:type="paragraph" w:styleId="NormalWeb">
    <w:name w:val="Normal (Web)"/>
    <w:basedOn w:val="Normal"/>
    <w:uiPriority w:val="99"/>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pPr>
      <w:spacing w:before="0"/>
    </w:pPr>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pPr>
      <w:spacing w:befor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semiHidden/>
    <w:rsid w:val="00C00568"/>
    <w:rPr>
      <w:i/>
      <w:iCs/>
      <w:color w:val="000000" w:themeColor="text1"/>
    </w:rPr>
  </w:style>
  <w:style w:type="character" w:customStyle="1" w:styleId="QuoteChar">
    <w:name w:val="Quote Char"/>
    <w:basedOn w:val="DefaultParagraphFont"/>
    <w:link w:val="Quote"/>
    <w:uiPriority w:val="29"/>
    <w:semiHidden/>
    <w:rsid w:val="00C00568"/>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spacing w:before="0"/>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Normal"/>
    <w:next w:val="Normal"/>
    <w:link w:val="SubtitleChar"/>
    <w:uiPriority w:val="90"/>
    <w:semiHidden/>
    <w:qFormat/>
    <w:rsid w:val="00C00568"/>
    <w:pPr>
      <w:numPr>
        <w:ilvl w:val="1"/>
      </w:numPr>
    </w:pPr>
    <w:rPr>
      <w:rFonts w:asciiTheme="majorHAnsi" w:eastAsiaTheme="majorEastAsia" w:hAnsiTheme="majorHAnsi" w:cstheme="majorBidi"/>
      <w:i/>
      <w:iCs/>
      <w:color w:val="0063A6" w:themeColor="accent1"/>
      <w:spacing w:val="15"/>
      <w:sz w:val="24"/>
      <w:szCs w:val="24"/>
    </w:rPr>
  </w:style>
  <w:style w:type="character" w:customStyle="1" w:styleId="SubtitleChar">
    <w:name w:val="Subtitle Char"/>
    <w:basedOn w:val="DefaultParagraphFont"/>
    <w:link w:val="Subtitle"/>
    <w:uiPriority w:val="11"/>
    <w:semiHidden/>
    <w:rsid w:val="00C00568"/>
    <w:rPr>
      <w:rFonts w:asciiTheme="majorHAnsi" w:eastAsiaTheme="majorEastAsia" w:hAnsiTheme="majorHAnsi" w:cstheme="majorBidi"/>
      <w:i/>
      <w:iCs/>
      <w:color w:val="0063A6" w:themeColor="accent1"/>
      <w:spacing w:val="15"/>
      <w:sz w:val="24"/>
      <w:szCs w:val="24"/>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paragraph" w:styleId="TableofFigures">
    <w:name w:val="table of figures"/>
    <w:basedOn w:val="Normal"/>
    <w:next w:val="Normal"/>
    <w:uiPriority w:val="99"/>
    <w:semiHidden/>
    <w:unhideWhenUsed/>
    <w:rsid w:val="00C00568"/>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89"/>
    <w:semiHidden/>
    <w:qFormat/>
    <w:rsid w:val="00C00568"/>
    <w:pPr>
      <w:pBdr>
        <w:bottom w:val="single" w:sz="8" w:space="4" w:color="0063A6" w:themeColor="accent1"/>
      </w:pBdr>
      <w:spacing w:before="0" w:after="300"/>
      <w:contextualSpacing/>
    </w:pPr>
    <w:rPr>
      <w:rFonts w:asciiTheme="majorHAnsi" w:eastAsiaTheme="majorEastAsia" w:hAnsiTheme="majorHAnsi" w:cstheme="majorBidi"/>
      <w:color w:val="170F34" w:themeColor="text2" w:themeShade="BF"/>
      <w:spacing w:val="5"/>
      <w:kern w:val="28"/>
      <w:sz w:val="52"/>
      <w:szCs w:val="52"/>
    </w:rPr>
  </w:style>
  <w:style w:type="character" w:customStyle="1" w:styleId="TitleChar">
    <w:name w:val="Title Char"/>
    <w:basedOn w:val="DefaultParagraphFont"/>
    <w:link w:val="Title"/>
    <w:uiPriority w:val="10"/>
    <w:semiHidden/>
    <w:rsid w:val="00C00568"/>
    <w:rPr>
      <w:rFonts w:asciiTheme="majorHAnsi" w:eastAsiaTheme="majorEastAsia" w:hAnsiTheme="majorHAnsi" w:cstheme="majorBidi"/>
      <w:color w:val="170F34" w:themeColor="text2" w:themeShade="BF"/>
      <w:spacing w:val="5"/>
      <w:kern w:val="28"/>
      <w:sz w:val="52"/>
      <w:szCs w:val="52"/>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val="0"/>
      <w:color w:val="004A7C" w:themeColor="accent1" w:themeShade="BF"/>
      <w:spacing w:val="0"/>
      <w:sz w:val="28"/>
    </w:rPr>
  </w:style>
  <w:style w:type="table" w:customStyle="1" w:styleId="DTFTextTable">
    <w:name w:val="DTF Text Table"/>
    <w:basedOn w:val="DTFTable"/>
    <w:uiPriority w:val="99"/>
    <w:rsid w:val="00917D22"/>
    <w:pPr>
      <w:spacing w:after="120" w:line="216" w:lineRule="auto"/>
      <w:jc w:val="left"/>
    </w:pPr>
    <w:rPr>
      <w:sz w:val="20"/>
    </w:rPr>
    <w:tblPr/>
    <w:tblStylePr w:type="firstRow">
      <w:pPr>
        <w:wordWrap/>
        <w:spacing w:beforeLines="0" w:before="20" w:beforeAutospacing="0" w:afterLines="0" w:after="20" w:afterAutospacing="0" w:line="216"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tcBorders>
          <w:top w:val="nil"/>
          <w:left w:val="nil"/>
          <w:bottom w:val="single" w:sz="6" w:space="0" w:color="auto"/>
          <w:right w:val="nil"/>
          <w:insideH w:val="nil"/>
          <w:insideV w:val="nil"/>
          <w:tl2br w:val="nil"/>
          <w:tr2bl w:val="nil"/>
        </w:tcBorders>
        <w:shd w:val="clear" w:color="auto" w:fill="EBEBEB" w:themeFill="background2"/>
      </w:tcPr>
    </w:tblStylePr>
    <w:tblStylePr w:type="band2Horz">
      <w:tblPr/>
      <w:tcPr>
        <w:tcBorders>
          <w:top w:val="nil"/>
          <w:left w:val="nil"/>
          <w:bottom w:val="single" w:sz="6" w:space="0" w:color="auto"/>
          <w:right w:val="nil"/>
          <w:insideH w:val="nil"/>
          <w:insideV w:val="nil"/>
          <w:tl2br w:val="nil"/>
          <w:tr2bl w:val="nil"/>
        </w:tcBorders>
        <w:shd w:val="clear" w:color="auto" w:fill="FFFFFF" w:themeFill="background1"/>
      </w:tcPr>
    </w:tblStylePr>
  </w:style>
  <w:style w:type="character" w:customStyle="1" w:styleId="FooterevenChar">
    <w:name w:val="Footer (even) Char"/>
    <w:basedOn w:val="DefaultParagraphFont"/>
    <w:link w:val="Footereven"/>
    <w:uiPriority w:val="85"/>
    <w:rsid w:val="00967F9B"/>
    <w:rPr>
      <w:rFonts w:asciiTheme="majorHAnsi" w:hAnsiTheme="majorHAnsi"/>
      <w:sz w:val="18"/>
    </w:rPr>
  </w:style>
  <w:style w:type="paragraph" w:customStyle="1" w:styleId="ObjectiveHeading">
    <w:name w:val="Objective Heading"/>
    <w:basedOn w:val="Normal"/>
    <w:next w:val="Normal"/>
    <w:uiPriority w:val="62"/>
    <w:qFormat/>
    <w:rsid w:val="00EB0619"/>
    <w:pPr>
      <w:keepNext/>
      <w:pBdr>
        <w:top w:val="single" w:sz="6" w:space="3" w:color="auto"/>
        <w:left w:val="single" w:sz="6" w:space="5" w:color="auto"/>
        <w:bottom w:val="single" w:sz="6" w:space="3" w:color="auto"/>
        <w:right w:val="single" w:sz="6" w:space="5" w:color="auto"/>
      </w:pBdr>
      <w:shd w:val="clear" w:color="auto" w:fill="F2F2F2" w:themeFill="background1" w:themeFillShade="F2"/>
    </w:pPr>
    <w:rPr>
      <w:rFonts w:asciiTheme="majorHAnsi" w:hAnsiTheme="majorHAnsi"/>
      <w:b/>
      <w:sz w:val="24"/>
    </w:rPr>
  </w:style>
  <w:style w:type="paragraph" w:customStyle="1" w:styleId="TableUnits">
    <w:name w:val="Table Units"/>
    <w:basedOn w:val="Normal"/>
    <w:next w:val="Normal"/>
    <w:link w:val="TableUnitsChar"/>
    <w:uiPriority w:val="50"/>
    <w:qFormat/>
    <w:rsid w:val="00E977BC"/>
    <w:pPr>
      <w:keepNext/>
      <w:tabs>
        <w:tab w:val="left" w:pos="567"/>
        <w:tab w:val="right" w:pos="9639"/>
        <w:tab w:val="right" w:pos="14572"/>
      </w:tabs>
      <w:spacing w:before="0" w:after="60"/>
      <w:ind w:left="1134" w:hanging="1134"/>
      <w:jc w:val="right"/>
    </w:pPr>
    <w:rPr>
      <w:rFonts w:asciiTheme="majorHAnsi" w:hAnsiTheme="majorHAnsi"/>
      <w:b/>
      <w:sz w:val="20"/>
      <w:szCs w:val="20"/>
    </w:rPr>
  </w:style>
  <w:style w:type="table" w:customStyle="1" w:styleId="DTFPerformanceMeasuresTable">
    <w:name w:val="DTF Performance Measures Table"/>
    <w:basedOn w:val="DTFTable"/>
    <w:uiPriority w:val="99"/>
    <w:rsid w:val="00F8170E"/>
    <w:pPr>
      <w:spacing w:before="0"/>
    </w:pPr>
    <w:tblPr>
      <w:tblStyleRowBandSize w:val="0"/>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44"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ChapterheadingChar">
    <w:name w:val="Chapter heading Char"/>
    <w:basedOn w:val="DefaultParagraphFont"/>
    <w:link w:val="Chapterheading"/>
    <w:uiPriority w:val="89"/>
    <w:rsid w:val="00934011"/>
    <w:rPr>
      <w:rFonts w:asciiTheme="majorHAnsi" w:eastAsiaTheme="majorEastAsia" w:hAnsiTheme="majorHAnsi" w:cstheme="majorBidi"/>
      <w:b/>
      <w:bCs/>
      <w:caps/>
      <w:spacing w:val="-2"/>
      <w:sz w:val="48"/>
      <w:szCs w:val="28"/>
    </w:rPr>
  </w:style>
  <w:style w:type="paragraph" w:customStyle="1" w:styleId="TableofContentsheading">
    <w:name w:val="Table of Contents heading"/>
    <w:basedOn w:val="Normal"/>
    <w:next w:val="Normal"/>
    <w:rsid w:val="00F63294"/>
    <w:pPr>
      <w:keepNext/>
      <w:keepLines w:val="0"/>
      <w:pBdr>
        <w:bottom w:val="single" w:sz="12" w:space="7" w:color="auto"/>
      </w:pBdr>
      <w:spacing w:before="1440" w:after="360"/>
    </w:pPr>
    <w:rPr>
      <w:rFonts w:ascii="Calibri" w:eastAsia="Times New Roman" w:hAnsi="Calibri" w:cs="Times New Roman"/>
      <w:b/>
      <w:caps/>
      <w:sz w:val="38"/>
      <w:szCs w:val="28"/>
    </w:rPr>
  </w:style>
  <w:style w:type="paragraph" w:customStyle="1" w:styleId="PerformanceMeasureNote">
    <w:name w:val="Performance Measure Note"/>
    <w:basedOn w:val="Normal"/>
    <w:uiPriority w:val="63"/>
    <w:rsid w:val="00A46F1A"/>
    <w:pPr>
      <w:spacing w:before="20" w:after="20"/>
      <w:ind w:left="170"/>
      <w:contextualSpacing/>
    </w:pPr>
    <w:rPr>
      <w:rFonts w:asciiTheme="majorHAnsi" w:hAnsiTheme="majorHAnsi"/>
      <w:i/>
      <w:spacing w:val="-2"/>
      <w:sz w:val="15"/>
      <w:szCs w:val="15"/>
    </w:rPr>
  </w:style>
  <w:style w:type="paragraph" w:customStyle="1" w:styleId="Performancemeasuremetric">
    <w:name w:val="Performance measure metric"/>
    <w:basedOn w:val="Normal"/>
    <w:uiPriority w:val="63"/>
    <w:rsid w:val="00A46F1A"/>
    <w:pPr>
      <w:keepLines w:val="0"/>
      <w:spacing w:before="20" w:after="20"/>
      <w:ind w:left="-14"/>
    </w:pPr>
    <w:rPr>
      <w:rFonts w:asciiTheme="majorHAnsi" w:hAnsiTheme="majorHAnsi"/>
      <w:i/>
      <w:sz w:val="17"/>
    </w:rPr>
  </w:style>
  <w:style w:type="paragraph" w:customStyle="1" w:styleId="HighlightBullet">
    <w:name w:val="Highlight Bullet"/>
    <w:basedOn w:val="ListBullet"/>
    <w:next w:val="HighlightBoxText"/>
    <w:uiPriority w:val="79"/>
    <w:qFormat/>
    <w:rsid w:val="00A46F1A"/>
    <w:pPr>
      <w:keepLines w:val="0"/>
      <w:numPr>
        <w:numId w:val="0"/>
      </w:numPr>
      <w:pBdr>
        <w:top w:val="single" w:sz="6" w:space="1" w:color="0063A6" w:themeColor="accent1"/>
        <w:left w:val="single" w:sz="6" w:space="4" w:color="0063A6" w:themeColor="accent1"/>
        <w:bottom w:val="single" w:sz="6" w:space="1" w:color="0063A6" w:themeColor="accent1"/>
        <w:right w:val="single" w:sz="6" w:space="4" w:color="0063A6" w:themeColor="accent1"/>
      </w:pBdr>
      <w:shd w:val="clear" w:color="auto" w:fill="E3EBF4" w:themeFill="accent3" w:themeFillTint="33"/>
      <w:spacing w:before="0" w:after="60" w:line="264" w:lineRule="auto"/>
      <w:ind w:left="680" w:hanging="680"/>
    </w:pPr>
  </w:style>
  <w:style w:type="paragraph" w:customStyle="1" w:styleId="Subheadingunderline">
    <w:name w:val="Subheading (underline)"/>
    <w:basedOn w:val="Normal"/>
    <w:next w:val="Normal"/>
    <w:uiPriority w:val="50"/>
    <w:qFormat/>
    <w:rsid w:val="00A46F1A"/>
    <w:pPr>
      <w:keepNext/>
      <w:keepLines w:val="0"/>
      <w:pBdr>
        <w:bottom w:val="single" w:sz="6" w:space="1" w:color="0063A6" w:themeColor="accent1"/>
      </w:pBdr>
      <w:tabs>
        <w:tab w:val="right" w:pos="9582"/>
        <w:tab w:val="right" w:pos="14742"/>
      </w:tabs>
      <w:spacing w:before="200" w:after="120" w:line="264" w:lineRule="auto"/>
    </w:pPr>
    <w:rPr>
      <w:rFonts w:asciiTheme="majorHAnsi" w:hAnsiTheme="majorHAnsi"/>
      <w:b/>
      <w:spacing w:val="-2"/>
    </w:rPr>
  </w:style>
  <w:style w:type="paragraph" w:customStyle="1" w:styleId="Subheading">
    <w:name w:val="Subheading"/>
    <w:basedOn w:val="Normal"/>
    <w:next w:val="TableUnits"/>
    <w:uiPriority w:val="49"/>
    <w:qFormat/>
    <w:rsid w:val="00A46F1A"/>
    <w:pPr>
      <w:keepNext/>
      <w:keepLines w:val="0"/>
      <w:tabs>
        <w:tab w:val="right" w:pos="9582"/>
        <w:tab w:val="right" w:pos="14742"/>
      </w:tabs>
      <w:spacing w:before="200" w:after="160" w:line="264" w:lineRule="auto"/>
    </w:pPr>
    <w:rPr>
      <w:rFonts w:asciiTheme="majorHAnsi" w:hAnsiTheme="majorHAnsi"/>
      <w:b/>
      <w:spacing w:val="-2"/>
    </w:rPr>
  </w:style>
  <w:style w:type="table" w:customStyle="1" w:styleId="TableDTFGeneral">
    <w:name w:val="Table DTF General"/>
    <w:basedOn w:val="TableNormal"/>
    <w:uiPriority w:val="99"/>
    <w:rsid w:val="00A46F1A"/>
    <w:pPr>
      <w:spacing w:before="20" w:after="20"/>
      <w:jc w:val="right"/>
    </w:pPr>
    <w:rPr>
      <w:rFonts w:asciiTheme="majorHAnsi" w:hAnsiTheme="majorHAnsi"/>
      <w:spacing w:val="4"/>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TableUnitsChar">
    <w:name w:val="Table Units Char"/>
    <w:basedOn w:val="DefaultParagraphFont"/>
    <w:link w:val="TableUnits"/>
    <w:uiPriority w:val="50"/>
    <w:rsid w:val="00E977BC"/>
    <w:rPr>
      <w:rFonts w:asciiTheme="majorHAnsi" w:hAnsiTheme="majorHAnsi"/>
      <w:b/>
      <w:sz w:val="20"/>
      <w:szCs w:val="20"/>
    </w:rPr>
  </w:style>
  <w:style w:type="paragraph" w:customStyle="1" w:styleId="FooterEvenpage">
    <w:name w:val="Footer (Even page)"/>
    <w:basedOn w:val="Footer"/>
    <w:uiPriority w:val="98"/>
    <w:qFormat/>
    <w:rsid w:val="00A46F1A"/>
    <w:pPr>
      <w:keepLines w:val="0"/>
      <w:pBdr>
        <w:top w:val="single" w:sz="6" w:space="1" w:color="0063A6" w:themeColor="accent1"/>
      </w:pBdr>
      <w:tabs>
        <w:tab w:val="clear" w:pos="4513"/>
        <w:tab w:val="clear" w:pos="9026"/>
        <w:tab w:val="center" w:pos="3686"/>
        <w:tab w:val="right" w:pos="9639"/>
      </w:tabs>
      <w:spacing w:line="264" w:lineRule="auto"/>
    </w:pPr>
    <w:rPr>
      <w:rFonts w:asciiTheme="majorHAnsi" w:hAnsiTheme="majorHAnsi"/>
      <w:sz w:val="18"/>
    </w:rPr>
  </w:style>
  <w:style w:type="paragraph" w:customStyle="1" w:styleId="ControlledEntitiesDepartment">
    <w:name w:val="Controlled Entities Department"/>
    <w:basedOn w:val="Normal"/>
    <w:next w:val="Normal"/>
    <w:uiPriority w:val="97"/>
    <w:qFormat/>
    <w:rsid w:val="00A46F1A"/>
    <w:pPr>
      <w:shd w:val="clear" w:color="auto" w:fill="D9D9D9" w:themeFill="background1" w:themeFillShade="D9"/>
      <w:spacing w:before="40"/>
    </w:pPr>
    <w:rPr>
      <w:rFonts w:asciiTheme="majorHAnsi" w:eastAsia="Times New Roman" w:hAnsiTheme="majorHAnsi" w:cs="Times New Roman"/>
      <w:b/>
      <w:bCs/>
      <w:color w:val="000000" w:themeColor="text1"/>
      <w:sz w:val="18"/>
      <w:szCs w:val="18"/>
      <w:lang w:eastAsia="en-AU"/>
    </w:rPr>
  </w:style>
  <w:style w:type="table" w:customStyle="1" w:styleId="TableGrid20">
    <w:name w:val="Table Grid2"/>
    <w:basedOn w:val="TableNormal"/>
    <w:next w:val="TableGrid"/>
    <w:uiPriority w:val="59"/>
    <w:rsid w:val="00A46F1A"/>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lphaStyle">
    <w:name w:val="List Alpha Style"/>
    <w:uiPriority w:val="99"/>
    <w:rsid w:val="00A46F1A"/>
    <w:pPr>
      <w:numPr>
        <w:numId w:val="15"/>
      </w:numPr>
    </w:pPr>
  </w:style>
  <w:style w:type="paragraph" w:customStyle="1" w:styleId="ListAlpha">
    <w:name w:val="List Alpha"/>
    <w:basedOn w:val="Normal"/>
    <w:uiPriority w:val="24"/>
    <w:rsid w:val="00A46F1A"/>
    <w:pPr>
      <w:keepLines w:val="0"/>
      <w:numPr>
        <w:numId w:val="16"/>
      </w:numPr>
      <w:spacing w:before="60"/>
    </w:pPr>
  </w:style>
  <w:style w:type="table" w:customStyle="1" w:styleId="TableGrid10">
    <w:name w:val="Table Grid1"/>
    <w:basedOn w:val="TableNormal"/>
    <w:next w:val="TableGrid"/>
    <w:rsid w:val="00A46F1A"/>
    <w:pPr>
      <w:spacing w:before="0" w:after="120"/>
      <w:jc w:val="both"/>
    </w:pPr>
    <w:rPr>
      <w:rFonts w:ascii="Calibri" w:eastAsia="Times New Roman" w:hAnsi="Calibri" w:cs="Times New Roman"/>
      <w:sz w:val="20"/>
      <w:szCs w:val="20"/>
      <w:lang w:eastAsia="en-AU"/>
    </w:rPr>
    <w:tblPr/>
  </w:style>
  <w:style w:type="numbering" w:customStyle="1" w:styleId="ListBulletStyle">
    <w:name w:val="List Bullet Style"/>
    <w:uiPriority w:val="99"/>
    <w:rsid w:val="00A46F1A"/>
    <w:pPr>
      <w:numPr>
        <w:numId w:val="17"/>
      </w:numPr>
    </w:pPr>
  </w:style>
  <w:style w:type="numbering" w:customStyle="1" w:styleId="ListNumberStyle">
    <w:name w:val="List Number Style"/>
    <w:uiPriority w:val="99"/>
    <w:rsid w:val="00A46F1A"/>
    <w:pPr>
      <w:numPr>
        <w:numId w:val="18"/>
      </w:numPr>
    </w:pPr>
  </w:style>
  <w:style w:type="paragraph" w:customStyle="1" w:styleId="ControlledEntitiesSector">
    <w:name w:val="Controlled Entities Sector"/>
    <w:basedOn w:val="Normal"/>
    <w:next w:val="ControlledEntitiesDepartment"/>
    <w:uiPriority w:val="98"/>
    <w:qFormat/>
    <w:rsid w:val="00A46F1A"/>
    <w:pPr>
      <w:shd w:val="clear" w:color="auto" w:fill="000000" w:themeFill="text1"/>
      <w:spacing w:before="20" w:after="60"/>
      <w:jc w:val="center"/>
    </w:pPr>
    <w:rPr>
      <w:rFonts w:asciiTheme="majorHAnsi" w:eastAsia="Times New Roman" w:hAnsiTheme="majorHAnsi" w:cstheme="minorHAnsi"/>
      <w:b/>
      <w:i/>
      <w:color w:val="FFFFFF" w:themeColor="background1"/>
      <w:sz w:val="18"/>
      <w:lang w:eastAsia="en-AU"/>
    </w:rPr>
  </w:style>
  <w:style w:type="character" w:customStyle="1" w:styleId="TableHeadingChar">
    <w:name w:val="Table Heading Char"/>
    <w:basedOn w:val="DefaultParagraphFont"/>
    <w:link w:val="TableHeading"/>
    <w:uiPriority w:val="49"/>
    <w:rsid w:val="00E977BC"/>
    <w:rPr>
      <w:rFonts w:asciiTheme="majorHAnsi" w:hAnsiTheme="majorHAnsi"/>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8.xml"/><Relationship Id="rId21" Type="http://schemas.openxmlformats.org/officeDocument/2006/relationships/header" Target="header4.xml"/><Relationship Id="rId42" Type="http://schemas.openxmlformats.org/officeDocument/2006/relationships/image" Target="media/image9.png"/><Relationship Id="rId47" Type="http://schemas.openxmlformats.org/officeDocument/2006/relationships/header" Target="header14.xml"/><Relationship Id="rId63" Type="http://schemas.openxmlformats.org/officeDocument/2006/relationships/header" Target="header26.xml"/><Relationship Id="rId68" Type="http://schemas.openxmlformats.org/officeDocument/2006/relationships/header" Target="header29.xml"/><Relationship Id="rId84" Type="http://schemas.openxmlformats.org/officeDocument/2006/relationships/header" Target="header39.xml"/><Relationship Id="rId89" Type="http://schemas.openxmlformats.org/officeDocument/2006/relationships/header" Target="header44.xml"/><Relationship Id="rId112" Type="http://schemas.openxmlformats.org/officeDocument/2006/relationships/header" Target="header55.xml"/><Relationship Id="rId133" Type="http://schemas.openxmlformats.org/officeDocument/2006/relationships/footer" Target="footer44.xml"/><Relationship Id="rId138" Type="http://schemas.openxmlformats.org/officeDocument/2006/relationships/header" Target="header71.xml"/><Relationship Id="rId154" Type="http://schemas.openxmlformats.org/officeDocument/2006/relationships/header" Target="header79.xml"/><Relationship Id="rId159" Type="http://schemas.openxmlformats.org/officeDocument/2006/relationships/header" Target="header82.xml"/><Relationship Id="rId175" Type="http://schemas.openxmlformats.org/officeDocument/2006/relationships/header" Target="header91.xml"/><Relationship Id="rId170" Type="http://schemas.openxmlformats.org/officeDocument/2006/relationships/header" Target="header88.xml"/><Relationship Id="rId191" Type="http://schemas.openxmlformats.org/officeDocument/2006/relationships/header" Target="header98.xml"/><Relationship Id="rId196" Type="http://schemas.openxmlformats.org/officeDocument/2006/relationships/footer" Target="footer75.xml"/><Relationship Id="rId16" Type="http://schemas.openxmlformats.org/officeDocument/2006/relationships/footer" Target="footer4.xml"/><Relationship Id="rId107" Type="http://schemas.openxmlformats.org/officeDocument/2006/relationships/header" Target="header52.xml"/><Relationship Id="rId11" Type="http://schemas.openxmlformats.org/officeDocument/2006/relationships/header" Target="header2.xml"/><Relationship Id="rId32" Type="http://schemas.openxmlformats.org/officeDocument/2006/relationships/footer" Target="footer13.xml"/><Relationship Id="rId37" Type="http://schemas.openxmlformats.org/officeDocument/2006/relationships/header" Target="header10.xml"/><Relationship Id="rId53" Type="http://schemas.openxmlformats.org/officeDocument/2006/relationships/footer" Target="footer20.xml"/><Relationship Id="rId58" Type="http://schemas.openxmlformats.org/officeDocument/2006/relationships/header" Target="header21.xml"/><Relationship Id="rId74" Type="http://schemas.openxmlformats.org/officeDocument/2006/relationships/header" Target="header33.xml"/><Relationship Id="rId79" Type="http://schemas.openxmlformats.org/officeDocument/2006/relationships/footer" Target="footer26.xml"/><Relationship Id="rId102" Type="http://schemas.openxmlformats.org/officeDocument/2006/relationships/diagramQuickStyle" Target="diagrams/quickStyle1.xml"/><Relationship Id="rId123" Type="http://schemas.openxmlformats.org/officeDocument/2006/relationships/header" Target="header60.xml"/><Relationship Id="rId128" Type="http://schemas.openxmlformats.org/officeDocument/2006/relationships/header" Target="header65.xml"/><Relationship Id="rId144" Type="http://schemas.openxmlformats.org/officeDocument/2006/relationships/footer" Target="footer48.xml"/><Relationship Id="rId149" Type="http://schemas.openxmlformats.org/officeDocument/2006/relationships/footer" Target="footer51.xml"/><Relationship Id="rId5" Type="http://schemas.openxmlformats.org/officeDocument/2006/relationships/webSettings" Target="webSettings.xml"/><Relationship Id="rId90" Type="http://schemas.openxmlformats.org/officeDocument/2006/relationships/header" Target="header45.xml"/><Relationship Id="rId95" Type="http://schemas.openxmlformats.org/officeDocument/2006/relationships/footer" Target="footer31.xml"/><Relationship Id="rId160" Type="http://schemas.openxmlformats.org/officeDocument/2006/relationships/header" Target="header83.xml"/><Relationship Id="rId165" Type="http://schemas.openxmlformats.org/officeDocument/2006/relationships/footer" Target="footer58.xml"/><Relationship Id="rId181" Type="http://schemas.openxmlformats.org/officeDocument/2006/relationships/header" Target="header93.xml"/><Relationship Id="rId186" Type="http://schemas.openxmlformats.org/officeDocument/2006/relationships/header" Target="header95.xml"/><Relationship Id="rId22" Type="http://schemas.openxmlformats.org/officeDocument/2006/relationships/header" Target="header5.xml"/><Relationship Id="rId27" Type="http://schemas.openxmlformats.org/officeDocument/2006/relationships/footer" Target="footer11.xml"/><Relationship Id="rId43" Type="http://schemas.openxmlformats.org/officeDocument/2006/relationships/image" Target="media/image10.png"/><Relationship Id="rId48" Type="http://schemas.openxmlformats.org/officeDocument/2006/relationships/footer" Target="footer17.xml"/><Relationship Id="rId64" Type="http://schemas.openxmlformats.org/officeDocument/2006/relationships/header" Target="header27.xml"/><Relationship Id="rId69" Type="http://schemas.openxmlformats.org/officeDocument/2006/relationships/header" Target="header30.xml"/><Relationship Id="rId113" Type="http://schemas.openxmlformats.org/officeDocument/2006/relationships/footer" Target="footer36.xml"/><Relationship Id="rId118" Type="http://schemas.openxmlformats.org/officeDocument/2006/relationships/footer" Target="footer39.xml"/><Relationship Id="rId134" Type="http://schemas.openxmlformats.org/officeDocument/2006/relationships/footer" Target="footer45.xml"/><Relationship Id="rId139" Type="http://schemas.openxmlformats.org/officeDocument/2006/relationships/header" Target="header72.xml"/><Relationship Id="rId80" Type="http://schemas.openxmlformats.org/officeDocument/2006/relationships/header" Target="header37.xml"/><Relationship Id="rId85" Type="http://schemas.openxmlformats.org/officeDocument/2006/relationships/header" Target="header40.xml"/><Relationship Id="rId150" Type="http://schemas.openxmlformats.org/officeDocument/2006/relationships/header" Target="header77.xml"/><Relationship Id="rId155" Type="http://schemas.openxmlformats.org/officeDocument/2006/relationships/header" Target="header80.xml"/><Relationship Id="rId171" Type="http://schemas.openxmlformats.org/officeDocument/2006/relationships/header" Target="header89.xml"/><Relationship Id="rId176" Type="http://schemas.openxmlformats.org/officeDocument/2006/relationships/footer" Target="footer63.xml"/><Relationship Id="rId192" Type="http://schemas.openxmlformats.org/officeDocument/2006/relationships/footer" Target="footer72.xml"/><Relationship Id="rId197"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footer" Target="footer5.xml"/><Relationship Id="rId33" Type="http://schemas.openxmlformats.org/officeDocument/2006/relationships/header" Target="header8.xml"/><Relationship Id="rId38" Type="http://schemas.openxmlformats.org/officeDocument/2006/relationships/footer" Target="footer16.xml"/><Relationship Id="rId59" Type="http://schemas.openxmlformats.org/officeDocument/2006/relationships/header" Target="header22.xml"/><Relationship Id="rId103" Type="http://schemas.openxmlformats.org/officeDocument/2006/relationships/diagramColors" Target="diagrams/colors1.xml"/><Relationship Id="rId108" Type="http://schemas.openxmlformats.org/officeDocument/2006/relationships/header" Target="header53.xml"/><Relationship Id="rId124" Type="http://schemas.openxmlformats.org/officeDocument/2006/relationships/header" Target="header61.xml"/><Relationship Id="rId129" Type="http://schemas.openxmlformats.org/officeDocument/2006/relationships/footer" Target="footer42.xml"/><Relationship Id="rId54" Type="http://schemas.openxmlformats.org/officeDocument/2006/relationships/header" Target="header17.xml"/><Relationship Id="rId70" Type="http://schemas.openxmlformats.org/officeDocument/2006/relationships/footer" Target="footer23.xml"/><Relationship Id="rId75" Type="http://schemas.openxmlformats.org/officeDocument/2006/relationships/header" Target="header34.xml"/><Relationship Id="rId91" Type="http://schemas.openxmlformats.org/officeDocument/2006/relationships/footer" Target="footer29.xml"/><Relationship Id="rId96" Type="http://schemas.openxmlformats.org/officeDocument/2006/relationships/footer" Target="footer32.xml"/><Relationship Id="rId140" Type="http://schemas.openxmlformats.org/officeDocument/2006/relationships/footer" Target="footer46.xml"/><Relationship Id="rId145" Type="http://schemas.openxmlformats.org/officeDocument/2006/relationships/footer" Target="footer49.xml"/><Relationship Id="rId161" Type="http://schemas.openxmlformats.org/officeDocument/2006/relationships/header" Target="header84.xml"/><Relationship Id="rId166" Type="http://schemas.openxmlformats.org/officeDocument/2006/relationships/footer" Target="footer59.xml"/><Relationship Id="rId182" Type="http://schemas.openxmlformats.org/officeDocument/2006/relationships/footer" Target="footer67.xml"/><Relationship Id="rId187" Type="http://schemas.openxmlformats.org/officeDocument/2006/relationships/header" Target="header96.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footer" Target="footer9.xml"/><Relationship Id="rId28" Type="http://schemas.openxmlformats.org/officeDocument/2006/relationships/footer" Target="footer12.xml"/><Relationship Id="rId49" Type="http://schemas.openxmlformats.org/officeDocument/2006/relationships/footer" Target="footer18.xml"/><Relationship Id="rId114" Type="http://schemas.openxmlformats.org/officeDocument/2006/relationships/footer" Target="footer37.xml"/><Relationship Id="rId119" Type="http://schemas.openxmlformats.org/officeDocument/2006/relationships/header" Target="header58.xml"/><Relationship Id="rId44" Type="http://schemas.openxmlformats.org/officeDocument/2006/relationships/header" Target="header11.xml"/><Relationship Id="rId60" Type="http://schemas.openxmlformats.org/officeDocument/2006/relationships/header" Target="header23.xml"/><Relationship Id="rId65" Type="http://schemas.openxmlformats.org/officeDocument/2006/relationships/header" Target="header28.xml"/><Relationship Id="rId81" Type="http://schemas.openxmlformats.org/officeDocument/2006/relationships/header" Target="header38.xml"/><Relationship Id="rId86" Type="http://schemas.openxmlformats.org/officeDocument/2006/relationships/header" Target="header41.xml"/><Relationship Id="rId130" Type="http://schemas.openxmlformats.org/officeDocument/2006/relationships/footer" Target="footer43.xml"/><Relationship Id="rId135" Type="http://schemas.openxmlformats.org/officeDocument/2006/relationships/header" Target="header68.xml"/><Relationship Id="rId151" Type="http://schemas.openxmlformats.org/officeDocument/2006/relationships/header" Target="header78.xml"/><Relationship Id="rId156" Type="http://schemas.openxmlformats.org/officeDocument/2006/relationships/footer" Target="footer54.xml"/><Relationship Id="rId177" Type="http://schemas.openxmlformats.org/officeDocument/2006/relationships/footer" Target="footer64.xml"/><Relationship Id="rId198" Type="http://schemas.openxmlformats.org/officeDocument/2006/relationships/theme" Target="theme/theme1.xml"/><Relationship Id="rId172" Type="http://schemas.openxmlformats.org/officeDocument/2006/relationships/footer" Target="footer61.xml"/><Relationship Id="rId193" Type="http://schemas.openxmlformats.org/officeDocument/2006/relationships/footer" Target="footer73.xml"/><Relationship Id="rId13" Type="http://schemas.openxmlformats.org/officeDocument/2006/relationships/footer" Target="footer2.xml"/><Relationship Id="rId18" Type="http://schemas.openxmlformats.org/officeDocument/2006/relationships/footer" Target="footer6.xml"/><Relationship Id="rId39" Type="http://schemas.openxmlformats.org/officeDocument/2006/relationships/image" Target="media/image6.emf"/><Relationship Id="rId109" Type="http://schemas.openxmlformats.org/officeDocument/2006/relationships/footer" Target="footer34.xml"/><Relationship Id="rId34" Type="http://schemas.openxmlformats.org/officeDocument/2006/relationships/header" Target="header9.xml"/><Relationship Id="rId50" Type="http://schemas.openxmlformats.org/officeDocument/2006/relationships/header" Target="header15.xml"/><Relationship Id="rId55" Type="http://schemas.openxmlformats.org/officeDocument/2006/relationships/header" Target="header18.xml"/><Relationship Id="rId76" Type="http://schemas.openxmlformats.org/officeDocument/2006/relationships/header" Target="header35.xml"/><Relationship Id="rId97" Type="http://schemas.openxmlformats.org/officeDocument/2006/relationships/header" Target="header48.xml"/><Relationship Id="rId104" Type="http://schemas.microsoft.com/office/2007/relationships/diagramDrawing" Target="diagrams/drawing1.xml"/><Relationship Id="rId120" Type="http://schemas.openxmlformats.org/officeDocument/2006/relationships/header" Target="header59.xml"/><Relationship Id="rId125" Type="http://schemas.openxmlformats.org/officeDocument/2006/relationships/header" Target="header62.xml"/><Relationship Id="rId141" Type="http://schemas.openxmlformats.org/officeDocument/2006/relationships/footer" Target="footer47.xml"/><Relationship Id="rId146" Type="http://schemas.openxmlformats.org/officeDocument/2006/relationships/header" Target="header75.xml"/><Relationship Id="rId167" Type="http://schemas.openxmlformats.org/officeDocument/2006/relationships/header" Target="header86.xml"/><Relationship Id="rId188" Type="http://schemas.openxmlformats.org/officeDocument/2006/relationships/footer" Target="footer70.xml"/><Relationship Id="rId7" Type="http://schemas.openxmlformats.org/officeDocument/2006/relationships/endnotes" Target="endnotes.xml"/><Relationship Id="rId71" Type="http://schemas.openxmlformats.org/officeDocument/2006/relationships/footer" Target="footer24.xml"/><Relationship Id="rId92" Type="http://schemas.openxmlformats.org/officeDocument/2006/relationships/footer" Target="footer30.xml"/><Relationship Id="rId162" Type="http://schemas.openxmlformats.org/officeDocument/2006/relationships/footer" Target="footer56.xml"/><Relationship Id="rId183" Type="http://schemas.openxmlformats.org/officeDocument/2006/relationships/footer" Target="footer68.xml"/><Relationship Id="rId2" Type="http://schemas.openxmlformats.org/officeDocument/2006/relationships/styles" Target="styles.xml"/><Relationship Id="rId29" Type="http://schemas.openxmlformats.org/officeDocument/2006/relationships/image" Target="media/image3.emf"/><Relationship Id="rId24" Type="http://schemas.openxmlformats.org/officeDocument/2006/relationships/header" Target="header6.xml"/><Relationship Id="rId40" Type="http://schemas.openxmlformats.org/officeDocument/2006/relationships/image" Target="media/image7.png"/><Relationship Id="rId45" Type="http://schemas.openxmlformats.org/officeDocument/2006/relationships/header" Target="header12.xml"/><Relationship Id="rId66" Type="http://schemas.openxmlformats.org/officeDocument/2006/relationships/footer" Target="footer21.xml"/><Relationship Id="rId87" Type="http://schemas.openxmlformats.org/officeDocument/2006/relationships/header" Target="header42.xml"/><Relationship Id="rId110" Type="http://schemas.openxmlformats.org/officeDocument/2006/relationships/footer" Target="footer35.xml"/><Relationship Id="rId115" Type="http://schemas.openxmlformats.org/officeDocument/2006/relationships/header" Target="header56.xml"/><Relationship Id="rId131" Type="http://schemas.openxmlformats.org/officeDocument/2006/relationships/header" Target="header66.xml"/><Relationship Id="rId136" Type="http://schemas.openxmlformats.org/officeDocument/2006/relationships/header" Target="header69.xml"/><Relationship Id="rId157" Type="http://schemas.openxmlformats.org/officeDocument/2006/relationships/footer" Target="footer55.xml"/><Relationship Id="rId178" Type="http://schemas.openxmlformats.org/officeDocument/2006/relationships/footer" Target="footer65.xml"/><Relationship Id="rId61" Type="http://schemas.openxmlformats.org/officeDocument/2006/relationships/header" Target="header24.xml"/><Relationship Id="rId82" Type="http://schemas.openxmlformats.org/officeDocument/2006/relationships/footer" Target="footer27.xml"/><Relationship Id="rId152" Type="http://schemas.openxmlformats.org/officeDocument/2006/relationships/footer" Target="footer52.xml"/><Relationship Id="rId173" Type="http://schemas.openxmlformats.org/officeDocument/2006/relationships/footer" Target="footer62.xml"/><Relationship Id="rId194" Type="http://schemas.openxmlformats.org/officeDocument/2006/relationships/hyperlink" Target="http://www.dtf.vic.gov.au/Publications/Government-Financial-Management-publications/DTF-glossary-for-budget-and-financial-reports" TargetMode="External"/><Relationship Id="rId19" Type="http://schemas.openxmlformats.org/officeDocument/2006/relationships/footer" Target="footer7.xml"/><Relationship Id="rId14" Type="http://schemas.openxmlformats.org/officeDocument/2006/relationships/header" Target="header3.xml"/><Relationship Id="rId30" Type="http://schemas.openxmlformats.org/officeDocument/2006/relationships/image" Target="media/image4.emf"/><Relationship Id="rId35" Type="http://schemas.openxmlformats.org/officeDocument/2006/relationships/footer" Target="footer14.xml"/><Relationship Id="rId56" Type="http://schemas.openxmlformats.org/officeDocument/2006/relationships/header" Target="header19.xml"/><Relationship Id="rId77" Type="http://schemas.openxmlformats.org/officeDocument/2006/relationships/header" Target="header36.xml"/><Relationship Id="rId100" Type="http://schemas.openxmlformats.org/officeDocument/2006/relationships/diagramData" Target="diagrams/data1.xml"/><Relationship Id="rId105" Type="http://schemas.openxmlformats.org/officeDocument/2006/relationships/header" Target="header50.xml"/><Relationship Id="rId126" Type="http://schemas.openxmlformats.org/officeDocument/2006/relationships/header" Target="header63.xml"/><Relationship Id="rId147" Type="http://schemas.openxmlformats.org/officeDocument/2006/relationships/header" Target="header76.xml"/><Relationship Id="rId168" Type="http://schemas.openxmlformats.org/officeDocument/2006/relationships/header" Target="header87.xml"/><Relationship Id="rId8" Type="http://schemas.openxmlformats.org/officeDocument/2006/relationships/image" Target="media/image1.wmf"/><Relationship Id="rId51" Type="http://schemas.openxmlformats.org/officeDocument/2006/relationships/header" Target="header16.xml"/><Relationship Id="rId72" Type="http://schemas.openxmlformats.org/officeDocument/2006/relationships/header" Target="header31.xml"/><Relationship Id="rId93" Type="http://schemas.openxmlformats.org/officeDocument/2006/relationships/header" Target="header46.xml"/><Relationship Id="rId98" Type="http://schemas.openxmlformats.org/officeDocument/2006/relationships/header" Target="header49.xml"/><Relationship Id="rId121" Type="http://schemas.openxmlformats.org/officeDocument/2006/relationships/footer" Target="footer40.xml"/><Relationship Id="rId142" Type="http://schemas.openxmlformats.org/officeDocument/2006/relationships/header" Target="header73.xml"/><Relationship Id="rId163" Type="http://schemas.openxmlformats.org/officeDocument/2006/relationships/footer" Target="footer57.xml"/><Relationship Id="rId184" Type="http://schemas.openxmlformats.org/officeDocument/2006/relationships/header" Target="header94.xml"/><Relationship Id="rId189" Type="http://schemas.openxmlformats.org/officeDocument/2006/relationships/footer" Target="footer71.xml"/><Relationship Id="rId3" Type="http://schemas.microsoft.com/office/2007/relationships/stylesWithEffects" Target="stylesWithEffects.xml"/><Relationship Id="rId25" Type="http://schemas.openxmlformats.org/officeDocument/2006/relationships/header" Target="header7.xml"/><Relationship Id="rId46" Type="http://schemas.openxmlformats.org/officeDocument/2006/relationships/header" Target="header13.xml"/><Relationship Id="rId67" Type="http://schemas.openxmlformats.org/officeDocument/2006/relationships/footer" Target="footer22.xml"/><Relationship Id="rId116" Type="http://schemas.openxmlformats.org/officeDocument/2006/relationships/header" Target="header57.xml"/><Relationship Id="rId137" Type="http://schemas.openxmlformats.org/officeDocument/2006/relationships/header" Target="header70.xml"/><Relationship Id="rId158" Type="http://schemas.openxmlformats.org/officeDocument/2006/relationships/header" Target="header81.xml"/><Relationship Id="rId20" Type="http://schemas.openxmlformats.org/officeDocument/2006/relationships/footer" Target="footer8.xml"/><Relationship Id="rId41" Type="http://schemas.openxmlformats.org/officeDocument/2006/relationships/image" Target="media/image8.png"/><Relationship Id="rId62" Type="http://schemas.openxmlformats.org/officeDocument/2006/relationships/header" Target="header25.xml"/><Relationship Id="rId83" Type="http://schemas.openxmlformats.org/officeDocument/2006/relationships/footer" Target="footer28.xml"/><Relationship Id="rId88" Type="http://schemas.openxmlformats.org/officeDocument/2006/relationships/header" Target="header43.xml"/><Relationship Id="rId111" Type="http://schemas.openxmlformats.org/officeDocument/2006/relationships/header" Target="header54.xml"/><Relationship Id="rId132" Type="http://schemas.openxmlformats.org/officeDocument/2006/relationships/header" Target="header67.xml"/><Relationship Id="rId153" Type="http://schemas.openxmlformats.org/officeDocument/2006/relationships/footer" Target="footer53.xml"/><Relationship Id="rId174" Type="http://schemas.openxmlformats.org/officeDocument/2006/relationships/header" Target="header90.xml"/><Relationship Id="rId179" Type="http://schemas.openxmlformats.org/officeDocument/2006/relationships/footer" Target="footer66.xml"/><Relationship Id="rId195" Type="http://schemas.openxmlformats.org/officeDocument/2006/relationships/footer" Target="footer74.xml"/><Relationship Id="rId190" Type="http://schemas.openxmlformats.org/officeDocument/2006/relationships/header" Target="header97.xml"/><Relationship Id="rId15" Type="http://schemas.openxmlformats.org/officeDocument/2006/relationships/footer" Target="footer3.xml"/><Relationship Id="rId36" Type="http://schemas.openxmlformats.org/officeDocument/2006/relationships/footer" Target="footer15.xml"/><Relationship Id="rId57" Type="http://schemas.openxmlformats.org/officeDocument/2006/relationships/header" Target="header20.xml"/><Relationship Id="rId106" Type="http://schemas.openxmlformats.org/officeDocument/2006/relationships/header" Target="header51.xml"/><Relationship Id="rId127" Type="http://schemas.openxmlformats.org/officeDocument/2006/relationships/header" Target="header64.xml"/><Relationship Id="rId10" Type="http://schemas.openxmlformats.org/officeDocument/2006/relationships/header" Target="header1.xml"/><Relationship Id="rId31" Type="http://schemas.openxmlformats.org/officeDocument/2006/relationships/image" Target="media/image5.emf"/><Relationship Id="rId52" Type="http://schemas.openxmlformats.org/officeDocument/2006/relationships/footer" Target="footer19.xml"/><Relationship Id="rId73" Type="http://schemas.openxmlformats.org/officeDocument/2006/relationships/header" Target="header32.xml"/><Relationship Id="rId78" Type="http://schemas.openxmlformats.org/officeDocument/2006/relationships/footer" Target="footer25.xml"/><Relationship Id="rId94" Type="http://schemas.openxmlformats.org/officeDocument/2006/relationships/header" Target="header47.xml"/><Relationship Id="rId99" Type="http://schemas.openxmlformats.org/officeDocument/2006/relationships/footer" Target="footer33.xml"/><Relationship Id="rId101" Type="http://schemas.openxmlformats.org/officeDocument/2006/relationships/diagramLayout" Target="diagrams/layout1.xml"/><Relationship Id="rId122" Type="http://schemas.openxmlformats.org/officeDocument/2006/relationships/footer" Target="footer41.xml"/><Relationship Id="rId143" Type="http://schemas.openxmlformats.org/officeDocument/2006/relationships/header" Target="header74.xml"/><Relationship Id="rId148" Type="http://schemas.openxmlformats.org/officeDocument/2006/relationships/footer" Target="footer50.xml"/><Relationship Id="rId164" Type="http://schemas.openxmlformats.org/officeDocument/2006/relationships/header" Target="header85.xml"/><Relationship Id="rId169" Type="http://schemas.openxmlformats.org/officeDocument/2006/relationships/footer" Target="footer60.xml"/><Relationship Id="rId185" Type="http://schemas.openxmlformats.org/officeDocument/2006/relationships/footer" Target="footer69.xm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eader" Target="header92.xml"/><Relationship Id="rId26" Type="http://schemas.openxmlformats.org/officeDocument/2006/relationships/footer" Target="footer10.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3BAF06-1332-4437-A017-D8FDCEB88B6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FB2C4938-A496-4AF7-B5FA-5CC2DDB99F65}">
      <dgm:prSet phldrT="[Text]" custT="1"/>
      <dgm:spPr>
        <a:solidFill>
          <a:srgbClr val="53565A"/>
        </a:solidFill>
      </dgm:spPr>
      <dgm:t>
        <a:bodyPr/>
        <a:lstStyle/>
        <a:p>
          <a:r>
            <a:rPr lang="en-AU" sz="900" i="0">
              <a:latin typeface="+mj-lt"/>
            </a:rPr>
            <a:t>Financial risks</a:t>
          </a:r>
        </a:p>
      </dgm:t>
    </dgm:pt>
    <dgm:pt modelId="{78D38113-8CC0-48C9-B5B3-82695A41EAC2}" type="parTrans" cxnId="{8D2C77AF-A4DB-41AC-AA6E-EFC9A9DEFE32}">
      <dgm:prSet/>
      <dgm:spPr/>
      <dgm:t>
        <a:bodyPr/>
        <a:lstStyle/>
        <a:p>
          <a:endParaRPr lang="en-AU"/>
        </a:p>
      </dgm:t>
    </dgm:pt>
    <dgm:pt modelId="{11A88ED9-1139-494B-A5D7-24C6A2975040}" type="sibTrans" cxnId="{8D2C77AF-A4DB-41AC-AA6E-EFC9A9DEFE32}">
      <dgm:prSet/>
      <dgm:spPr/>
      <dgm:t>
        <a:bodyPr/>
        <a:lstStyle/>
        <a:p>
          <a:endParaRPr lang="en-AU"/>
        </a:p>
      </dgm:t>
    </dgm:pt>
    <dgm:pt modelId="{AA253F2E-D46A-4F46-B365-A37C130D4488}">
      <dgm:prSet phldrT="[Text]" custT="1"/>
      <dgm:spPr>
        <a:solidFill>
          <a:srgbClr val="53565A"/>
        </a:solidFill>
      </dgm:spPr>
      <dgm:t>
        <a:bodyPr/>
        <a:lstStyle/>
        <a:p>
          <a:r>
            <a:rPr lang="en-AU" sz="900" i="0">
              <a:latin typeface="+mj-lt"/>
            </a:rPr>
            <a:t>Market risk</a:t>
          </a:r>
        </a:p>
      </dgm:t>
    </dgm:pt>
    <dgm:pt modelId="{09D01149-8D78-439B-87BF-38D8CA4AE0E6}" type="parTrans" cxnId="{3F567164-BA97-420F-9270-6B07E8A718CD}">
      <dgm:prSet/>
      <dgm:spPr>
        <a:ln>
          <a:solidFill>
            <a:srgbClr val="53565A"/>
          </a:solidFill>
        </a:ln>
      </dgm:spPr>
      <dgm:t>
        <a:bodyPr/>
        <a:lstStyle/>
        <a:p>
          <a:endParaRPr lang="en-AU"/>
        </a:p>
      </dgm:t>
    </dgm:pt>
    <dgm:pt modelId="{FE8CF657-C822-4BBF-B1DD-D1F2C5C34E05}" type="sibTrans" cxnId="{3F567164-BA97-420F-9270-6B07E8A718CD}">
      <dgm:prSet/>
      <dgm:spPr/>
      <dgm:t>
        <a:bodyPr/>
        <a:lstStyle/>
        <a:p>
          <a:endParaRPr lang="en-AU"/>
        </a:p>
      </dgm:t>
    </dgm:pt>
    <dgm:pt modelId="{09D14E22-A2C6-4142-B346-781C81612E7C}">
      <dgm:prSet phldrT="[Text]" custT="1"/>
      <dgm:spPr>
        <a:solidFill>
          <a:srgbClr val="53565A"/>
        </a:solidFill>
      </dgm:spPr>
      <dgm:t>
        <a:bodyPr/>
        <a:lstStyle/>
        <a:p>
          <a:r>
            <a:rPr lang="en-AU" sz="900" i="0">
              <a:latin typeface="+mj-lt"/>
            </a:rPr>
            <a:t>Credit risk</a:t>
          </a:r>
        </a:p>
      </dgm:t>
    </dgm:pt>
    <dgm:pt modelId="{9C7C3C4A-F359-4A05-B3FC-00083F85D8D6}" type="parTrans" cxnId="{BCE6D234-A5E8-46F6-8E30-C5E7D60F6D4A}">
      <dgm:prSet/>
      <dgm:spPr>
        <a:ln>
          <a:solidFill>
            <a:srgbClr val="53565A"/>
          </a:solidFill>
        </a:ln>
      </dgm:spPr>
      <dgm:t>
        <a:bodyPr/>
        <a:lstStyle/>
        <a:p>
          <a:endParaRPr lang="en-AU"/>
        </a:p>
      </dgm:t>
    </dgm:pt>
    <dgm:pt modelId="{2032C37C-4E5D-4288-B3F6-BE8043EAF85A}" type="sibTrans" cxnId="{BCE6D234-A5E8-46F6-8E30-C5E7D60F6D4A}">
      <dgm:prSet/>
      <dgm:spPr/>
      <dgm:t>
        <a:bodyPr/>
        <a:lstStyle/>
        <a:p>
          <a:endParaRPr lang="en-AU"/>
        </a:p>
      </dgm:t>
    </dgm:pt>
    <dgm:pt modelId="{4BC9100A-59DE-4D9B-ABB0-601976728E51}">
      <dgm:prSet phldrT="[Text]" custT="1"/>
      <dgm:spPr>
        <a:solidFill>
          <a:srgbClr val="53565A"/>
        </a:solidFill>
      </dgm:spPr>
      <dgm:t>
        <a:bodyPr/>
        <a:lstStyle/>
        <a:p>
          <a:r>
            <a:rPr lang="en-AU" sz="900" i="0">
              <a:latin typeface="+mj-lt"/>
            </a:rPr>
            <a:t>Liquidity risk</a:t>
          </a:r>
        </a:p>
      </dgm:t>
    </dgm:pt>
    <dgm:pt modelId="{F1034687-4F11-4CC2-978E-6477E77F7A68}" type="parTrans" cxnId="{0D2ACAE8-8C4A-43B6-9228-92F7826F6E52}">
      <dgm:prSet/>
      <dgm:spPr>
        <a:ln>
          <a:solidFill>
            <a:srgbClr val="53565A"/>
          </a:solidFill>
        </a:ln>
      </dgm:spPr>
      <dgm:t>
        <a:bodyPr/>
        <a:lstStyle/>
        <a:p>
          <a:endParaRPr lang="en-AU"/>
        </a:p>
      </dgm:t>
    </dgm:pt>
    <dgm:pt modelId="{647CCB45-DEC8-4A7A-9C91-A9E59B59AEC3}" type="sibTrans" cxnId="{0D2ACAE8-8C4A-43B6-9228-92F7826F6E52}">
      <dgm:prSet/>
      <dgm:spPr/>
      <dgm:t>
        <a:bodyPr/>
        <a:lstStyle/>
        <a:p>
          <a:endParaRPr lang="en-AU"/>
        </a:p>
      </dgm:t>
    </dgm:pt>
    <dgm:pt modelId="{9731AA50-1676-4AA7-8636-17FF6EA36D0F}">
      <dgm:prSet phldrT="[Text]" custT="1"/>
      <dgm:spPr>
        <a:solidFill>
          <a:srgbClr val="53565A"/>
        </a:solidFill>
      </dgm:spPr>
      <dgm:t>
        <a:bodyPr/>
        <a:lstStyle/>
        <a:p>
          <a:r>
            <a:rPr lang="en-AU" sz="900" i="0">
              <a:latin typeface="+mj-lt"/>
            </a:rPr>
            <a:t>Equity price risk</a:t>
          </a:r>
        </a:p>
      </dgm:t>
    </dgm:pt>
    <dgm:pt modelId="{3E52FE8A-1BF8-4CAE-972A-5298A12C958F}" type="parTrans" cxnId="{57C0F3FC-B02F-4716-94E4-D169688D7240}">
      <dgm:prSet/>
      <dgm:spPr>
        <a:ln>
          <a:solidFill>
            <a:srgbClr val="53565A"/>
          </a:solidFill>
        </a:ln>
      </dgm:spPr>
      <dgm:t>
        <a:bodyPr/>
        <a:lstStyle/>
        <a:p>
          <a:endParaRPr lang="en-AU"/>
        </a:p>
      </dgm:t>
    </dgm:pt>
    <dgm:pt modelId="{0D51DA35-FB03-48B8-9D77-ADAD0F36039B}" type="sibTrans" cxnId="{57C0F3FC-B02F-4716-94E4-D169688D7240}">
      <dgm:prSet/>
      <dgm:spPr/>
      <dgm:t>
        <a:bodyPr/>
        <a:lstStyle/>
        <a:p>
          <a:endParaRPr lang="en-AU"/>
        </a:p>
      </dgm:t>
    </dgm:pt>
    <dgm:pt modelId="{632572CC-1588-4F90-839C-2BD80B5F1BA4}">
      <dgm:prSet phldrT="[Text]" custT="1"/>
      <dgm:spPr>
        <a:solidFill>
          <a:srgbClr val="53565A"/>
        </a:solidFill>
      </dgm:spPr>
      <dgm:t>
        <a:bodyPr/>
        <a:lstStyle/>
        <a:p>
          <a:r>
            <a:rPr lang="en-AU" sz="900" i="0">
              <a:latin typeface="+mj-lt"/>
            </a:rPr>
            <a:t>Interest rate risk</a:t>
          </a:r>
        </a:p>
      </dgm:t>
    </dgm:pt>
    <dgm:pt modelId="{C017AA8F-5177-4574-AB79-0E6B6D0DB2F1}" type="parTrans" cxnId="{ADC08702-62BB-4DFE-BB20-0BA30FE3E53A}">
      <dgm:prSet/>
      <dgm:spPr>
        <a:ln>
          <a:solidFill>
            <a:srgbClr val="53565A"/>
          </a:solidFill>
        </a:ln>
      </dgm:spPr>
      <dgm:t>
        <a:bodyPr/>
        <a:lstStyle/>
        <a:p>
          <a:endParaRPr lang="en-AU"/>
        </a:p>
      </dgm:t>
    </dgm:pt>
    <dgm:pt modelId="{A049BE2C-5666-4F4B-9D67-2590C3B1E303}" type="sibTrans" cxnId="{ADC08702-62BB-4DFE-BB20-0BA30FE3E53A}">
      <dgm:prSet/>
      <dgm:spPr/>
      <dgm:t>
        <a:bodyPr/>
        <a:lstStyle/>
        <a:p>
          <a:endParaRPr lang="en-AU"/>
        </a:p>
      </dgm:t>
    </dgm:pt>
    <dgm:pt modelId="{C89C434C-ACE8-4C86-B2E4-7CE7D6F202B9}">
      <dgm:prSet phldrT="[Text]" custT="1"/>
      <dgm:spPr>
        <a:solidFill>
          <a:srgbClr val="53565A"/>
        </a:solidFill>
      </dgm:spPr>
      <dgm:t>
        <a:bodyPr/>
        <a:lstStyle/>
        <a:p>
          <a:r>
            <a:rPr lang="en-AU" sz="900" i="0">
              <a:latin typeface="+mj-lt"/>
            </a:rPr>
            <a:t>Foreign currency risk</a:t>
          </a:r>
        </a:p>
      </dgm:t>
    </dgm:pt>
    <dgm:pt modelId="{F688B168-257F-416E-A278-5DC1F311EA9B}" type="parTrans" cxnId="{B12B7016-268B-4EA1-BD31-700F80DE403E}">
      <dgm:prSet/>
      <dgm:spPr>
        <a:ln>
          <a:solidFill>
            <a:srgbClr val="53565A"/>
          </a:solidFill>
        </a:ln>
      </dgm:spPr>
      <dgm:t>
        <a:bodyPr/>
        <a:lstStyle/>
        <a:p>
          <a:endParaRPr lang="en-AU"/>
        </a:p>
      </dgm:t>
    </dgm:pt>
    <dgm:pt modelId="{0536111F-56E7-46C1-9F67-C79DDA67D478}" type="sibTrans" cxnId="{B12B7016-268B-4EA1-BD31-700F80DE403E}">
      <dgm:prSet/>
      <dgm:spPr/>
      <dgm:t>
        <a:bodyPr/>
        <a:lstStyle/>
        <a:p>
          <a:endParaRPr lang="en-AU"/>
        </a:p>
      </dgm:t>
    </dgm:pt>
    <dgm:pt modelId="{CDEE0A1C-83CA-48F0-A0DD-308272C15F6D}" type="pres">
      <dgm:prSet presAssocID="{813BAF06-1332-4437-A017-D8FDCEB88B6C}" presName="hierChild1" presStyleCnt="0">
        <dgm:presLayoutVars>
          <dgm:orgChart val="1"/>
          <dgm:chPref val="1"/>
          <dgm:dir/>
          <dgm:animOne val="branch"/>
          <dgm:animLvl val="lvl"/>
          <dgm:resizeHandles/>
        </dgm:presLayoutVars>
      </dgm:prSet>
      <dgm:spPr/>
      <dgm:t>
        <a:bodyPr/>
        <a:lstStyle/>
        <a:p>
          <a:endParaRPr lang="en-AU"/>
        </a:p>
      </dgm:t>
    </dgm:pt>
    <dgm:pt modelId="{24CECED1-38F5-416B-A021-8AD726282F01}" type="pres">
      <dgm:prSet presAssocID="{FB2C4938-A496-4AF7-B5FA-5CC2DDB99F65}" presName="hierRoot1" presStyleCnt="0">
        <dgm:presLayoutVars>
          <dgm:hierBranch val="init"/>
        </dgm:presLayoutVars>
      </dgm:prSet>
      <dgm:spPr/>
    </dgm:pt>
    <dgm:pt modelId="{934E6631-3524-4145-A93B-1BDDA23DCA72}" type="pres">
      <dgm:prSet presAssocID="{FB2C4938-A496-4AF7-B5FA-5CC2DDB99F65}" presName="rootComposite1" presStyleCnt="0"/>
      <dgm:spPr/>
    </dgm:pt>
    <dgm:pt modelId="{3B1382DE-E889-4638-ACF9-E243DD38AF39}" type="pres">
      <dgm:prSet presAssocID="{FB2C4938-A496-4AF7-B5FA-5CC2DDB99F65}" presName="rootText1" presStyleLbl="node0" presStyleIdx="0" presStyleCnt="1" custScaleX="163392">
        <dgm:presLayoutVars>
          <dgm:chPref val="3"/>
        </dgm:presLayoutVars>
      </dgm:prSet>
      <dgm:spPr/>
      <dgm:t>
        <a:bodyPr/>
        <a:lstStyle/>
        <a:p>
          <a:endParaRPr lang="en-AU"/>
        </a:p>
      </dgm:t>
    </dgm:pt>
    <dgm:pt modelId="{BD76D784-6BE0-4434-BDEE-395A4A328632}" type="pres">
      <dgm:prSet presAssocID="{FB2C4938-A496-4AF7-B5FA-5CC2DDB99F65}" presName="rootConnector1" presStyleLbl="node1" presStyleIdx="0" presStyleCnt="0"/>
      <dgm:spPr/>
      <dgm:t>
        <a:bodyPr/>
        <a:lstStyle/>
        <a:p>
          <a:endParaRPr lang="en-AU"/>
        </a:p>
      </dgm:t>
    </dgm:pt>
    <dgm:pt modelId="{62FB20D2-AF6B-4D40-BCC1-6123FD1F27A9}" type="pres">
      <dgm:prSet presAssocID="{FB2C4938-A496-4AF7-B5FA-5CC2DDB99F65}" presName="hierChild2" presStyleCnt="0"/>
      <dgm:spPr/>
    </dgm:pt>
    <dgm:pt modelId="{BD598231-C67D-4DC9-A3B0-AE265A09754E}" type="pres">
      <dgm:prSet presAssocID="{09D01149-8D78-439B-87BF-38D8CA4AE0E6}" presName="Name37" presStyleLbl="parChTrans1D2" presStyleIdx="0" presStyleCnt="3"/>
      <dgm:spPr/>
      <dgm:t>
        <a:bodyPr/>
        <a:lstStyle/>
        <a:p>
          <a:endParaRPr lang="en-AU"/>
        </a:p>
      </dgm:t>
    </dgm:pt>
    <dgm:pt modelId="{67B9B191-AF2B-4E6A-B09C-F3191824895F}" type="pres">
      <dgm:prSet presAssocID="{AA253F2E-D46A-4F46-B365-A37C130D4488}" presName="hierRoot2" presStyleCnt="0">
        <dgm:presLayoutVars>
          <dgm:hierBranch val="init"/>
        </dgm:presLayoutVars>
      </dgm:prSet>
      <dgm:spPr/>
    </dgm:pt>
    <dgm:pt modelId="{3255712F-6F2C-4344-8B4D-4BA7C1FD378F}" type="pres">
      <dgm:prSet presAssocID="{AA253F2E-D46A-4F46-B365-A37C130D4488}" presName="rootComposite" presStyleCnt="0"/>
      <dgm:spPr/>
    </dgm:pt>
    <dgm:pt modelId="{BAA3C8B2-4565-450E-A38F-592937A876D9}" type="pres">
      <dgm:prSet presAssocID="{AA253F2E-D46A-4F46-B365-A37C130D4488}" presName="rootText" presStyleLbl="node2" presStyleIdx="0" presStyleCnt="3" custScaleX="161236">
        <dgm:presLayoutVars>
          <dgm:chPref val="3"/>
        </dgm:presLayoutVars>
      </dgm:prSet>
      <dgm:spPr/>
      <dgm:t>
        <a:bodyPr/>
        <a:lstStyle/>
        <a:p>
          <a:endParaRPr lang="en-AU"/>
        </a:p>
      </dgm:t>
    </dgm:pt>
    <dgm:pt modelId="{0313A58C-E523-4B49-8802-481E92A5EC33}" type="pres">
      <dgm:prSet presAssocID="{AA253F2E-D46A-4F46-B365-A37C130D4488}" presName="rootConnector" presStyleLbl="node2" presStyleIdx="0" presStyleCnt="3"/>
      <dgm:spPr/>
      <dgm:t>
        <a:bodyPr/>
        <a:lstStyle/>
        <a:p>
          <a:endParaRPr lang="en-AU"/>
        </a:p>
      </dgm:t>
    </dgm:pt>
    <dgm:pt modelId="{92339548-EC9F-42EC-AF7C-EB6AE439D609}" type="pres">
      <dgm:prSet presAssocID="{AA253F2E-D46A-4F46-B365-A37C130D4488}" presName="hierChild4" presStyleCnt="0"/>
      <dgm:spPr/>
    </dgm:pt>
    <dgm:pt modelId="{44837603-83DD-415D-9553-E0CAEC5886AF}" type="pres">
      <dgm:prSet presAssocID="{C017AA8F-5177-4574-AB79-0E6B6D0DB2F1}" presName="Name37" presStyleLbl="parChTrans1D3" presStyleIdx="0" presStyleCnt="3"/>
      <dgm:spPr/>
      <dgm:t>
        <a:bodyPr/>
        <a:lstStyle/>
        <a:p>
          <a:endParaRPr lang="en-AU"/>
        </a:p>
      </dgm:t>
    </dgm:pt>
    <dgm:pt modelId="{D5EF56F3-8A7C-4482-AB47-0CBCCF6B52BD}" type="pres">
      <dgm:prSet presAssocID="{632572CC-1588-4F90-839C-2BD80B5F1BA4}" presName="hierRoot2" presStyleCnt="0">
        <dgm:presLayoutVars>
          <dgm:hierBranch val="init"/>
        </dgm:presLayoutVars>
      </dgm:prSet>
      <dgm:spPr/>
    </dgm:pt>
    <dgm:pt modelId="{3FEB9F36-4833-4A74-980B-9554ECCE5B90}" type="pres">
      <dgm:prSet presAssocID="{632572CC-1588-4F90-839C-2BD80B5F1BA4}" presName="rootComposite" presStyleCnt="0"/>
      <dgm:spPr/>
    </dgm:pt>
    <dgm:pt modelId="{76789CFF-1D8C-4BE0-8614-2AADF7F28735}" type="pres">
      <dgm:prSet presAssocID="{632572CC-1588-4F90-839C-2BD80B5F1BA4}" presName="rootText" presStyleLbl="node3" presStyleIdx="0" presStyleCnt="3" custScaleX="238182" custScaleY="100493" custLinFactNeighborX="-4087" custLinFactNeighborY="-24518">
        <dgm:presLayoutVars>
          <dgm:chPref val="3"/>
        </dgm:presLayoutVars>
      </dgm:prSet>
      <dgm:spPr/>
      <dgm:t>
        <a:bodyPr/>
        <a:lstStyle/>
        <a:p>
          <a:endParaRPr lang="en-AU"/>
        </a:p>
      </dgm:t>
    </dgm:pt>
    <dgm:pt modelId="{C80B5A6B-20CE-4823-883A-E169959894F7}" type="pres">
      <dgm:prSet presAssocID="{632572CC-1588-4F90-839C-2BD80B5F1BA4}" presName="rootConnector" presStyleLbl="node3" presStyleIdx="0" presStyleCnt="3"/>
      <dgm:spPr/>
      <dgm:t>
        <a:bodyPr/>
        <a:lstStyle/>
        <a:p>
          <a:endParaRPr lang="en-AU"/>
        </a:p>
      </dgm:t>
    </dgm:pt>
    <dgm:pt modelId="{39BBC4FA-6713-4AD9-ADA6-575A56BF5139}" type="pres">
      <dgm:prSet presAssocID="{632572CC-1588-4F90-839C-2BD80B5F1BA4}" presName="hierChild4" presStyleCnt="0"/>
      <dgm:spPr/>
    </dgm:pt>
    <dgm:pt modelId="{25E9DD9D-F5C6-4343-8F5B-983A871B7506}" type="pres">
      <dgm:prSet presAssocID="{632572CC-1588-4F90-839C-2BD80B5F1BA4}" presName="hierChild5" presStyleCnt="0"/>
      <dgm:spPr/>
    </dgm:pt>
    <dgm:pt modelId="{831D7E3E-4F2D-48FE-9992-41BCC6E189B7}" type="pres">
      <dgm:prSet presAssocID="{F688B168-257F-416E-A278-5DC1F311EA9B}" presName="Name37" presStyleLbl="parChTrans1D3" presStyleIdx="1" presStyleCnt="3"/>
      <dgm:spPr/>
      <dgm:t>
        <a:bodyPr/>
        <a:lstStyle/>
        <a:p>
          <a:endParaRPr lang="en-AU"/>
        </a:p>
      </dgm:t>
    </dgm:pt>
    <dgm:pt modelId="{2B3586CD-43AB-4837-B9D1-7B67EB98B8AE}" type="pres">
      <dgm:prSet presAssocID="{C89C434C-ACE8-4C86-B2E4-7CE7D6F202B9}" presName="hierRoot2" presStyleCnt="0">
        <dgm:presLayoutVars>
          <dgm:hierBranch val="init"/>
        </dgm:presLayoutVars>
      </dgm:prSet>
      <dgm:spPr/>
    </dgm:pt>
    <dgm:pt modelId="{E8CC963A-E11B-4A9B-B1EF-15F7A9130449}" type="pres">
      <dgm:prSet presAssocID="{C89C434C-ACE8-4C86-B2E4-7CE7D6F202B9}" presName="rootComposite" presStyleCnt="0"/>
      <dgm:spPr/>
    </dgm:pt>
    <dgm:pt modelId="{E3E98BC3-F486-4BFA-B746-9B65AF5C4D86}" type="pres">
      <dgm:prSet presAssocID="{C89C434C-ACE8-4C86-B2E4-7CE7D6F202B9}" presName="rootText" presStyleLbl="node3" presStyleIdx="1" presStyleCnt="3" custScaleX="238182" custScaleY="100493" custLinFactNeighborX="-3065" custLinFactNeighborY="-61296">
        <dgm:presLayoutVars>
          <dgm:chPref val="3"/>
        </dgm:presLayoutVars>
      </dgm:prSet>
      <dgm:spPr/>
      <dgm:t>
        <a:bodyPr/>
        <a:lstStyle/>
        <a:p>
          <a:endParaRPr lang="en-AU"/>
        </a:p>
      </dgm:t>
    </dgm:pt>
    <dgm:pt modelId="{5E0A9DBF-E268-41CE-9C5E-6CA1C1F777BD}" type="pres">
      <dgm:prSet presAssocID="{C89C434C-ACE8-4C86-B2E4-7CE7D6F202B9}" presName="rootConnector" presStyleLbl="node3" presStyleIdx="1" presStyleCnt="3"/>
      <dgm:spPr/>
      <dgm:t>
        <a:bodyPr/>
        <a:lstStyle/>
        <a:p>
          <a:endParaRPr lang="en-AU"/>
        </a:p>
      </dgm:t>
    </dgm:pt>
    <dgm:pt modelId="{F21BA937-02EC-4958-83B3-794303D2326A}" type="pres">
      <dgm:prSet presAssocID="{C89C434C-ACE8-4C86-B2E4-7CE7D6F202B9}" presName="hierChild4" presStyleCnt="0"/>
      <dgm:spPr/>
    </dgm:pt>
    <dgm:pt modelId="{77AFA698-D70F-4EB5-8034-D910825D0608}" type="pres">
      <dgm:prSet presAssocID="{C89C434C-ACE8-4C86-B2E4-7CE7D6F202B9}" presName="hierChild5" presStyleCnt="0"/>
      <dgm:spPr/>
    </dgm:pt>
    <dgm:pt modelId="{26B0F6D2-0A6E-4090-8819-682E7D250175}" type="pres">
      <dgm:prSet presAssocID="{3E52FE8A-1BF8-4CAE-972A-5298A12C958F}" presName="Name37" presStyleLbl="parChTrans1D3" presStyleIdx="2" presStyleCnt="3"/>
      <dgm:spPr/>
      <dgm:t>
        <a:bodyPr/>
        <a:lstStyle/>
        <a:p>
          <a:endParaRPr lang="en-AU"/>
        </a:p>
      </dgm:t>
    </dgm:pt>
    <dgm:pt modelId="{64CA2FC2-10BE-4895-A119-B29C940C6DE4}" type="pres">
      <dgm:prSet presAssocID="{9731AA50-1676-4AA7-8636-17FF6EA36D0F}" presName="hierRoot2" presStyleCnt="0">
        <dgm:presLayoutVars>
          <dgm:hierBranch val="init"/>
        </dgm:presLayoutVars>
      </dgm:prSet>
      <dgm:spPr/>
    </dgm:pt>
    <dgm:pt modelId="{1D69C6C6-E72A-4DBB-88F3-75CFB04D2F12}" type="pres">
      <dgm:prSet presAssocID="{9731AA50-1676-4AA7-8636-17FF6EA36D0F}" presName="rootComposite" presStyleCnt="0"/>
      <dgm:spPr/>
    </dgm:pt>
    <dgm:pt modelId="{2119C946-9979-49E0-8DC6-9EF4C4600985}" type="pres">
      <dgm:prSet presAssocID="{9731AA50-1676-4AA7-8636-17FF6EA36D0F}" presName="rootText" presStyleLbl="node3" presStyleIdx="2" presStyleCnt="3" custScaleX="238182" custScaleY="100493" custLinFactNeighborX="-3496" custLinFactNeighborY="-98074">
        <dgm:presLayoutVars>
          <dgm:chPref val="3"/>
        </dgm:presLayoutVars>
      </dgm:prSet>
      <dgm:spPr/>
      <dgm:t>
        <a:bodyPr/>
        <a:lstStyle/>
        <a:p>
          <a:endParaRPr lang="en-AU"/>
        </a:p>
      </dgm:t>
    </dgm:pt>
    <dgm:pt modelId="{2A94ED9F-4DDB-4DCB-8D0B-C02EC688499A}" type="pres">
      <dgm:prSet presAssocID="{9731AA50-1676-4AA7-8636-17FF6EA36D0F}" presName="rootConnector" presStyleLbl="node3" presStyleIdx="2" presStyleCnt="3"/>
      <dgm:spPr/>
      <dgm:t>
        <a:bodyPr/>
        <a:lstStyle/>
        <a:p>
          <a:endParaRPr lang="en-AU"/>
        </a:p>
      </dgm:t>
    </dgm:pt>
    <dgm:pt modelId="{BED93993-8575-4582-B1AD-AF3D4F8111FC}" type="pres">
      <dgm:prSet presAssocID="{9731AA50-1676-4AA7-8636-17FF6EA36D0F}" presName="hierChild4" presStyleCnt="0"/>
      <dgm:spPr/>
    </dgm:pt>
    <dgm:pt modelId="{345944C9-2D83-46B5-8DF7-A4FC5E50CA53}" type="pres">
      <dgm:prSet presAssocID="{9731AA50-1676-4AA7-8636-17FF6EA36D0F}" presName="hierChild5" presStyleCnt="0"/>
      <dgm:spPr/>
    </dgm:pt>
    <dgm:pt modelId="{1596D294-7FA1-451A-9205-105C85155EEF}" type="pres">
      <dgm:prSet presAssocID="{AA253F2E-D46A-4F46-B365-A37C130D4488}" presName="hierChild5" presStyleCnt="0"/>
      <dgm:spPr/>
    </dgm:pt>
    <dgm:pt modelId="{8B00EB80-2904-495E-B685-CA5CFE3563E0}" type="pres">
      <dgm:prSet presAssocID="{9C7C3C4A-F359-4A05-B3FC-00083F85D8D6}" presName="Name37" presStyleLbl="parChTrans1D2" presStyleIdx="1" presStyleCnt="3"/>
      <dgm:spPr/>
      <dgm:t>
        <a:bodyPr/>
        <a:lstStyle/>
        <a:p>
          <a:endParaRPr lang="en-AU"/>
        </a:p>
      </dgm:t>
    </dgm:pt>
    <dgm:pt modelId="{5DF15BFC-B3F7-45F5-A8B4-EE629AE42168}" type="pres">
      <dgm:prSet presAssocID="{09D14E22-A2C6-4142-B346-781C81612E7C}" presName="hierRoot2" presStyleCnt="0">
        <dgm:presLayoutVars>
          <dgm:hierBranch val="init"/>
        </dgm:presLayoutVars>
      </dgm:prSet>
      <dgm:spPr/>
    </dgm:pt>
    <dgm:pt modelId="{CAB7111A-4788-4251-B9D1-6AC24BA73B8F}" type="pres">
      <dgm:prSet presAssocID="{09D14E22-A2C6-4142-B346-781C81612E7C}" presName="rootComposite" presStyleCnt="0"/>
      <dgm:spPr/>
    </dgm:pt>
    <dgm:pt modelId="{F243EABE-D588-4E87-9A2E-252D2456CB1B}" type="pres">
      <dgm:prSet presAssocID="{09D14E22-A2C6-4142-B346-781C81612E7C}" presName="rootText" presStyleLbl="node2" presStyleIdx="1" presStyleCnt="3" custScaleX="161649" custLinFactNeighborX="2304" custLinFactNeighborY="125">
        <dgm:presLayoutVars>
          <dgm:chPref val="3"/>
        </dgm:presLayoutVars>
      </dgm:prSet>
      <dgm:spPr/>
      <dgm:t>
        <a:bodyPr/>
        <a:lstStyle/>
        <a:p>
          <a:endParaRPr lang="en-AU"/>
        </a:p>
      </dgm:t>
    </dgm:pt>
    <dgm:pt modelId="{68E68FF4-7F25-45AD-B5BD-A49CB588FA72}" type="pres">
      <dgm:prSet presAssocID="{09D14E22-A2C6-4142-B346-781C81612E7C}" presName="rootConnector" presStyleLbl="node2" presStyleIdx="1" presStyleCnt="3"/>
      <dgm:spPr/>
      <dgm:t>
        <a:bodyPr/>
        <a:lstStyle/>
        <a:p>
          <a:endParaRPr lang="en-AU"/>
        </a:p>
      </dgm:t>
    </dgm:pt>
    <dgm:pt modelId="{88A0F61C-7D9E-4BE1-8CC6-1B62D0A6523A}" type="pres">
      <dgm:prSet presAssocID="{09D14E22-A2C6-4142-B346-781C81612E7C}" presName="hierChild4" presStyleCnt="0"/>
      <dgm:spPr/>
    </dgm:pt>
    <dgm:pt modelId="{B70B9F61-22FF-4D21-B128-543094BB5D3F}" type="pres">
      <dgm:prSet presAssocID="{09D14E22-A2C6-4142-B346-781C81612E7C}" presName="hierChild5" presStyleCnt="0"/>
      <dgm:spPr/>
    </dgm:pt>
    <dgm:pt modelId="{11DB8665-44E2-4120-97F9-B6C60E52FE82}" type="pres">
      <dgm:prSet presAssocID="{F1034687-4F11-4CC2-978E-6477E77F7A68}" presName="Name37" presStyleLbl="parChTrans1D2" presStyleIdx="2" presStyleCnt="3"/>
      <dgm:spPr/>
      <dgm:t>
        <a:bodyPr/>
        <a:lstStyle/>
        <a:p>
          <a:endParaRPr lang="en-AU"/>
        </a:p>
      </dgm:t>
    </dgm:pt>
    <dgm:pt modelId="{D47B5994-51C5-4DB9-9F4A-47961430286C}" type="pres">
      <dgm:prSet presAssocID="{4BC9100A-59DE-4D9B-ABB0-601976728E51}" presName="hierRoot2" presStyleCnt="0">
        <dgm:presLayoutVars>
          <dgm:hierBranch val="init"/>
        </dgm:presLayoutVars>
      </dgm:prSet>
      <dgm:spPr/>
    </dgm:pt>
    <dgm:pt modelId="{3D496A31-ACBD-4D01-BD44-035A73EB09F6}" type="pres">
      <dgm:prSet presAssocID="{4BC9100A-59DE-4D9B-ABB0-601976728E51}" presName="rootComposite" presStyleCnt="0"/>
      <dgm:spPr/>
    </dgm:pt>
    <dgm:pt modelId="{CE52E2CA-DBF0-4588-A20E-3A3D361D28EB}" type="pres">
      <dgm:prSet presAssocID="{4BC9100A-59DE-4D9B-ABB0-601976728E51}" presName="rootText" presStyleLbl="node2" presStyleIdx="2" presStyleCnt="3" custScaleX="165504">
        <dgm:presLayoutVars>
          <dgm:chPref val="3"/>
        </dgm:presLayoutVars>
      </dgm:prSet>
      <dgm:spPr/>
      <dgm:t>
        <a:bodyPr/>
        <a:lstStyle/>
        <a:p>
          <a:endParaRPr lang="en-AU"/>
        </a:p>
      </dgm:t>
    </dgm:pt>
    <dgm:pt modelId="{F19BCCFC-80A2-4AD4-BE70-89400DE4AC23}" type="pres">
      <dgm:prSet presAssocID="{4BC9100A-59DE-4D9B-ABB0-601976728E51}" presName="rootConnector" presStyleLbl="node2" presStyleIdx="2" presStyleCnt="3"/>
      <dgm:spPr/>
      <dgm:t>
        <a:bodyPr/>
        <a:lstStyle/>
        <a:p>
          <a:endParaRPr lang="en-AU"/>
        </a:p>
      </dgm:t>
    </dgm:pt>
    <dgm:pt modelId="{5F38203B-EDCD-4DB1-B1E7-0296013B2735}" type="pres">
      <dgm:prSet presAssocID="{4BC9100A-59DE-4D9B-ABB0-601976728E51}" presName="hierChild4" presStyleCnt="0"/>
      <dgm:spPr/>
    </dgm:pt>
    <dgm:pt modelId="{C28C0FB1-6C8A-4915-A350-FE2C7E392AC1}" type="pres">
      <dgm:prSet presAssocID="{4BC9100A-59DE-4D9B-ABB0-601976728E51}" presName="hierChild5" presStyleCnt="0"/>
      <dgm:spPr/>
    </dgm:pt>
    <dgm:pt modelId="{AD90BC8D-4C5F-4337-9217-E1261D72A025}" type="pres">
      <dgm:prSet presAssocID="{FB2C4938-A496-4AF7-B5FA-5CC2DDB99F65}" presName="hierChild3" presStyleCnt="0"/>
      <dgm:spPr/>
    </dgm:pt>
  </dgm:ptLst>
  <dgm:cxnLst>
    <dgm:cxn modelId="{BCE6D234-A5E8-46F6-8E30-C5E7D60F6D4A}" srcId="{FB2C4938-A496-4AF7-B5FA-5CC2DDB99F65}" destId="{09D14E22-A2C6-4142-B346-781C81612E7C}" srcOrd="1" destOrd="0" parTransId="{9C7C3C4A-F359-4A05-B3FC-00083F85D8D6}" sibTransId="{2032C37C-4E5D-4288-B3F6-BE8043EAF85A}"/>
    <dgm:cxn modelId="{F1145995-080C-4385-9974-2CA24C0AFB39}" type="presOf" srcId="{FB2C4938-A496-4AF7-B5FA-5CC2DDB99F65}" destId="{3B1382DE-E889-4638-ACF9-E243DD38AF39}" srcOrd="0" destOrd="0" presId="urn:microsoft.com/office/officeart/2005/8/layout/orgChart1"/>
    <dgm:cxn modelId="{83471CC2-0F90-401C-A19F-60E9E116978B}" type="presOf" srcId="{4BC9100A-59DE-4D9B-ABB0-601976728E51}" destId="{F19BCCFC-80A2-4AD4-BE70-89400DE4AC23}" srcOrd="1" destOrd="0" presId="urn:microsoft.com/office/officeart/2005/8/layout/orgChart1"/>
    <dgm:cxn modelId="{D5C95D97-C2B3-4135-B2FC-E61F951510B1}" type="presOf" srcId="{AA253F2E-D46A-4F46-B365-A37C130D4488}" destId="{BAA3C8B2-4565-450E-A38F-592937A876D9}" srcOrd="0" destOrd="0" presId="urn:microsoft.com/office/officeart/2005/8/layout/orgChart1"/>
    <dgm:cxn modelId="{0D2ACAE8-8C4A-43B6-9228-92F7826F6E52}" srcId="{FB2C4938-A496-4AF7-B5FA-5CC2DDB99F65}" destId="{4BC9100A-59DE-4D9B-ABB0-601976728E51}" srcOrd="2" destOrd="0" parTransId="{F1034687-4F11-4CC2-978E-6477E77F7A68}" sibTransId="{647CCB45-DEC8-4A7A-9C91-A9E59B59AEC3}"/>
    <dgm:cxn modelId="{B65DC8B5-2D97-4AA6-A8B3-996759232A6E}" type="presOf" srcId="{AA253F2E-D46A-4F46-B365-A37C130D4488}" destId="{0313A58C-E523-4B49-8802-481E92A5EC33}" srcOrd="1" destOrd="0" presId="urn:microsoft.com/office/officeart/2005/8/layout/orgChart1"/>
    <dgm:cxn modelId="{F2C25075-390D-4B61-8BC0-7C591DAAD796}" type="presOf" srcId="{9C7C3C4A-F359-4A05-B3FC-00083F85D8D6}" destId="{8B00EB80-2904-495E-B685-CA5CFE3563E0}" srcOrd="0" destOrd="0" presId="urn:microsoft.com/office/officeart/2005/8/layout/orgChart1"/>
    <dgm:cxn modelId="{AE84BB1D-2920-49A4-86D3-C3F210403B66}" type="presOf" srcId="{C017AA8F-5177-4574-AB79-0E6B6D0DB2F1}" destId="{44837603-83DD-415D-9553-E0CAEC5886AF}" srcOrd="0" destOrd="0" presId="urn:microsoft.com/office/officeart/2005/8/layout/orgChart1"/>
    <dgm:cxn modelId="{20AE6C87-B3AB-4845-A254-0DB77B438140}" type="presOf" srcId="{632572CC-1588-4F90-839C-2BD80B5F1BA4}" destId="{76789CFF-1D8C-4BE0-8614-2AADF7F28735}" srcOrd="0" destOrd="0" presId="urn:microsoft.com/office/officeart/2005/8/layout/orgChart1"/>
    <dgm:cxn modelId="{67942D30-CE61-4FA2-B82D-88CD0D44D6D0}" type="presOf" srcId="{09D14E22-A2C6-4142-B346-781C81612E7C}" destId="{68E68FF4-7F25-45AD-B5BD-A49CB588FA72}" srcOrd="1" destOrd="0" presId="urn:microsoft.com/office/officeart/2005/8/layout/orgChart1"/>
    <dgm:cxn modelId="{3542452F-94B8-43A2-A9E3-29BFF7A9A2CF}" type="presOf" srcId="{09D14E22-A2C6-4142-B346-781C81612E7C}" destId="{F243EABE-D588-4E87-9A2E-252D2456CB1B}" srcOrd="0" destOrd="0" presId="urn:microsoft.com/office/officeart/2005/8/layout/orgChart1"/>
    <dgm:cxn modelId="{ADC08702-62BB-4DFE-BB20-0BA30FE3E53A}" srcId="{AA253F2E-D46A-4F46-B365-A37C130D4488}" destId="{632572CC-1588-4F90-839C-2BD80B5F1BA4}" srcOrd="0" destOrd="0" parTransId="{C017AA8F-5177-4574-AB79-0E6B6D0DB2F1}" sibTransId="{A049BE2C-5666-4F4B-9D67-2590C3B1E303}"/>
    <dgm:cxn modelId="{CF4C1E46-6A4B-44EB-8D3F-C8B043019681}" type="presOf" srcId="{C89C434C-ACE8-4C86-B2E4-7CE7D6F202B9}" destId="{5E0A9DBF-E268-41CE-9C5E-6CA1C1F777BD}" srcOrd="1" destOrd="0" presId="urn:microsoft.com/office/officeart/2005/8/layout/orgChart1"/>
    <dgm:cxn modelId="{E9CABFAB-EDA6-4EFE-A18B-0EFF3C9BBE93}" type="presOf" srcId="{F1034687-4F11-4CC2-978E-6477E77F7A68}" destId="{11DB8665-44E2-4120-97F9-B6C60E52FE82}" srcOrd="0" destOrd="0" presId="urn:microsoft.com/office/officeart/2005/8/layout/orgChart1"/>
    <dgm:cxn modelId="{EDC0D1C3-344F-43E4-826D-953A65064785}" type="presOf" srcId="{632572CC-1588-4F90-839C-2BD80B5F1BA4}" destId="{C80B5A6B-20CE-4823-883A-E169959894F7}" srcOrd="1" destOrd="0" presId="urn:microsoft.com/office/officeart/2005/8/layout/orgChart1"/>
    <dgm:cxn modelId="{08545012-4D6F-4846-B722-C12FB444F71C}" type="presOf" srcId="{FB2C4938-A496-4AF7-B5FA-5CC2DDB99F65}" destId="{BD76D784-6BE0-4434-BDEE-395A4A328632}" srcOrd="1" destOrd="0" presId="urn:microsoft.com/office/officeart/2005/8/layout/orgChart1"/>
    <dgm:cxn modelId="{6384012F-C7C8-4313-AD65-3E9EFAA5536E}" type="presOf" srcId="{F688B168-257F-416E-A278-5DC1F311EA9B}" destId="{831D7E3E-4F2D-48FE-9992-41BCC6E189B7}" srcOrd="0" destOrd="0" presId="urn:microsoft.com/office/officeart/2005/8/layout/orgChart1"/>
    <dgm:cxn modelId="{8D2C77AF-A4DB-41AC-AA6E-EFC9A9DEFE32}" srcId="{813BAF06-1332-4437-A017-D8FDCEB88B6C}" destId="{FB2C4938-A496-4AF7-B5FA-5CC2DDB99F65}" srcOrd="0" destOrd="0" parTransId="{78D38113-8CC0-48C9-B5B3-82695A41EAC2}" sibTransId="{11A88ED9-1139-494B-A5D7-24C6A2975040}"/>
    <dgm:cxn modelId="{3C96BEA8-C245-449A-8F56-750BA65C3D0B}" type="presOf" srcId="{4BC9100A-59DE-4D9B-ABB0-601976728E51}" destId="{CE52E2CA-DBF0-4588-A20E-3A3D361D28EB}" srcOrd="0" destOrd="0" presId="urn:microsoft.com/office/officeart/2005/8/layout/orgChart1"/>
    <dgm:cxn modelId="{153C5B85-EED9-4BE4-80AD-CCCDC39224FF}" type="presOf" srcId="{3E52FE8A-1BF8-4CAE-972A-5298A12C958F}" destId="{26B0F6D2-0A6E-4090-8819-682E7D250175}" srcOrd="0" destOrd="0" presId="urn:microsoft.com/office/officeart/2005/8/layout/orgChart1"/>
    <dgm:cxn modelId="{3DAD66A8-9C38-4FD4-9DAF-10C9494D39B4}" type="presOf" srcId="{C89C434C-ACE8-4C86-B2E4-7CE7D6F202B9}" destId="{E3E98BC3-F486-4BFA-B746-9B65AF5C4D86}" srcOrd="0" destOrd="0" presId="urn:microsoft.com/office/officeart/2005/8/layout/orgChart1"/>
    <dgm:cxn modelId="{CFD646EC-E8D2-490F-977B-B81EE39FA06F}" type="presOf" srcId="{9731AA50-1676-4AA7-8636-17FF6EA36D0F}" destId="{2A94ED9F-4DDB-4DCB-8D0B-C02EC688499A}" srcOrd="1" destOrd="0" presId="urn:microsoft.com/office/officeart/2005/8/layout/orgChart1"/>
    <dgm:cxn modelId="{69D2E046-9DFA-4754-990D-833A072E367C}" type="presOf" srcId="{9731AA50-1676-4AA7-8636-17FF6EA36D0F}" destId="{2119C946-9979-49E0-8DC6-9EF4C4600985}" srcOrd="0" destOrd="0" presId="urn:microsoft.com/office/officeart/2005/8/layout/orgChart1"/>
    <dgm:cxn modelId="{57C0F3FC-B02F-4716-94E4-D169688D7240}" srcId="{AA253F2E-D46A-4F46-B365-A37C130D4488}" destId="{9731AA50-1676-4AA7-8636-17FF6EA36D0F}" srcOrd="2" destOrd="0" parTransId="{3E52FE8A-1BF8-4CAE-972A-5298A12C958F}" sibTransId="{0D51DA35-FB03-48B8-9D77-ADAD0F36039B}"/>
    <dgm:cxn modelId="{B12B7016-268B-4EA1-BD31-700F80DE403E}" srcId="{AA253F2E-D46A-4F46-B365-A37C130D4488}" destId="{C89C434C-ACE8-4C86-B2E4-7CE7D6F202B9}" srcOrd="1" destOrd="0" parTransId="{F688B168-257F-416E-A278-5DC1F311EA9B}" sibTransId="{0536111F-56E7-46C1-9F67-C79DDA67D478}"/>
    <dgm:cxn modelId="{FB73B97A-2474-467C-A016-C05D307F1984}" type="presOf" srcId="{09D01149-8D78-439B-87BF-38D8CA4AE0E6}" destId="{BD598231-C67D-4DC9-A3B0-AE265A09754E}" srcOrd="0" destOrd="0" presId="urn:microsoft.com/office/officeart/2005/8/layout/orgChart1"/>
    <dgm:cxn modelId="{77399C6A-A574-40A9-BB33-B6EDAA8B3385}" type="presOf" srcId="{813BAF06-1332-4437-A017-D8FDCEB88B6C}" destId="{CDEE0A1C-83CA-48F0-A0DD-308272C15F6D}" srcOrd="0" destOrd="0" presId="urn:microsoft.com/office/officeart/2005/8/layout/orgChart1"/>
    <dgm:cxn modelId="{3F567164-BA97-420F-9270-6B07E8A718CD}" srcId="{FB2C4938-A496-4AF7-B5FA-5CC2DDB99F65}" destId="{AA253F2E-D46A-4F46-B365-A37C130D4488}" srcOrd="0" destOrd="0" parTransId="{09D01149-8D78-439B-87BF-38D8CA4AE0E6}" sibTransId="{FE8CF657-C822-4BBF-B1DD-D1F2C5C34E05}"/>
    <dgm:cxn modelId="{CC961D2A-3434-451C-BFE8-B9F715DF63D7}" type="presParOf" srcId="{CDEE0A1C-83CA-48F0-A0DD-308272C15F6D}" destId="{24CECED1-38F5-416B-A021-8AD726282F01}" srcOrd="0" destOrd="0" presId="urn:microsoft.com/office/officeart/2005/8/layout/orgChart1"/>
    <dgm:cxn modelId="{A48888E6-20DB-43D9-BD72-0EC6D595F3E2}" type="presParOf" srcId="{24CECED1-38F5-416B-A021-8AD726282F01}" destId="{934E6631-3524-4145-A93B-1BDDA23DCA72}" srcOrd="0" destOrd="0" presId="urn:microsoft.com/office/officeart/2005/8/layout/orgChart1"/>
    <dgm:cxn modelId="{FE7390C5-EF9F-4C52-A066-FF1FF9E70B15}" type="presParOf" srcId="{934E6631-3524-4145-A93B-1BDDA23DCA72}" destId="{3B1382DE-E889-4638-ACF9-E243DD38AF39}" srcOrd="0" destOrd="0" presId="urn:microsoft.com/office/officeart/2005/8/layout/orgChart1"/>
    <dgm:cxn modelId="{7DDCE640-5BD8-4BC0-9CF7-7537CA199FF4}" type="presParOf" srcId="{934E6631-3524-4145-A93B-1BDDA23DCA72}" destId="{BD76D784-6BE0-4434-BDEE-395A4A328632}" srcOrd="1" destOrd="0" presId="urn:microsoft.com/office/officeart/2005/8/layout/orgChart1"/>
    <dgm:cxn modelId="{58EBF1EC-9926-46E8-99A4-EC70088673FB}" type="presParOf" srcId="{24CECED1-38F5-416B-A021-8AD726282F01}" destId="{62FB20D2-AF6B-4D40-BCC1-6123FD1F27A9}" srcOrd="1" destOrd="0" presId="urn:microsoft.com/office/officeart/2005/8/layout/orgChart1"/>
    <dgm:cxn modelId="{40CE947A-095F-4986-8745-3E4F5C4ABB0F}" type="presParOf" srcId="{62FB20D2-AF6B-4D40-BCC1-6123FD1F27A9}" destId="{BD598231-C67D-4DC9-A3B0-AE265A09754E}" srcOrd="0" destOrd="0" presId="urn:microsoft.com/office/officeart/2005/8/layout/orgChart1"/>
    <dgm:cxn modelId="{A70F5D7A-804B-4EB6-8536-DB17A9F05BC7}" type="presParOf" srcId="{62FB20D2-AF6B-4D40-BCC1-6123FD1F27A9}" destId="{67B9B191-AF2B-4E6A-B09C-F3191824895F}" srcOrd="1" destOrd="0" presId="urn:microsoft.com/office/officeart/2005/8/layout/orgChart1"/>
    <dgm:cxn modelId="{0CDB63A8-1CC2-4AEF-B519-B31D825CE74A}" type="presParOf" srcId="{67B9B191-AF2B-4E6A-B09C-F3191824895F}" destId="{3255712F-6F2C-4344-8B4D-4BA7C1FD378F}" srcOrd="0" destOrd="0" presId="urn:microsoft.com/office/officeart/2005/8/layout/orgChart1"/>
    <dgm:cxn modelId="{82B5EB0F-D6FE-4150-8B37-6468383DFB52}" type="presParOf" srcId="{3255712F-6F2C-4344-8B4D-4BA7C1FD378F}" destId="{BAA3C8B2-4565-450E-A38F-592937A876D9}" srcOrd="0" destOrd="0" presId="urn:microsoft.com/office/officeart/2005/8/layout/orgChart1"/>
    <dgm:cxn modelId="{D4BA1E87-52D7-4FFC-8F4F-CCC6546CC247}" type="presParOf" srcId="{3255712F-6F2C-4344-8B4D-4BA7C1FD378F}" destId="{0313A58C-E523-4B49-8802-481E92A5EC33}" srcOrd="1" destOrd="0" presId="urn:microsoft.com/office/officeart/2005/8/layout/orgChart1"/>
    <dgm:cxn modelId="{A314C413-FC35-4B1C-8BE5-C4A9D9C62607}" type="presParOf" srcId="{67B9B191-AF2B-4E6A-B09C-F3191824895F}" destId="{92339548-EC9F-42EC-AF7C-EB6AE439D609}" srcOrd="1" destOrd="0" presId="urn:microsoft.com/office/officeart/2005/8/layout/orgChart1"/>
    <dgm:cxn modelId="{D988B596-BAC1-4DAA-B8D1-F18DC233C73B}" type="presParOf" srcId="{92339548-EC9F-42EC-AF7C-EB6AE439D609}" destId="{44837603-83DD-415D-9553-E0CAEC5886AF}" srcOrd="0" destOrd="0" presId="urn:microsoft.com/office/officeart/2005/8/layout/orgChart1"/>
    <dgm:cxn modelId="{F33C7569-A78A-4C11-964D-FFB8F4B68E43}" type="presParOf" srcId="{92339548-EC9F-42EC-AF7C-EB6AE439D609}" destId="{D5EF56F3-8A7C-4482-AB47-0CBCCF6B52BD}" srcOrd="1" destOrd="0" presId="urn:microsoft.com/office/officeart/2005/8/layout/orgChart1"/>
    <dgm:cxn modelId="{6514DA98-5612-4F6D-8614-D3A3F3DF42A3}" type="presParOf" srcId="{D5EF56F3-8A7C-4482-AB47-0CBCCF6B52BD}" destId="{3FEB9F36-4833-4A74-980B-9554ECCE5B90}" srcOrd="0" destOrd="0" presId="urn:microsoft.com/office/officeart/2005/8/layout/orgChart1"/>
    <dgm:cxn modelId="{DBB59812-1E5E-4DDD-BE49-B6F5CEB4E8FC}" type="presParOf" srcId="{3FEB9F36-4833-4A74-980B-9554ECCE5B90}" destId="{76789CFF-1D8C-4BE0-8614-2AADF7F28735}" srcOrd="0" destOrd="0" presId="urn:microsoft.com/office/officeart/2005/8/layout/orgChart1"/>
    <dgm:cxn modelId="{4ED65D8A-ED56-45AD-946B-00DDBBBCFED4}" type="presParOf" srcId="{3FEB9F36-4833-4A74-980B-9554ECCE5B90}" destId="{C80B5A6B-20CE-4823-883A-E169959894F7}" srcOrd="1" destOrd="0" presId="urn:microsoft.com/office/officeart/2005/8/layout/orgChart1"/>
    <dgm:cxn modelId="{40900207-250E-4E26-82D1-A8DA1A7B7DA8}" type="presParOf" srcId="{D5EF56F3-8A7C-4482-AB47-0CBCCF6B52BD}" destId="{39BBC4FA-6713-4AD9-ADA6-575A56BF5139}" srcOrd="1" destOrd="0" presId="urn:microsoft.com/office/officeart/2005/8/layout/orgChart1"/>
    <dgm:cxn modelId="{B9E2E30F-C1E2-492E-BE6A-FE7911E834DD}" type="presParOf" srcId="{D5EF56F3-8A7C-4482-AB47-0CBCCF6B52BD}" destId="{25E9DD9D-F5C6-4343-8F5B-983A871B7506}" srcOrd="2" destOrd="0" presId="urn:microsoft.com/office/officeart/2005/8/layout/orgChart1"/>
    <dgm:cxn modelId="{B60436EA-500A-40DA-BCBB-C22DB63B8951}" type="presParOf" srcId="{92339548-EC9F-42EC-AF7C-EB6AE439D609}" destId="{831D7E3E-4F2D-48FE-9992-41BCC6E189B7}" srcOrd="2" destOrd="0" presId="urn:microsoft.com/office/officeart/2005/8/layout/orgChart1"/>
    <dgm:cxn modelId="{1AF3849A-2731-4618-BA9B-320B9E81E813}" type="presParOf" srcId="{92339548-EC9F-42EC-AF7C-EB6AE439D609}" destId="{2B3586CD-43AB-4837-B9D1-7B67EB98B8AE}" srcOrd="3" destOrd="0" presId="urn:microsoft.com/office/officeart/2005/8/layout/orgChart1"/>
    <dgm:cxn modelId="{25F8D580-F8E8-464C-93BF-A9A749570941}" type="presParOf" srcId="{2B3586CD-43AB-4837-B9D1-7B67EB98B8AE}" destId="{E8CC963A-E11B-4A9B-B1EF-15F7A9130449}" srcOrd="0" destOrd="0" presId="urn:microsoft.com/office/officeart/2005/8/layout/orgChart1"/>
    <dgm:cxn modelId="{95F12AA1-FD8F-4064-9757-238ED5A136D3}" type="presParOf" srcId="{E8CC963A-E11B-4A9B-B1EF-15F7A9130449}" destId="{E3E98BC3-F486-4BFA-B746-9B65AF5C4D86}" srcOrd="0" destOrd="0" presId="urn:microsoft.com/office/officeart/2005/8/layout/orgChart1"/>
    <dgm:cxn modelId="{7AAC2D1C-176B-4522-BEF3-BB47A101C858}" type="presParOf" srcId="{E8CC963A-E11B-4A9B-B1EF-15F7A9130449}" destId="{5E0A9DBF-E268-41CE-9C5E-6CA1C1F777BD}" srcOrd="1" destOrd="0" presId="urn:microsoft.com/office/officeart/2005/8/layout/orgChart1"/>
    <dgm:cxn modelId="{CE459795-C93C-45D5-AFA5-6CD4CDFB64F7}" type="presParOf" srcId="{2B3586CD-43AB-4837-B9D1-7B67EB98B8AE}" destId="{F21BA937-02EC-4958-83B3-794303D2326A}" srcOrd="1" destOrd="0" presId="urn:microsoft.com/office/officeart/2005/8/layout/orgChart1"/>
    <dgm:cxn modelId="{5CD6AC3F-F13B-41FE-8916-C0E37FFF33C9}" type="presParOf" srcId="{2B3586CD-43AB-4837-B9D1-7B67EB98B8AE}" destId="{77AFA698-D70F-4EB5-8034-D910825D0608}" srcOrd="2" destOrd="0" presId="urn:microsoft.com/office/officeart/2005/8/layout/orgChart1"/>
    <dgm:cxn modelId="{27A4E464-1FB4-4AEF-9418-DB605AC49C92}" type="presParOf" srcId="{92339548-EC9F-42EC-AF7C-EB6AE439D609}" destId="{26B0F6D2-0A6E-4090-8819-682E7D250175}" srcOrd="4" destOrd="0" presId="urn:microsoft.com/office/officeart/2005/8/layout/orgChart1"/>
    <dgm:cxn modelId="{271545BE-F391-4CD1-B644-EC9D76103903}" type="presParOf" srcId="{92339548-EC9F-42EC-AF7C-EB6AE439D609}" destId="{64CA2FC2-10BE-4895-A119-B29C940C6DE4}" srcOrd="5" destOrd="0" presId="urn:microsoft.com/office/officeart/2005/8/layout/orgChart1"/>
    <dgm:cxn modelId="{D99F25EF-290C-47DB-B082-56A0C795FFAF}" type="presParOf" srcId="{64CA2FC2-10BE-4895-A119-B29C940C6DE4}" destId="{1D69C6C6-E72A-4DBB-88F3-75CFB04D2F12}" srcOrd="0" destOrd="0" presId="urn:microsoft.com/office/officeart/2005/8/layout/orgChart1"/>
    <dgm:cxn modelId="{EEBF1603-47C2-4362-A5F8-57EB722FF591}" type="presParOf" srcId="{1D69C6C6-E72A-4DBB-88F3-75CFB04D2F12}" destId="{2119C946-9979-49E0-8DC6-9EF4C4600985}" srcOrd="0" destOrd="0" presId="urn:microsoft.com/office/officeart/2005/8/layout/orgChart1"/>
    <dgm:cxn modelId="{8699B001-609B-4889-8DE2-8B9CF036D54E}" type="presParOf" srcId="{1D69C6C6-E72A-4DBB-88F3-75CFB04D2F12}" destId="{2A94ED9F-4DDB-4DCB-8D0B-C02EC688499A}" srcOrd="1" destOrd="0" presId="urn:microsoft.com/office/officeart/2005/8/layout/orgChart1"/>
    <dgm:cxn modelId="{34EF2093-636B-49D6-A169-F8D74A622A56}" type="presParOf" srcId="{64CA2FC2-10BE-4895-A119-B29C940C6DE4}" destId="{BED93993-8575-4582-B1AD-AF3D4F8111FC}" srcOrd="1" destOrd="0" presId="urn:microsoft.com/office/officeart/2005/8/layout/orgChart1"/>
    <dgm:cxn modelId="{8AA78ABF-2A61-4027-AC77-16AABF436F35}" type="presParOf" srcId="{64CA2FC2-10BE-4895-A119-B29C940C6DE4}" destId="{345944C9-2D83-46B5-8DF7-A4FC5E50CA53}" srcOrd="2" destOrd="0" presId="urn:microsoft.com/office/officeart/2005/8/layout/orgChart1"/>
    <dgm:cxn modelId="{ECCCE18B-93EB-4D96-91D6-2E7EC8910E2D}" type="presParOf" srcId="{67B9B191-AF2B-4E6A-B09C-F3191824895F}" destId="{1596D294-7FA1-451A-9205-105C85155EEF}" srcOrd="2" destOrd="0" presId="urn:microsoft.com/office/officeart/2005/8/layout/orgChart1"/>
    <dgm:cxn modelId="{DC7FED93-D8CE-4E8A-96B9-EBA2F8E5B66F}" type="presParOf" srcId="{62FB20D2-AF6B-4D40-BCC1-6123FD1F27A9}" destId="{8B00EB80-2904-495E-B685-CA5CFE3563E0}" srcOrd="2" destOrd="0" presId="urn:microsoft.com/office/officeart/2005/8/layout/orgChart1"/>
    <dgm:cxn modelId="{C41E19C2-DBAD-423E-B499-077A02AF26F1}" type="presParOf" srcId="{62FB20D2-AF6B-4D40-BCC1-6123FD1F27A9}" destId="{5DF15BFC-B3F7-45F5-A8B4-EE629AE42168}" srcOrd="3" destOrd="0" presId="urn:microsoft.com/office/officeart/2005/8/layout/orgChart1"/>
    <dgm:cxn modelId="{0080263B-9FB6-47DE-B907-353AB326D9D9}" type="presParOf" srcId="{5DF15BFC-B3F7-45F5-A8B4-EE629AE42168}" destId="{CAB7111A-4788-4251-B9D1-6AC24BA73B8F}" srcOrd="0" destOrd="0" presId="urn:microsoft.com/office/officeart/2005/8/layout/orgChart1"/>
    <dgm:cxn modelId="{D3204782-CD51-4B43-814A-3FCDD171FA0D}" type="presParOf" srcId="{CAB7111A-4788-4251-B9D1-6AC24BA73B8F}" destId="{F243EABE-D588-4E87-9A2E-252D2456CB1B}" srcOrd="0" destOrd="0" presId="urn:microsoft.com/office/officeart/2005/8/layout/orgChart1"/>
    <dgm:cxn modelId="{FB295485-836E-47DD-8CB1-6D22BDE4583B}" type="presParOf" srcId="{CAB7111A-4788-4251-B9D1-6AC24BA73B8F}" destId="{68E68FF4-7F25-45AD-B5BD-A49CB588FA72}" srcOrd="1" destOrd="0" presId="urn:microsoft.com/office/officeart/2005/8/layout/orgChart1"/>
    <dgm:cxn modelId="{8FD13142-D846-42A9-AC6A-6AB5DA820F74}" type="presParOf" srcId="{5DF15BFC-B3F7-45F5-A8B4-EE629AE42168}" destId="{88A0F61C-7D9E-4BE1-8CC6-1B62D0A6523A}" srcOrd="1" destOrd="0" presId="urn:microsoft.com/office/officeart/2005/8/layout/orgChart1"/>
    <dgm:cxn modelId="{29BF6309-D689-46B4-A93E-AD71EBF9C9A7}" type="presParOf" srcId="{5DF15BFC-B3F7-45F5-A8B4-EE629AE42168}" destId="{B70B9F61-22FF-4D21-B128-543094BB5D3F}" srcOrd="2" destOrd="0" presId="urn:microsoft.com/office/officeart/2005/8/layout/orgChart1"/>
    <dgm:cxn modelId="{D8D4CA11-F8C1-4EC5-BE72-050100A3A8DE}" type="presParOf" srcId="{62FB20D2-AF6B-4D40-BCC1-6123FD1F27A9}" destId="{11DB8665-44E2-4120-97F9-B6C60E52FE82}" srcOrd="4" destOrd="0" presId="urn:microsoft.com/office/officeart/2005/8/layout/orgChart1"/>
    <dgm:cxn modelId="{73775576-7E02-44AF-8607-C72B3CDC809D}" type="presParOf" srcId="{62FB20D2-AF6B-4D40-BCC1-6123FD1F27A9}" destId="{D47B5994-51C5-4DB9-9F4A-47961430286C}" srcOrd="5" destOrd="0" presId="urn:microsoft.com/office/officeart/2005/8/layout/orgChart1"/>
    <dgm:cxn modelId="{7FAB526A-ADC1-4362-8E86-59DCAD5AF210}" type="presParOf" srcId="{D47B5994-51C5-4DB9-9F4A-47961430286C}" destId="{3D496A31-ACBD-4D01-BD44-035A73EB09F6}" srcOrd="0" destOrd="0" presId="urn:microsoft.com/office/officeart/2005/8/layout/orgChart1"/>
    <dgm:cxn modelId="{7A9D16F7-7E87-4D56-87B7-E492B7107F35}" type="presParOf" srcId="{3D496A31-ACBD-4D01-BD44-035A73EB09F6}" destId="{CE52E2CA-DBF0-4588-A20E-3A3D361D28EB}" srcOrd="0" destOrd="0" presId="urn:microsoft.com/office/officeart/2005/8/layout/orgChart1"/>
    <dgm:cxn modelId="{66A943D4-B554-4DF1-B32A-89BC87A11FF1}" type="presParOf" srcId="{3D496A31-ACBD-4D01-BD44-035A73EB09F6}" destId="{F19BCCFC-80A2-4AD4-BE70-89400DE4AC23}" srcOrd="1" destOrd="0" presId="urn:microsoft.com/office/officeart/2005/8/layout/orgChart1"/>
    <dgm:cxn modelId="{D8F4DB52-1CB0-40C9-8391-294CEB890EB1}" type="presParOf" srcId="{D47B5994-51C5-4DB9-9F4A-47961430286C}" destId="{5F38203B-EDCD-4DB1-B1E7-0296013B2735}" srcOrd="1" destOrd="0" presId="urn:microsoft.com/office/officeart/2005/8/layout/orgChart1"/>
    <dgm:cxn modelId="{BBFE900C-1934-4C58-B976-685E4A5E62E5}" type="presParOf" srcId="{D47B5994-51C5-4DB9-9F4A-47961430286C}" destId="{C28C0FB1-6C8A-4915-A350-FE2C7E392AC1}" srcOrd="2" destOrd="0" presId="urn:microsoft.com/office/officeart/2005/8/layout/orgChart1"/>
    <dgm:cxn modelId="{C1BED955-F50C-40B5-BD76-48CC7C8A770B}" type="presParOf" srcId="{24CECED1-38F5-416B-A021-8AD726282F01}" destId="{AD90BC8D-4C5F-4337-9217-E1261D72A025}" srcOrd="2" destOrd="0" presId="urn:microsoft.com/office/officeart/2005/8/layout/orgChart1"/>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DB8665-44E2-4120-97F9-B6C60E52FE82}">
      <dsp:nvSpPr>
        <dsp:cNvPr id="0" name=""/>
        <dsp:cNvSpPr/>
      </dsp:nvSpPr>
      <dsp:spPr>
        <a:xfrm>
          <a:off x="1464945" y="304995"/>
          <a:ext cx="1006497" cy="115852"/>
        </a:xfrm>
        <a:custGeom>
          <a:avLst/>
          <a:gdLst/>
          <a:ahLst/>
          <a:cxnLst/>
          <a:rect l="0" t="0" r="0" b="0"/>
          <a:pathLst>
            <a:path>
              <a:moveTo>
                <a:pt x="0" y="0"/>
              </a:moveTo>
              <a:lnTo>
                <a:pt x="0" y="57926"/>
              </a:lnTo>
              <a:lnTo>
                <a:pt x="1006497" y="57926"/>
              </a:lnTo>
              <a:lnTo>
                <a:pt x="1006497" y="115852"/>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8B00EB80-2904-495E-B685-CA5CFE3563E0}">
      <dsp:nvSpPr>
        <dsp:cNvPr id="0" name=""/>
        <dsp:cNvSpPr/>
      </dsp:nvSpPr>
      <dsp:spPr>
        <a:xfrm>
          <a:off x="1419224" y="304995"/>
          <a:ext cx="91440" cy="116197"/>
        </a:xfrm>
        <a:custGeom>
          <a:avLst/>
          <a:gdLst/>
          <a:ahLst/>
          <a:cxnLst/>
          <a:rect l="0" t="0" r="0" b="0"/>
          <a:pathLst>
            <a:path>
              <a:moveTo>
                <a:pt x="45720" y="0"/>
              </a:moveTo>
              <a:lnTo>
                <a:pt x="45720" y="58271"/>
              </a:lnTo>
              <a:lnTo>
                <a:pt x="46657" y="58271"/>
              </a:lnTo>
              <a:lnTo>
                <a:pt x="46657" y="116197"/>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26B0F6D2-0A6E-4090-8819-682E7D250175}">
      <dsp:nvSpPr>
        <dsp:cNvPr id="0" name=""/>
        <dsp:cNvSpPr/>
      </dsp:nvSpPr>
      <dsp:spPr>
        <a:xfrm>
          <a:off x="90872" y="696687"/>
          <a:ext cx="114139" cy="770029"/>
        </a:xfrm>
        <a:custGeom>
          <a:avLst/>
          <a:gdLst/>
          <a:ahLst/>
          <a:cxnLst/>
          <a:rect l="0" t="0" r="0" b="0"/>
          <a:pathLst>
            <a:path>
              <a:moveTo>
                <a:pt x="0" y="0"/>
              </a:moveTo>
              <a:lnTo>
                <a:pt x="0" y="770029"/>
              </a:lnTo>
              <a:lnTo>
                <a:pt x="114139" y="770029"/>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831D7E3E-4F2D-48FE-9992-41BCC6E189B7}">
      <dsp:nvSpPr>
        <dsp:cNvPr id="0" name=""/>
        <dsp:cNvSpPr/>
      </dsp:nvSpPr>
      <dsp:spPr>
        <a:xfrm>
          <a:off x="90872" y="696687"/>
          <a:ext cx="116516" cy="478425"/>
        </a:xfrm>
        <a:custGeom>
          <a:avLst/>
          <a:gdLst/>
          <a:ahLst/>
          <a:cxnLst/>
          <a:rect l="0" t="0" r="0" b="0"/>
          <a:pathLst>
            <a:path>
              <a:moveTo>
                <a:pt x="0" y="0"/>
              </a:moveTo>
              <a:lnTo>
                <a:pt x="0" y="478425"/>
              </a:lnTo>
              <a:lnTo>
                <a:pt x="116516" y="478425"/>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44837603-83DD-415D-9553-E0CAEC5886AF}">
      <dsp:nvSpPr>
        <dsp:cNvPr id="0" name=""/>
        <dsp:cNvSpPr/>
      </dsp:nvSpPr>
      <dsp:spPr>
        <a:xfrm>
          <a:off x="90872" y="696687"/>
          <a:ext cx="110878" cy="186821"/>
        </a:xfrm>
        <a:custGeom>
          <a:avLst/>
          <a:gdLst/>
          <a:ahLst/>
          <a:cxnLst/>
          <a:rect l="0" t="0" r="0" b="0"/>
          <a:pathLst>
            <a:path>
              <a:moveTo>
                <a:pt x="0" y="0"/>
              </a:moveTo>
              <a:lnTo>
                <a:pt x="0" y="186821"/>
              </a:lnTo>
              <a:lnTo>
                <a:pt x="110878" y="186821"/>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BD598231-C67D-4DC9-A3B0-AE265A09754E}">
      <dsp:nvSpPr>
        <dsp:cNvPr id="0" name=""/>
        <dsp:cNvSpPr/>
      </dsp:nvSpPr>
      <dsp:spPr>
        <a:xfrm>
          <a:off x="446674" y="304995"/>
          <a:ext cx="1018270" cy="115852"/>
        </a:xfrm>
        <a:custGeom>
          <a:avLst/>
          <a:gdLst/>
          <a:ahLst/>
          <a:cxnLst/>
          <a:rect l="0" t="0" r="0" b="0"/>
          <a:pathLst>
            <a:path>
              <a:moveTo>
                <a:pt x="1018270" y="0"/>
              </a:moveTo>
              <a:lnTo>
                <a:pt x="1018270" y="57926"/>
              </a:lnTo>
              <a:lnTo>
                <a:pt x="0" y="57926"/>
              </a:lnTo>
              <a:lnTo>
                <a:pt x="0" y="115852"/>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3B1382DE-E889-4638-ACF9-E243DD38AF39}">
      <dsp:nvSpPr>
        <dsp:cNvPr id="0" name=""/>
        <dsp:cNvSpPr/>
      </dsp:nvSpPr>
      <dsp:spPr>
        <a:xfrm>
          <a:off x="1014245" y="29156"/>
          <a:ext cx="901399"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i="0" kern="1200">
              <a:latin typeface="+mj-lt"/>
            </a:rPr>
            <a:t>Financial risks</a:t>
          </a:r>
        </a:p>
      </dsp:txBody>
      <dsp:txXfrm>
        <a:off x="1014245" y="29156"/>
        <a:ext cx="901399" cy="275839"/>
      </dsp:txXfrm>
    </dsp:sp>
    <dsp:sp modelId="{BAA3C8B2-4565-450E-A38F-592937A876D9}">
      <dsp:nvSpPr>
        <dsp:cNvPr id="0" name=""/>
        <dsp:cNvSpPr/>
      </dsp:nvSpPr>
      <dsp:spPr>
        <a:xfrm>
          <a:off x="1922" y="420848"/>
          <a:ext cx="889505"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i="0" kern="1200">
              <a:latin typeface="+mj-lt"/>
            </a:rPr>
            <a:t>Market risk</a:t>
          </a:r>
        </a:p>
      </dsp:txBody>
      <dsp:txXfrm>
        <a:off x="1922" y="420848"/>
        <a:ext cx="889505" cy="275839"/>
      </dsp:txXfrm>
    </dsp:sp>
    <dsp:sp modelId="{76789CFF-1D8C-4BE0-8614-2AADF7F28735}">
      <dsp:nvSpPr>
        <dsp:cNvPr id="0" name=""/>
        <dsp:cNvSpPr/>
      </dsp:nvSpPr>
      <dsp:spPr>
        <a:xfrm>
          <a:off x="201751" y="744910"/>
          <a:ext cx="1314000" cy="27719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i="0" kern="1200">
              <a:latin typeface="+mj-lt"/>
            </a:rPr>
            <a:t>Interest rate risk</a:t>
          </a:r>
        </a:p>
      </dsp:txBody>
      <dsp:txXfrm>
        <a:off x="201751" y="744910"/>
        <a:ext cx="1314000" cy="277199"/>
      </dsp:txXfrm>
    </dsp:sp>
    <dsp:sp modelId="{E3E98BC3-F486-4BFA-B746-9B65AF5C4D86}">
      <dsp:nvSpPr>
        <dsp:cNvPr id="0" name=""/>
        <dsp:cNvSpPr/>
      </dsp:nvSpPr>
      <dsp:spPr>
        <a:xfrm>
          <a:off x="207389" y="1036513"/>
          <a:ext cx="1314000" cy="27719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i="0" kern="1200">
              <a:latin typeface="+mj-lt"/>
            </a:rPr>
            <a:t>Foreign currency risk</a:t>
          </a:r>
        </a:p>
      </dsp:txBody>
      <dsp:txXfrm>
        <a:off x="207389" y="1036513"/>
        <a:ext cx="1314000" cy="277199"/>
      </dsp:txXfrm>
    </dsp:sp>
    <dsp:sp modelId="{2119C946-9979-49E0-8DC6-9EF4C4600985}">
      <dsp:nvSpPr>
        <dsp:cNvPr id="0" name=""/>
        <dsp:cNvSpPr/>
      </dsp:nvSpPr>
      <dsp:spPr>
        <a:xfrm>
          <a:off x="205011" y="1328117"/>
          <a:ext cx="1314000" cy="27719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i="0" kern="1200">
              <a:latin typeface="+mj-lt"/>
            </a:rPr>
            <a:t>Equity price risk</a:t>
          </a:r>
        </a:p>
      </dsp:txBody>
      <dsp:txXfrm>
        <a:off x="205011" y="1328117"/>
        <a:ext cx="1314000" cy="277199"/>
      </dsp:txXfrm>
    </dsp:sp>
    <dsp:sp modelId="{F243EABE-D588-4E87-9A2E-252D2456CB1B}">
      <dsp:nvSpPr>
        <dsp:cNvPr id="0" name=""/>
        <dsp:cNvSpPr/>
      </dsp:nvSpPr>
      <dsp:spPr>
        <a:xfrm>
          <a:off x="1019990" y="421193"/>
          <a:ext cx="891783"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i="0" kern="1200">
              <a:latin typeface="+mj-lt"/>
            </a:rPr>
            <a:t>Credit risk</a:t>
          </a:r>
        </a:p>
      </dsp:txBody>
      <dsp:txXfrm>
        <a:off x="1019990" y="421193"/>
        <a:ext cx="891783" cy="275839"/>
      </dsp:txXfrm>
    </dsp:sp>
    <dsp:sp modelId="{CE52E2CA-DBF0-4588-A20E-3A3D361D28EB}">
      <dsp:nvSpPr>
        <dsp:cNvPr id="0" name=""/>
        <dsp:cNvSpPr/>
      </dsp:nvSpPr>
      <dsp:spPr>
        <a:xfrm>
          <a:off x="2014916" y="420848"/>
          <a:ext cx="913051"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i="0" kern="1200">
              <a:latin typeface="+mj-lt"/>
            </a:rPr>
            <a:t>Liquidity risk</a:t>
          </a:r>
        </a:p>
      </dsp:txBody>
      <dsp:txXfrm>
        <a:off x="2014916" y="420848"/>
        <a:ext cx="913051" cy="2758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DTF publications">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175</Pages>
  <Words>61958</Words>
  <Characters>353161</Characters>
  <Application>Microsoft Office Word</Application>
  <DocSecurity>0</DocSecurity>
  <Lines>2943</Lines>
  <Paragraphs>828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414291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2017-09-19T06:31:00Z</dcterms:created>
  <dcterms:modified xsi:type="dcterms:W3CDTF">2017-09-19T06:32:00Z</dcterms:modified>
</cp:coreProperties>
</file>