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FE" w:rsidRPr="007B4060" w:rsidRDefault="006836FE" w:rsidP="006836FE">
      <w:pPr>
        <w:spacing w:before="2400"/>
        <w:jc w:val="center"/>
        <w:rPr>
          <w:rFonts w:ascii="Calibri" w:hAnsi="Calibri"/>
          <w:b/>
          <w:sz w:val="56"/>
          <w:szCs w:val="48"/>
        </w:rPr>
      </w:pPr>
      <w:r>
        <w:rPr>
          <w:rFonts w:ascii="Calibri" w:hAnsi="Calibri"/>
          <w:b/>
          <w:sz w:val="56"/>
          <w:szCs w:val="48"/>
        </w:rPr>
        <w:t xml:space="preserve">Quarterly </w:t>
      </w:r>
      <w:r w:rsidRPr="007B4060">
        <w:rPr>
          <w:rFonts w:ascii="Calibri" w:hAnsi="Calibri"/>
          <w:b/>
          <w:sz w:val="56"/>
          <w:szCs w:val="48"/>
        </w:rPr>
        <w:t>Financial Report</w:t>
      </w:r>
      <w:r>
        <w:rPr>
          <w:rFonts w:ascii="Calibri" w:hAnsi="Calibri"/>
          <w:b/>
          <w:sz w:val="56"/>
          <w:szCs w:val="48"/>
        </w:rPr>
        <w:t xml:space="preserve"> No. 1</w:t>
      </w:r>
    </w:p>
    <w:p w:rsidR="006836FE" w:rsidRPr="003A0092" w:rsidRDefault="00955520" w:rsidP="006836FE">
      <w:pPr>
        <w:pBdr>
          <w:bottom w:val="single" w:sz="12" w:space="1" w:color="auto"/>
        </w:pBdr>
        <w:jc w:val="center"/>
        <w:rPr>
          <w:rFonts w:ascii="Calibri" w:hAnsi="Calibri"/>
          <w:b/>
          <w:sz w:val="40"/>
          <w:szCs w:val="40"/>
        </w:rPr>
      </w:pPr>
      <w:r>
        <w:rPr>
          <w:rFonts w:ascii="Calibri" w:hAnsi="Calibri"/>
          <w:b/>
          <w:sz w:val="40"/>
          <w:szCs w:val="40"/>
        </w:rPr>
        <w:t>September 2017</w:t>
      </w:r>
    </w:p>
    <w:p w:rsidR="006836FE" w:rsidRPr="003A0092" w:rsidRDefault="006836FE" w:rsidP="006836FE">
      <w:pPr>
        <w:jc w:val="center"/>
        <w:rPr>
          <w:rFonts w:ascii="Calibri" w:hAnsi="Calibri"/>
          <w:b/>
          <w:sz w:val="56"/>
          <w:szCs w:val="48"/>
        </w:rPr>
      </w:pPr>
    </w:p>
    <w:p w:rsidR="006836FE" w:rsidRPr="007B4060" w:rsidRDefault="006836FE" w:rsidP="006836FE">
      <w:pPr>
        <w:jc w:val="center"/>
        <w:rPr>
          <w:rFonts w:ascii="Calibri" w:hAnsi="Calibri"/>
          <w:b/>
          <w:szCs w:val="24"/>
        </w:rPr>
      </w:pPr>
    </w:p>
    <w:p w:rsidR="006836FE" w:rsidRPr="007B4060" w:rsidRDefault="006836FE" w:rsidP="006836FE">
      <w:pPr>
        <w:jc w:val="center"/>
        <w:rPr>
          <w:rFonts w:ascii="Calibri" w:hAnsi="Calibri"/>
          <w:szCs w:val="24"/>
        </w:rPr>
      </w:pPr>
      <w:r>
        <w:rPr>
          <w:noProof/>
          <w:lang w:eastAsia="en-AU"/>
        </w:rPr>
        <w:drawing>
          <wp:inline distT="0" distB="0" distL="0" distR="0" wp14:anchorId="35C659BE" wp14:editId="156D9BA7">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6836FE" w:rsidRPr="007B4060" w:rsidRDefault="006836FE" w:rsidP="006836FE">
      <w:pPr>
        <w:jc w:val="center"/>
        <w:rPr>
          <w:rFonts w:ascii="Calibri" w:hAnsi="Calibri"/>
        </w:rPr>
      </w:pPr>
    </w:p>
    <w:p w:rsidR="006836FE" w:rsidRPr="007B4060" w:rsidRDefault="006836FE" w:rsidP="006836FE">
      <w:pPr>
        <w:jc w:val="center"/>
        <w:rPr>
          <w:rFonts w:ascii="Calibri" w:hAnsi="Calibri"/>
        </w:rPr>
      </w:pPr>
    </w:p>
    <w:p w:rsidR="006836FE" w:rsidRPr="007B4060" w:rsidRDefault="006836FE" w:rsidP="006836FE">
      <w:pPr>
        <w:jc w:val="center"/>
        <w:rPr>
          <w:rFonts w:ascii="Calibri" w:hAnsi="Calibri"/>
        </w:rPr>
      </w:pPr>
    </w:p>
    <w:p w:rsidR="006836FE" w:rsidRPr="007B4060" w:rsidRDefault="006836FE" w:rsidP="006836FE">
      <w:pPr>
        <w:jc w:val="center"/>
        <w:rPr>
          <w:rFonts w:ascii="Calibri" w:hAnsi="Calibri"/>
          <w:sz w:val="28"/>
          <w:szCs w:val="28"/>
        </w:rPr>
      </w:pPr>
      <w:r w:rsidRPr="007B4060">
        <w:rPr>
          <w:rFonts w:ascii="Calibri" w:hAnsi="Calibri"/>
          <w:sz w:val="28"/>
          <w:szCs w:val="28"/>
        </w:rPr>
        <w:t>Presented by</w:t>
      </w:r>
    </w:p>
    <w:p w:rsidR="006836FE" w:rsidRPr="007B4060" w:rsidRDefault="006836FE" w:rsidP="006836FE">
      <w:pPr>
        <w:jc w:val="center"/>
        <w:rPr>
          <w:rFonts w:ascii="Calibri" w:hAnsi="Calibri"/>
          <w:b/>
          <w:sz w:val="48"/>
          <w:szCs w:val="40"/>
        </w:rPr>
      </w:pPr>
      <w:r>
        <w:rPr>
          <w:rFonts w:ascii="Calibri" w:hAnsi="Calibri"/>
          <w:b/>
          <w:sz w:val="48"/>
          <w:szCs w:val="40"/>
        </w:rPr>
        <w:t>Tim Pallas MP</w:t>
      </w:r>
    </w:p>
    <w:p w:rsidR="006836FE" w:rsidRPr="007B4060" w:rsidRDefault="006836FE" w:rsidP="006836FE">
      <w:pPr>
        <w:jc w:val="center"/>
        <w:rPr>
          <w:rFonts w:ascii="Calibri" w:hAnsi="Calibri"/>
          <w:sz w:val="36"/>
          <w:szCs w:val="32"/>
        </w:rPr>
      </w:pPr>
      <w:r w:rsidRPr="007B4060">
        <w:rPr>
          <w:rFonts w:ascii="Calibri" w:hAnsi="Calibri"/>
          <w:sz w:val="36"/>
          <w:szCs w:val="32"/>
        </w:rPr>
        <w:t xml:space="preserve">Treasurer of the State of </w:t>
      </w:r>
      <w:smartTag w:uri="urn:schemas-microsoft-com:office:smarttags" w:element="place">
        <w:smartTag w:uri="urn:schemas-microsoft-com:office:smarttags" w:element="State">
          <w:r w:rsidRPr="007B4060">
            <w:rPr>
              <w:rFonts w:ascii="Calibri" w:hAnsi="Calibri"/>
              <w:sz w:val="36"/>
              <w:szCs w:val="32"/>
            </w:rPr>
            <w:t>Victoria</w:t>
          </w:r>
        </w:smartTag>
      </w:smartTag>
    </w:p>
    <w:p w:rsidR="00EF0E3A" w:rsidRDefault="00EF0E3A">
      <w:r>
        <w:br w:type="page"/>
      </w:r>
    </w:p>
    <w:p w:rsidR="00EF0E3A" w:rsidRDefault="00EF0E3A" w:rsidP="00A171DC"/>
    <w:p w:rsidR="00EF0E3A" w:rsidRDefault="00EF0E3A" w:rsidP="00EF0E3A">
      <w:pPr>
        <w:spacing w:before="3200"/>
      </w:pPr>
    </w:p>
    <w:p w:rsidR="006836FE" w:rsidRDefault="00EF0E3A" w:rsidP="00EF0E3A">
      <w:pPr>
        <w:spacing w:before="3200"/>
      </w:pPr>
      <w:r w:rsidRPr="00EF0E3A">
        <w:drawing>
          <wp:inline distT="0" distB="0" distL="0" distR="0" wp14:anchorId="5D80924B" wp14:editId="287939E3">
            <wp:extent cx="3029585" cy="4531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9585" cy="4531360"/>
                    </a:xfrm>
                    <a:prstGeom prst="rect">
                      <a:avLst/>
                    </a:prstGeom>
                    <a:noFill/>
                    <a:ln>
                      <a:noFill/>
                    </a:ln>
                  </pic:spPr>
                </pic:pic>
              </a:graphicData>
            </a:graphic>
          </wp:inline>
        </w:drawing>
      </w:r>
    </w:p>
    <w:p w:rsidR="00EF0E3A" w:rsidRDefault="00EF0E3A" w:rsidP="00A171DC"/>
    <w:p w:rsidR="00EF0E3A" w:rsidRDefault="00EF0E3A" w:rsidP="00A171DC">
      <w:pPr>
        <w:sectPr w:rsidR="00EF0E3A" w:rsidSect="00045814">
          <w:type w:val="continuous"/>
          <w:pgSz w:w="11907" w:h="16839" w:code="9"/>
          <w:pgMar w:top="1134" w:right="1134" w:bottom="1134" w:left="1134" w:header="624" w:footer="567" w:gutter="0"/>
          <w:cols w:sep="1" w:space="567"/>
          <w:docGrid w:linePitch="360"/>
        </w:sectPr>
      </w:pPr>
    </w:p>
    <w:p w:rsidR="006836FE" w:rsidRDefault="006836FE" w:rsidP="006836FE">
      <w:pPr>
        <w:pStyle w:val="TableofContentsheading"/>
      </w:pPr>
      <w:r>
        <w:lastRenderedPageBreak/>
        <w:t>Table of contents</w:t>
      </w:r>
    </w:p>
    <w:p w:rsidR="006836FE" w:rsidRDefault="006836FE" w:rsidP="006836FE">
      <w:pPr>
        <w:pStyle w:val="TOC1"/>
      </w:pPr>
      <w:r>
        <w:t>Overview</w:t>
      </w:r>
      <w:r>
        <w:tab/>
      </w:r>
      <w:r>
        <w:fldChar w:fldCharType="begin"/>
      </w:r>
      <w:r>
        <w:instrText xml:space="preserve"> PAGEREF Overview \h </w:instrText>
      </w:r>
      <w:r>
        <w:fldChar w:fldCharType="separate"/>
      </w:r>
      <w:r w:rsidR="001B237B">
        <w:rPr>
          <w:noProof/>
        </w:rPr>
        <w:t>1</w:t>
      </w:r>
      <w:r>
        <w:fldChar w:fldCharType="end"/>
      </w:r>
    </w:p>
    <w:p w:rsidR="006836FE" w:rsidRDefault="006836FE" w:rsidP="006836FE">
      <w:pPr>
        <w:pStyle w:val="TOC1"/>
      </w:pPr>
      <w:r>
        <w:t>General government sector outcome</w:t>
      </w:r>
      <w:r>
        <w:tab/>
      </w:r>
      <w:r>
        <w:fldChar w:fldCharType="begin"/>
      </w:r>
      <w:r>
        <w:instrText xml:space="preserve"> PAGEREF GGSectorOutcome \h </w:instrText>
      </w:r>
      <w:r>
        <w:fldChar w:fldCharType="separate"/>
      </w:r>
      <w:r w:rsidR="001B237B">
        <w:rPr>
          <w:noProof/>
        </w:rPr>
        <w:t>1</w:t>
      </w:r>
      <w:r>
        <w:fldChar w:fldCharType="end"/>
      </w:r>
    </w:p>
    <w:p w:rsidR="006836FE" w:rsidRDefault="006836FE" w:rsidP="006836FE">
      <w:pPr>
        <w:pStyle w:val="TOC2"/>
      </w:pPr>
      <w:r>
        <w:t>Financial performance</w:t>
      </w:r>
      <w:r>
        <w:tab/>
      </w:r>
      <w:r>
        <w:fldChar w:fldCharType="begin"/>
      </w:r>
      <w:r>
        <w:instrText xml:space="preserve"> PAGEREF FinancialPerformance \h </w:instrText>
      </w:r>
      <w:r>
        <w:fldChar w:fldCharType="separate"/>
      </w:r>
      <w:r w:rsidR="001B237B">
        <w:t>1</w:t>
      </w:r>
      <w:r>
        <w:fldChar w:fldCharType="end"/>
      </w:r>
    </w:p>
    <w:p w:rsidR="006836FE" w:rsidRDefault="006836FE" w:rsidP="006836FE">
      <w:pPr>
        <w:pStyle w:val="TOC2"/>
      </w:pPr>
      <w:r>
        <w:t>Financial position</w:t>
      </w:r>
      <w:r>
        <w:tab/>
      </w:r>
      <w:r>
        <w:fldChar w:fldCharType="begin"/>
      </w:r>
      <w:r>
        <w:instrText xml:space="preserve"> PAGEREF FinancialPosition \h </w:instrText>
      </w:r>
      <w:r>
        <w:fldChar w:fldCharType="separate"/>
      </w:r>
      <w:r w:rsidR="001B237B">
        <w:t>2</w:t>
      </w:r>
      <w:r>
        <w:fldChar w:fldCharType="end"/>
      </w:r>
    </w:p>
    <w:p w:rsidR="006836FE" w:rsidRDefault="006836FE" w:rsidP="006836FE">
      <w:pPr>
        <w:pStyle w:val="TOC2"/>
      </w:pPr>
      <w:r>
        <w:t>Cash flows</w:t>
      </w:r>
      <w:r>
        <w:tab/>
      </w:r>
      <w:r>
        <w:fldChar w:fldCharType="begin"/>
      </w:r>
      <w:r>
        <w:instrText xml:space="preserve"> PAGEREF CashFlows \h </w:instrText>
      </w:r>
      <w:r>
        <w:fldChar w:fldCharType="separate"/>
      </w:r>
      <w:r w:rsidR="001B237B">
        <w:t>2</w:t>
      </w:r>
      <w:r>
        <w:fldChar w:fldCharType="end"/>
      </w:r>
    </w:p>
    <w:p w:rsidR="006836FE" w:rsidRPr="005E78D6" w:rsidRDefault="006836FE" w:rsidP="006836FE">
      <w:pPr>
        <w:pStyle w:val="TOC2"/>
      </w:pPr>
      <w:r w:rsidRPr="005E78D6">
        <w:t>Infrastructure investment</w:t>
      </w:r>
      <w:r>
        <w:tab/>
      </w:r>
      <w:r>
        <w:fldChar w:fldCharType="begin"/>
      </w:r>
      <w:r>
        <w:instrText xml:space="preserve"> PAGEREF </w:instrText>
      </w:r>
      <w:r w:rsidR="00D3345D">
        <w:instrText>InfrastructureInvestment</w:instrText>
      </w:r>
      <w:r>
        <w:instrText xml:space="preserve"> \h </w:instrText>
      </w:r>
      <w:r>
        <w:fldChar w:fldCharType="separate"/>
      </w:r>
      <w:r w:rsidR="001B237B">
        <w:t>2</w:t>
      </w:r>
      <w:r>
        <w:fldChar w:fldCharType="end"/>
      </w:r>
    </w:p>
    <w:p w:rsidR="006836FE" w:rsidRDefault="006836FE" w:rsidP="006836FE">
      <w:pPr>
        <w:pStyle w:val="TOC1"/>
      </w:pPr>
      <w:r>
        <w:t>Financial statements for the general government sector</w:t>
      </w:r>
    </w:p>
    <w:p w:rsidR="006836FE" w:rsidRDefault="006836FE" w:rsidP="006836FE">
      <w:pPr>
        <w:pStyle w:val="TOC2"/>
      </w:pPr>
      <w:r w:rsidRPr="00696B6D">
        <w:t xml:space="preserve">Consolidated </w:t>
      </w:r>
      <w:r w:rsidRPr="00A72151">
        <w:t>comprehensive</w:t>
      </w:r>
      <w:r w:rsidRPr="00696B6D">
        <w:t xml:space="preserve"> operating statement</w:t>
      </w:r>
      <w:r>
        <w:tab/>
      </w:r>
      <w:r>
        <w:fldChar w:fldCharType="begin"/>
      </w:r>
      <w:r>
        <w:instrText xml:space="preserve"> PAGEREF ConsolidatedOS \h </w:instrText>
      </w:r>
      <w:r>
        <w:fldChar w:fldCharType="separate"/>
      </w:r>
      <w:r w:rsidR="001B237B">
        <w:t>4</w:t>
      </w:r>
      <w:r>
        <w:fldChar w:fldCharType="end"/>
      </w:r>
    </w:p>
    <w:p w:rsidR="006836FE" w:rsidRDefault="006836FE" w:rsidP="006836FE">
      <w:pPr>
        <w:pStyle w:val="TOC2"/>
      </w:pPr>
      <w:r>
        <w:t>Consolidated balance sheet</w:t>
      </w:r>
      <w:r>
        <w:tab/>
      </w:r>
      <w:r>
        <w:fldChar w:fldCharType="begin"/>
      </w:r>
      <w:r>
        <w:instrText xml:space="preserve"> PAGEREF ConsolidatedBS \h </w:instrText>
      </w:r>
      <w:r>
        <w:fldChar w:fldCharType="separate"/>
      </w:r>
      <w:r w:rsidR="001B237B">
        <w:t>5</w:t>
      </w:r>
      <w:r>
        <w:fldChar w:fldCharType="end"/>
      </w:r>
    </w:p>
    <w:p w:rsidR="006836FE" w:rsidRDefault="006836FE" w:rsidP="006836FE">
      <w:pPr>
        <w:pStyle w:val="TOC2"/>
      </w:pPr>
      <w:r>
        <w:t>Consolidated cash flow</w:t>
      </w:r>
      <w:r>
        <w:tab/>
      </w:r>
      <w:r>
        <w:fldChar w:fldCharType="begin"/>
      </w:r>
      <w:r>
        <w:instrText xml:space="preserve"> PAGEREF ConsolidatedCF \h </w:instrText>
      </w:r>
      <w:r>
        <w:fldChar w:fldCharType="separate"/>
      </w:r>
      <w:r w:rsidR="001B237B">
        <w:t>6</w:t>
      </w:r>
      <w:r>
        <w:fldChar w:fldCharType="end"/>
      </w:r>
    </w:p>
    <w:p w:rsidR="006836FE" w:rsidRDefault="006836FE" w:rsidP="006836FE">
      <w:pPr>
        <w:pStyle w:val="TOC2"/>
      </w:pPr>
      <w:r>
        <w:t>Consolidated statement of changes in equity</w:t>
      </w:r>
      <w:r>
        <w:tab/>
      </w:r>
      <w:r>
        <w:fldChar w:fldCharType="begin"/>
      </w:r>
      <w:r>
        <w:instrText xml:space="preserve"> PAGEREF ConsolidatedSOCIE \h </w:instrText>
      </w:r>
      <w:r>
        <w:fldChar w:fldCharType="separate"/>
      </w:r>
      <w:r w:rsidR="001B237B">
        <w:t>7</w:t>
      </w:r>
      <w:r>
        <w:fldChar w:fldCharType="end"/>
      </w:r>
    </w:p>
    <w:p w:rsidR="006E5056" w:rsidRDefault="006836FE">
      <w:pPr>
        <w:pStyle w:val="TOC1"/>
        <w:rPr>
          <w:rFonts w:asciiTheme="minorHAnsi" w:eastAsiaTheme="minorEastAsia" w:hAnsiTheme="minorHAnsi"/>
          <w:b w:val="0"/>
          <w:noProof/>
          <w:spacing w:val="0"/>
          <w:szCs w:val="22"/>
          <w:lang w:eastAsia="en-AU"/>
        </w:rPr>
      </w:pPr>
      <w:r w:rsidRPr="00A72151">
        <w:fldChar w:fldCharType="begin"/>
      </w:r>
      <w:r w:rsidRPr="00A72151">
        <w:instrText xml:space="preserve"> TOC \h \z \t " Heading 1</w:instrText>
      </w:r>
      <w:r w:rsidR="00955520">
        <w:instrText xml:space="preserve"> (#)</w:instrText>
      </w:r>
      <w:r w:rsidRPr="00A72151">
        <w:instrText>,</w:instrText>
      </w:r>
      <w:r w:rsidR="00955520">
        <w:instrText>1</w:instrText>
      </w:r>
      <w:r w:rsidRPr="00A72151">
        <w:instrText xml:space="preserve">" </w:instrText>
      </w:r>
      <w:r w:rsidRPr="00A72151">
        <w:fldChar w:fldCharType="separate"/>
      </w:r>
      <w:hyperlink w:anchor="_Toc497376522" w:history="1">
        <w:r w:rsidR="006E5056" w:rsidRPr="00B76E59">
          <w:rPr>
            <w:rStyle w:val="Hyperlink"/>
            <w:noProof/>
          </w:rPr>
          <w:t>1.</w:t>
        </w:r>
        <w:r w:rsidR="006E5056">
          <w:rPr>
            <w:rFonts w:asciiTheme="minorHAnsi" w:eastAsiaTheme="minorEastAsia" w:hAnsiTheme="minorHAnsi"/>
            <w:b w:val="0"/>
            <w:noProof/>
            <w:spacing w:val="0"/>
            <w:szCs w:val="22"/>
            <w:lang w:eastAsia="en-AU"/>
          </w:rPr>
          <w:tab/>
        </w:r>
        <w:r w:rsidR="006E5056" w:rsidRPr="00B76E59">
          <w:rPr>
            <w:rStyle w:val="Hyperlink"/>
            <w:noProof/>
          </w:rPr>
          <w:t>About this report</w:t>
        </w:r>
        <w:r w:rsidR="006E5056">
          <w:rPr>
            <w:noProof/>
            <w:webHidden/>
          </w:rPr>
          <w:tab/>
        </w:r>
        <w:r w:rsidR="006E5056">
          <w:rPr>
            <w:noProof/>
            <w:webHidden/>
          </w:rPr>
          <w:fldChar w:fldCharType="begin"/>
        </w:r>
        <w:r w:rsidR="006E5056">
          <w:rPr>
            <w:noProof/>
            <w:webHidden/>
          </w:rPr>
          <w:instrText xml:space="preserve"> PAGEREF _Toc497376522 \h </w:instrText>
        </w:r>
        <w:r w:rsidR="006E5056">
          <w:rPr>
            <w:noProof/>
            <w:webHidden/>
          </w:rPr>
        </w:r>
        <w:r w:rsidR="006E5056">
          <w:rPr>
            <w:noProof/>
            <w:webHidden/>
          </w:rPr>
          <w:fldChar w:fldCharType="separate"/>
        </w:r>
        <w:r w:rsidR="001B237B">
          <w:rPr>
            <w:noProof/>
            <w:webHidden/>
          </w:rPr>
          <w:t>8</w:t>
        </w:r>
        <w:r w:rsidR="006E5056">
          <w:rPr>
            <w:noProof/>
            <w:webHidden/>
          </w:rPr>
          <w:fldChar w:fldCharType="end"/>
        </w:r>
      </w:hyperlink>
    </w:p>
    <w:p w:rsidR="006E5056" w:rsidRDefault="001B237B">
      <w:pPr>
        <w:pStyle w:val="TOC1"/>
        <w:rPr>
          <w:rFonts w:asciiTheme="minorHAnsi" w:eastAsiaTheme="minorEastAsia" w:hAnsiTheme="minorHAnsi"/>
          <w:b w:val="0"/>
          <w:noProof/>
          <w:spacing w:val="0"/>
          <w:szCs w:val="22"/>
          <w:lang w:eastAsia="en-AU"/>
        </w:rPr>
      </w:pPr>
      <w:hyperlink w:anchor="_Toc497376523" w:history="1">
        <w:r w:rsidR="006E5056" w:rsidRPr="00B76E59">
          <w:rPr>
            <w:rStyle w:val="Hyperlink"/>
            <w:noProof/>
          </w:rPr>
          <w:t>2.</w:t>
        </w:r>
        <w:r w:rsidR="006E5056">
          <w:rPr>
            <w:rFonts w:asciiTheme="minorHAnsi" w:eastAsiaTheme="minorEastAsia" w:hAnsiTheme="minorHAnsi"/>
            <w:b w:val="0"/>
            <w:noProof/>
            <w:spacing w:val="0"/>
            <w:szCs w:val="22"/>
            <w:lang w:eastAsia="en-AU"/>
          </w:rPr>
          <w:tab/>
        </w:r>
        <w:r w:rsidR="006E5056" w:rsidRPr="00B76E59">
          <w:rPr>
            <w:rStyle w:val="Hyperlink"/>
            <w:noProof/>
          </w:rPr>
          <w:t>How funds are raised</w:t>
        </w:r>
        <w:r w:rsidR="006E5056">
          <w:rPr>
            <w:noProof/>
            <w:webHidden/>
          </w:rPr>
          <w:tab/>
        </w:r>
        <w:r w:rsidR="006E5056">
          <w:rPr>
            <w:noProof/>
            <w:webHidden/>
          </w:rPr>
          <w:fldChar w:fldCharType="begin"/>
        </w:r>
        <w:r w:rsidR="006E5056">
          <w:rPr>
            <w:noProof/>
            <w:webHidden/>
          </w:rPr>
          <w:instrText xml:space="preserve"> PAGEREF _Toc497376523 \h </w:instrText>
        </w:r>
        <w:r w:rsidR="006E5056">
          <w:rPr>
            <w:noProof/>
            <w:webHidden/>
          </w:rPr>
        </w:r>
        <w:r w:rsidR="006E5056">
          <w:rPr>
            <w:noProof/>
            <w:webHidden/>
          </w:rPr>
          <w:fldChar w:fldCharType="separate"/>
        </w:r>
        <w:r>
          <w:rPr>
            <w:noProof/>
            <w:webHidden/>
          </w:rPr>
          <w:t>9</w:t>
        </w:r>
        <w:r w:rsidR="006E5056">
          <w:rPr>
            <w:noProof/>
            <w:webHidden/>
          </w:rPr>
          <w:fldChar w:fldCharType="end"/>
        </w:r>
      </w:hyperlink>
    </w:p>
    <w:p w:rsidR="006E5056" w:rsidRDefault="001B237B">
      <w:pPr>
        <w:pStyle w:val="TOC1"/>
        <w:rPr>
          <w:rFonts w:asciiTheme="minorHAnsi" w:eastAsiaTheme="minorEastAsia" w:hAnsiTheme="minorHAnsi"/>
          <w:b w:val="0"/>
          <w:noProof/>
          <w:spacing w:val="0"/>
          <w:szCs w:val="22"/>
          <w:lang w:eastAsia="en-AU"/>
        </w:rPr>
      </w:pPr>
      <w:hyperlink w:anchor="_Toc497376524" w:history="1">
        <w:r w:rsidR="006E5056" w:rsidRPr="00B76E59">
          <w:rPr>
            <w:rStyle w:val="Hyperlink"/>
            <w:noProof/>
          </w:rPr>
          <w:t>3.</w:t>
        </w:r>
        <w:r w:rsidR="006E5056">
          <w:rPr>
            <w:rFonts w:asciiTheme="minorHAnsi" w:eastAsiaTheme="minorEastAsia" w:hAnsiTheme="minorHAnsi"/>
            <w:b w:val="0"/>
            <w:noProof/>
            <w:spacing w:val="0"/>
            <w:szCs w:val="22"/>
            <w:lang w:eastAsia="en-AU"/>
          </w:rPr>
          <w:tab/>
        </w:r>
        <w:r w:rsidR="006E5056" w:rsidRPr="00B76E59">
          <w:rPr>
            <w:rStyle w:val="Hyperlink"/>
            <w:noProof/>
          </w:rPr>
          <w:t>How funds are spent</w:t>
        </w:r>
        <w:r w:rsidR="006E5056">
          <w:rPr>
            <w:noProof/>
            <w:webHidden/>
          </w:rPr>
          <w:tab/>
        </w:r>
        <w:r w:rsidR="006E5056">
          <w:rPr>
            <w:noProof/>
            <w:webHidden/>
          </w:rPr>
          <w:fldChar w:fldCharType="begin"/>
        </w:r>
        <w:r w:rsidR="006E5056">
          <w:rPr>
            <w:noProof/>
            <w:webHidden/>
          </w:rPr>
          <w:instrText xml:space="preserve"> PAGEREF _Toc497376524 \h </w:instrText>
        </w:r>
        <w:r w:rsidR="006E5056">
          <w:rPr>
            <w:noProof/>
            <w:webHidden/>
          </w:rPr>
        </w:r>
        <w:r w:rsidR="006E5056">
          <w:rPr>
            <w:noProof/>
            <w:webHidden/>
          </w:rPr>
          <w:fldChar w:fldCharType="separate"/>
        </w:r>
        <w:r>
          <w:rPr>
            <w:noProof/>
            <w:webHidden/>
          </w:rPr>
          <w:t>12</w:t>
        </w:r>
        <w:r w:rsidR="006E5056">
          <w:rPr>
            <w:noProof/>
            <w:webHidden/>
          </w:rPr>
          <w:fldChar w:fldCharType="end"/>
        </w:r>
      </w:hyperlink>
    </w:p>
    <w:p w:rsidR="006E5056" w:rsidRDefault="001B237B">
      <w:pPr>
        <w:pStyle w:val="TOC1"/>
        <w:rPr>
          <w:rFonts w:asciiTheme="minorHAnsi" w:eastAsiaTheme="minorEastAsia" w:hAnsiTheme="minorHAnsi"/>
          <w:b w:val="0"/>
          <w:noProof/>
          <w:spacing w:val="0"/>
          <w:szCs w:val="22"/>
          <w:lang w:eastAsia="en-AU"/>
        </w:rPr>
      </w:pPr>
      <w:hyperlink w:anchor="_Toc497376525" w:history="1">
        <w:r w:rsidR="006E5056" w:rsidRPr="00B76E59">
          <w:rPr>
            <w:rStyle w:val="Hyperlink"/>
            <w:noProof/>
          </w:rPr>
          <w:t>4.</w:t>
        </w:r>
        <w:r w:rsidR="006E5056">
          <w:rPr>
            <w:rFonts w:asciiTheme="minorHAnsi" w:eastAsiaTheme="minorEastAsia" w:hAnsiTheme="minorHAnsi"/>
            <w:b w:val="0"/>
            <w:noProof/>
            <w:spacing w:val="0"/>
            <w:szCs w:val="22"/>
            <w:lang w:eastAsia="en-AU"/>
          </w:rPr>
          <w:tab/>
        </w:r>
        <w:r w:rsidR="006E5056" w:rsidRPr="00B76E59">
          <w:rPr>
            <w:rStyle w:val="Hyperlink"/>
            <w:noProof/>
          </w:rPr>
          <w:t>Major assets and investments</w:t>
        </w:r>
        <w:r w:rsidR="006E5056">
          <w:rPr>
            <w:noProof/>
            <w:webHidden/>
          </w:rPr>
          <w:tab/>
        </w:r>
        <w:r w:rsidR="006E5056">
          <w:rPr>
            <w:noProof/>
            <w:webHidden/>
          </w:rPr>
          <w:fldChar w:fldCharType="begin"/>
        </w:r>
        <w:r w:rsidR="006E5056">
          <w:rPr>
            <w:noProof/>
            <w:webHidden/>
          </w:rPr>
          <w:instrText xml:space="preserve"> PAGEREF _Toc497376525 \h </w:instrText>
        </w:r>
        <w:r w:rsidR="006E5056">
          <w:rPr>
            <w:noProof/>
            <w:webHidden/>
          </w:rPr>
        </w:r>
        <w:r w:rsidR="006E5056">
          <w:rPr>
            <w:noProof/>
            <w:webHidden/>
          </w:rPr>
          <w:fldChar w:fldCharType="separate"/>
        </w:r>
        <w:r>
          <w:rPr>
            <w:noProof/>
            <w:webHidden/>
          </w:rPr>
          <w:t>16</w:t>
        </w:r>
        <w:r w:rsidR="006E5056">
          <w:rPr>
            <w:noProof/>
            <w:webHidden/>
          </w:rPr>
          <w:fldChar w:fldCharType="end"/>
        </w:r>
      </w:hyperlink>
    </w:p>
    <w:p w:rsidR="006E5056" w:rsidRDefault="001B237B">
      <w:pPr>
        <w:pStyle w:val="TOC1"/>
        <w:rPr>
          <w:rFonts w:asciiTheme="minorHAnsi" w:eastAsiaTheme="minorEastAsia" w:hAnsiTheme="minorHAnsi"/>
          <w:b w:val="0"/>
          <w:noProof/>
          <w:spacing w:val="0"/>
          <w:szCs w:val="22"/>
          <w:lang w:eastAsia="en-AU"/>
        </w:rPr>
      </w:pPr>
      <w:hyperlink w:anchor="_Toc497376526" w:history="1">
        <w:r w:rsidR="006E5056" w:rsidRPr="00B76E59">
          <w:rPr>
            <w:rStyle w:val="Hyperlink"/>
            <w:noProof/>
          </w:rPr>
          <w:t>5.</w:t>
        </w:r>
        <w:r w:rsidR="006E5056">
          <w:rPr>
            <w:rFonts w:asciiTheme="minorHAnsi" w:eastAsiaTheme="minorEastAsia" w:hAnsiTheme="minorHAnsi"/>
            <w:b w:val="0"/>
            <w:noProof/>
            <w:spacing w:val="0"/>
            <w:szCs w:val="22"/>
            <w:lang w:eastAsia="en-AU"/>
          </w:rPr>
          <w:tab/>
        </w:r>
        <w:r w:rsidR="006E5056" w:rsidRPr="00B76E59">
          <w:rPr>
            <w:rStyle w:val="Hyperlink"/>
            <w:noProof/>
          </w:rPr>
          <w:t>Other assets and liabilities</w:t>
        </w:r>
        <w:r w:rsidR="006E5056">
          <w:rPr>
            <w:noProof/>
            <w:webHidden/>
          </w:rPr>
          <w:tab/>
        </w:r>
        <w:r w:rsidR="006E5056">
          <w:rPr>
            <w:noProof/>
            <w:webHidden/>
          </w:rPr>
          <w:fldChar w:fldCharType="begin"/>
        </w:r>
        <w:r w:rsidR="006E5056">
          <w:rPr>
            <w:noProof/>
            <w:webHidden/>
          </w:rPr>
          <w:instrText xml:space="preserve"> PAGEREF _Toc497376526 \h </w:instrText>
        </w:r>
        <w:r w:rsidR="006E5056">
          <w:rPr>
            <w:noProof/>
            <w:webHidden/>
          </w:rPr>
        </w:r>
        <w:r w:rsidR="006E5056">
          <w:rPr>
            <w:noProof/>
            <w:webHidden/>
          </w:rPr>
          <w:fldChar w:fldCharType="separate"/>
        </w:r>
        <w:r>
          <w:rPr>
            <w:noProof/>
            <w:webHidden/>
          </w:rPr>
          <w:t>19</w:t>
        </w:r>
        <w:r w:rsidR="006E5056">
          <w:rPr>
            <w:noProof/>
            <w:webHidden/>
          </w:rPr>
          <w:fldChar w:fldCharType="end"/>
        </w:r>
      </w:hyperlink>
    </w:p>
    <w:p w:rsidR="006E5056" w:rsidRDefault="001B237B">
      <w:pPr>
        <w:pStyle w:val="TOC1"/>
        <w:rPr>
          <w:rFonts w:asciiTheme="minorHAnsi" w:eastAsiaTheme="minorEastAsia" w:hAnsiTheme="minorHAnsi"/>
          <w:b w:val="0"/>
          <w:noProof/>
          <w:spacing w:val="0"/>
          <w:szCs w:val="22"/>
          <w:lang w:eastAsia="en-AU"/>
        </w:rPr>
      </w:pPr>
      <w:hyperlink w:anchor="_Toc497376527" w:history="1">
        <w:r w:rsidR="006E5056" w:rsidRPr="00B76E59">
          <w:rPr>
            <w:rStyle w:val="Hyperlink"/>
            <w:noProof/>
          </w:rPr>
          <w:t>6.</w:t>
        </w:r>
        <w:r w:rsidR="006E5056">
          <w:rPr>
            <w:rFonts w:asciiTheme="minorHAnsi" w:eastAsiaTheme="minorEastAsia" w:hAnsiTheme="minorHAnsi"/>
            <w:b w:val="0"/>
            <w:noProof/>
            <w:spacing w:val="0"/>
            <w:szCs w:val="22"/>
            <w:lang w:eastAsia="en-AU"/>
          </w:rPr>
          <w:tab/>
        </w:r>
        <w:r w:rsidR="006E5056" w:rsidRPr="00B76E59">
          <w:rPr>
            <w:rStyle w:val="Hyperlink"/>
            <w:noProof/>
          </w:rPr>
          <w:t>Public account</w:t>
        </w:r>
        <w:r w:rsidR="006E5056">
          <w:rPr>
            <w:noProof/>
            <w:webHidden/>
          </w:rPr>
          <w:tab/>
        </w:r>
        <w:r w:rsidR="006E5056">
          <w:rPr>
            <w:noProof/>
            <w:webHidden/>
          </w:rPr>
          <w:fldChar w:fldCharType="begin"/>
        </w:r>
        <w:r w:rsidR="006E5056">
          <w:rPr>
            <w:noProof/>
            <w:webHidden/>
          </w:rPr>
          <w:instrText xml:space="preserve"> PAGEREF _Toc497376527 \h </w:instrText>
        </w:r>
        <w:r w:rsidR="006E5056">
          <w:rPr>
            <w:noProof/>
            <w:webHidden/>
          </w:rPr>
        </w:r>
        <w:r w:rsidR="006E5056">
          <w:rPr>
            <w:noProof/>
            <w:webHidden/>
          </w:rPr>
          <w:fldChar w:fldCharType="separate"/>
        </w:r>
        <w:r>
          <w:rPr>
            <w:noProof/>
            <w:webHidden/>
          </w:rPr>
          <w:t>20</w:t>
        </w:r>
        <w:r w:rsidR="006E5056">
          <w:rPr>
            <w:noProof/>
            <w:webHidden/>
          </w:rPr>
          <w:fldChar w:fldCharType="end"/>
        </w:r>
      </w:hyperlink>
    </w:p>
    <w:p w:rsidR="006E5056" w:rsidRDefault="001B237B">
      <w:pPr>
        <w:pStyle w:val="TOC1"/>
        <w:rPr>
          <w:rFonts w:asciiTheme="minorHAnsi" w:eastAsiaTheme="minorEastAsia" w:hAnsiTheme="minorHAnsi"/>
          <w:b w:val="0"/>
          <w:noProof/>
          <w:spacing w:val="0"/>
          <w:szCs w:val="22"/>
          <w:lang w:eastAsia="en-AU"/>
        </w:rPr>
      </w:pPr>
      <w:hyperlink w:anchor="_Toc497376528" w:history="1">
        <w:r w:rsidR="006E5056" w:rsidRPr="00B76E59">
          <w:rPr>
            <w:rStyle w:val="Hyperlink"/>
            <w:noProof/>
          </w:rPr>
          <w:t>7.</w:t>
        </w:r>
        <w:r w:rsidR="006E5056">
          <w:rPr>
            <w:rFonts w:asciiTheme="minorHAnsi" w:eastAsiaTheme="minorEastAsia" w:hAnsiTheme="minorHAnsi"/>
            <w:b w:val="0"/>
            <w:noProof/>
            <w:spacing w:val="0"/>
            <w:szCs w:val="22"/>
            <w:lang w:eastAsia="en-AU"/>
          </w:rPr>
          <w:tab/>
        </w:r>
        <w:r w:rsidR="006E5056" w:rsidRPr="00B76E59">
          <w:rPr>
            <w:rStyle w:val="Hyperlink"/>
            <w:noProof/>
          </w:rPr>
          <w:t>Other disclosures</w:t>
        </w:r>
        <w:r w:rsidR="006E5056">
          <w:rPr>
            <w:noProof/>
            <w:webHidden/>
          </w:rPr>
          <w:tab/>
        </w:r>
        <w:r w:rsidR="006E5056">
          <w:rPr>
            <w:noProof/>
            <w:webHidden/>
          </w:rPr>
          <w:fldChar w:fldCharType="begin"/>
        </w:r>
        <w:r w:rsidR="006E5056">
          <w:rPr>
            <w:noProof/>
            <w:webHidden/>
          </w:rPr>
          <w:instrText xml:space="preserve"> PAGEREF _Toc497376528 \h </w:instrText>
        </w:r>
        <w:r w:rsidR="006E5056">
          <w:rPr>
            <w:noProof/>
            <w:webHidden/>
          </w:rPr>
        </w:r>
        <w:r w:rsidR="006E5056">
          <w:rPr>
            <w:noProof/>
            <w:webHidden/>
          </w:rPr>
          <w:fldChar w:fldCharType="separate"/>
        </w:r>
        <w:r>
          <w:rPr>
            <w:noProof/>
            <w:webHidden/>
          </w:rPr>
          <w:t>23</w:t>
        </w:r>
        <w:r w:rsidR="006E5056">
          <w:rPr>
            <w:noProof/>
            <w:webHidden/>
          </w:rPr>
          <w:fldChar w:fldCharType="end"/>
        </w:r>
      </w:hyperlink>
    </w:p>
    <w:p w:rsidR="006E5056" w:rsidRDefault="001B237B">
      <w:pPr>
        <w:pStyle w:val="TOC1"/>
        <w:rPr>
          <w:rFonts w:asciiTheme="minorHAnsi" w:eastAsiaTheme="minorEastAsia" w:hAnsiTheme="minorHAnsi"/>
          <w:b w:val="0"/>
          <w:noProof/>
          <w:spacing w:val="0"/>
          <w:szCs w:val="22"/>
          <w:lang w:eastAsia="en-AU"/>
        </w:rPr>
      </w:pPr>
      <w:hyperlink w:anchor="_Toc497376529" w:history="1">
        <w:r w:rsidR="006E5056" w:rsidRPr="00B76E59">
          <w:rPr>
            <w:rStyle w:val="Hyperlink"/>
            <w:noProof/>
          </w:rPr>
          <w:t>8.</w:t>
        </w:r>
        <w:r w:rsidR="006E5056">
          <w:rPr>
            <w:rFonts w:asciiTheme="minorHAnsi" w:eastAsiaTheme="minorEastAsia" w:hAnsiTheme="minorHAnsi"/>
            <w:b w:val="0"/>
            <w:noProof/>
            <w:spacing w:val="0"/>
            <w:szCs w:val="22"/>
            <w:lang w:eastAsia="en-AU"/>
          </w:rPr>
          <w:tab/>
        </w:r>
        <w:r w:rsidR="006E5056" w:rsidRPr="00B76E59">
          <w:rPr>
            <w:rStyle w:val="Hyperlink"/>
            <w:noProof/>
          </w:rPr>
          <w:t>Results quarter by quarter –  Victorian general government sector</w:t>
        </w:r>
        <w:r w:rsidR="006E5056">
          <w:rPr>
            <w:noProof/>
            <w:webHidden/>
          </w:rPr>
          <w:tab/>
        </w:r>
        <w:r w:rsidR="006E5056">
          <w:rPr>
            <w:noProof/>
            <w:webHidden/>
          </w:rPr>
          <w:fldChar w:fldCharType="begin"/>
        </w:r>
        <w:r w:rsidR="006E5056">
          <w:rPr>
            <w:noProof/>
            <w:webHidden/>
          </w:rPr>
          <w:instrText xml:space="preserve"> PAGEREF _Toc497376529 \h </w:instrText>
        </w:r>
        <w:r w:rsidR="006E5056">
          <w:rPr>
            <w:noProof/>
            <w:webHidden/>
          </w:rPr>
        </w:r>
        <w:r w:rsidR="006E5056">
          <w:rPr>
            <w:noProof/>
            <w:webHidden/>
          </w:rPr>
          <w:fldChar w:fldCharType="separate"/>
        </w:r>
        <w:r>
          <w:rPr>
            <w:noProof/>
            <w:webHidden/>
          </w:rPr>
          <w:t>25</w:t>
        </w:r>
        <w:r w:rsidR="006E5056">
          <w:rPr>
            <w:noProof/>
            <w:webHidden/>
          </w:rPr>
          <w:fldChar w:fldCharType="end"/>
        </w:r>
      </w:hyperlink>
    </w:p>
    <w:p w:rsidR="006836FE" w:rsidRPr="00A72151" w:rsidRDefault="006836FE" w:rsidP="00955520">
      <w:pPr>
        <w:pStyle w:val="TOC2"/>
      </w:pPr>
      <w:r w:rsidRPr="00A72151">
        <w:fldChar w:fldCharType="end"/>
      </w:r>
      <w:r w:rsidRPr="00A72151">
        <w:t>Consolidated comprehensive operating statement for the past five quarters</w:t>
      </w:r>
      <w:r w:rsidRPr="00A72151">
        <w:tab/>
      </w:r>
      <w:r w:rsidRPr="00A72151">
        <w:fldChar w:fldCharType="begin"/>
      </w:r>
      <w:r w:rsidRPr="00A72151">
        <w:instrText xml:space="preserve"> PAGEREF ConsolidatedOS_QBQ \h </w:instrText>
      </w:r>
      <w:r w:rsidRPr="00A72151">
        <w:fldChar w:fldCharType="separate"/>
      </w:r>
      <w:r w:rsidR="001B237B">
        <w:t>25</w:t>
      </w:r>
      <w:r w:rsidRPr="00A72151">
        <w:fldChar w:fldCharType="end"/>
      </w:r>
    </w:p>
    <w:p w:rsidR="006836FE" w:rsidRPr="00A72151" w:rsidRDefault="006836FE" w:rsidP="006836FE">
      <w:pPr>
        <w:pStyle w:val="TOC2"/>
      </w:pPr>
      <w:r w:rsidRPr="00A72151">
        <w:t>Consolidated balance sheet as at the end of the past five quarters</w:t>
      </w:r>
      <w:r w:rsidRPr="00A72151">
        <w:tab/>
      </w:r>
      <w:r w:rsidRPr="00A72151">
        <w:fldChar w:fldCharType="begin"/>
      </w:r>
      <w:r w:rsidRPr="00A72151">
        <w:instrText xml:space="preserve"> PAGEREF ConsolidatedBS_QBQ \h </w:instrText>
      </w:r>
      <w:r w:rsidRPr="00A72151">
        <w:fldChar w:fldCharType="separate"/>
      </w:r>
      <w:r w:rsidR="001B237B">
        <w:t>26</w:t>
      </w:r>
      <w:r w:rsidRPr="00A72151">
        <w:fldChar w:fldCharType="end"/>
      </w:r>
    </w:p>
    <w:p w:rsidR="006836FE" w:rsidRPr="00A72151" w:rsidRDefault="006836FE" w:rsidP="006836FE">
      <w:pPr>
        <w:pStyle w:val="TOC2"/>
      </w:pPr>
      <w:r w:rsidRPr="00A72151">
        <w:t>Consolidated cash flow statement for the past five quarters</w:t>
      </w:r>
      <w:r w:rsidRPr="00A72151">
        <w:tab/>
      </w:r>
      <w:r w:rsidRPr="00A72151">
        <w:fldChar w:fldCharType="begin"/>
      </w:r>
      <w:r w:rsidRPr="00A72151">
        <w:instrText xml:space="preserve"> PAGEREF ConsolidatedCF_QBQ \h </w:instrText>
      </w:r>
      <w:r w:rsidRPr="00A72151">
        <w:fldChar w:fldCharType="separate"/>
      </w:r>
      <w:r w:rsidR="001B237B">
        <w:t>27</w:t>
      </w:r>
      <w:r w:rsidRPr="00A72151">
        <w:fldChar w:fldCharType="end"/>
      </w:r>
    </w:p>
    <w:p w:rsidR="006836FE" w:rsidRDefault="006836FE" w:rsidP="006836FE">
      <w:pPr>
        <w:pStyle w:val="TOC1"/>
      </w:pPr>
      <w:r>
        <w:t>Style conventions</w:t>
      </w:r>
      <w:r>
        <w:tab/>
      </w:r>
      <w:r>
        <w:fldChar w:fldCharType="begin"/>
      </w:r>
      <w:r>
        <w:instrText xml:space="preserve"> PAGEREF StyleConventions \h </w:instrText>
      </w:r>
      <w:r>
        <w:fldChar w:fldCharType="separate"/>
      </w:r>
      <w:r w:rsidR="001B237B">
        <w:rPr>
          <w:noProof/>
        </w:rPr>
        <w:t>28</w:t>
      </w:r>
      <w:r>
        <w:fldChar w:fldCharType="end"/>
      </w:r>
    </w:p>
    <w:p w:rsidR="006836FE" w:rsidRDefault="006836FE" w:rsidP="00A171DC"/>
    <w:p w:rsidR="006836FE" w:rsidRDefault="006836FE" w:rsidP="00A171DC"/>
    <w:p w:rsidR="006836FE" w:rsidRDefault="006836FE" w:rsidP="00A171DC">
      <w:pPr>
        <w:sectPr w:rsidR="006836FE" w:rsidSect="00EF0E3A">
          <w:pgSz w:w="11907" w:h="16839" w:code="9"/>
          <w:pgMar w:top="1134" w:right="1134" w:bottom="1134" w:left="1134" w:header="624" w:footer="567" w:gutter="0"/>
          <w:cols w:sep="1" w:space="567"/>
          <w:docGrid w:linePitch="360"/>
        </w:sectPr>
      </w:pPr>
    </w:p>
    <w:p w:rsidR="006836FE" w:rsidRDefault="00955520" w:rsidP="00B31B6A">
      <w:pPr>
        <w:pStyle w:val="Heading10"/>
        <w:spacing w:before="0"/>
      </w:pPr>
      <w:bookmarkStart w:id="0" w:name="Overview"/>
      <w:r w:rsidRPr="006836FE">
        <w:lastRenderedPageBreak/>
        <w:t>Overview</w:t>
      </w:r>
      <w:bookmarkEnd w:id="0"/>
    </w:p>
    <w:p w:rsidR="00423FB1" w:rsidRDefault="00423FB1" w:rsidP="00B31B6A">
      <w:r>
        <w:t>This financial report presents the Victorian general government sector fin</w:t>
      </w:r>
      <w:r w:rsidR="00132420">
        <w:t>ancial statements for the three</w:t>
      </w:r>
      <w:r w:rsidR="00132420">
        <w:noBreakHyphen/>
      </w:r>
      <w:r>
        <w:t>month period end</w:t>
      </w:r>
      <w:r w:rsidR="00393A0A">
        <w:t>ed</w:t>
      </w:r>
      <w:r>
        <w:t xml:space="preserve"> </w:t>
      </w:r>
      <w:r w:rsidRPr="00423FB1">
        <w:t>30 September 2017</w:t>
      </w:r>
      <w:r>
        <w:t>.</w:t>
      </w:r>
    </w:p>
    <w:p w:rsidR="00423FB1" w:rsidRDefault="00423FB1" w:rsidP="008C5D0F">
      <w:pPr>
        <w:ind w:right="-142"/>
      </w:pPr>
      <w:r>
        <w:t>Victoria</w:t>
      </w:r>
      <w:r w:rsidR="000D716D">
        <w:t>’</w:t>
      </w:r>
      <w:r>
        <w:t>s econom</w:t>
      </w:r>
      <w:r w:rsidR="00393A0A">
        <w:t xml:space="preserve">y </w:t>
      </w:r>
      <w:r>
        <w:t>gr</w:t>
      </w:r>
      <w:r w:rsidR="00393A0A">
        <w:t>ew</w:t>
      </w:r>
      <w:r>
        <w:t xml:space="preserve"> strong</w:t>
      </w:r>
      <w:r w:rsidR="00393A0A">
        <w:t>ly</w:t>
      </w:r>
      <w:r>
        <w:t xml:space="preserve"> and continues to outpace all other states.</w:t>
      </w:r>
      <w:r w:rsidR="00394286">
        <w:t xml:space="preserve"> Economic activity</w:t>
      </w:r>
      <w:r w:rsidR="00202468">
        <w:t xml:space="preserve"> is</w:t>
      </w:r>
      <w:r w:rsidR="009E75D1">
        <w:t xml:space="preserve"> </w:t>
      </w:r>
      <w:r>
        <w:t xml:space="preserve">underpinned by </w:t>
      </w:r>
      <w:r w:rsidR="001921DD">
        <w:t xml:space="preserve">high </w:t>
      </w:r>
      <w:r>
        <w:t xml:space="preserve">population </w:t>
      </w:r>
      <w:r w:rsidR="001921DD">
        <w:t xml:space="preserve">growth </w:t>
      </w:r>
      <w:r>
        <w:t xml:space="preserve">and the </w:t>
      </w:r>
      <w:r w:rsidR="001921DD">
        <w:t xml:space="preserve">positive impact of low interest rates. </w:t>
      </w:r>
      <w:r>
        <w:t>The strength of the Victorian economy is reflected in the June quarter national accounts, which show Victoria</w:t>
      </w:r>
      <w:r w:rsidR="000D716D">
        <w:t>’</w:t>
      </w:r>
      <w:r>
        <w:t xml:space="preserve">s state final demand </w:t>
      </w:r>
      <w:r w:rsidR="00394286">
        <w:t xml:space="preserve">expanded by </w:t>
      </w:r>
      <w:r>
        <w:t>3.9</w:t>
      </w:r>
      <w:r w:rsidRPr="00423FB1">
        <w:t> per cent</w:t>
      </w:r>
      <w:r>
        <w:t xml:space="preserve"> in </w:t>
      </w:r>
      <w:r w:rsidRPr="00423FB1">
        <w:t>201</w:t>
      </w:r>
      <w:r w:rsidR="00394286">
        <w:t>6</w:t>
      </w:r>
      <w:r w:rsidRPr="00423FB1">
        <w:noBreakHyphen/>
        <w:t>1</w:t>
      </w:r>
      <w:r w:rsidR="00394286">
        <w:t>7</w:t>
      </w:r>
      <w:r>
        <w:t xml:space="preserve">, well above the national average. </w:t>
      </w:r>
    </w:p>
    <w:p w:rsidR="00423FB1" w:rsidRDefault="00423FB1" w:rsidP="00B31B6A">
      <w:r>
        <w:t>Victoria</w:t>
      </w:r>
      <w:r w:rsidR="000D716D">
        <w:t>’</w:t>
      </w:r>
      <w:r w:rsidR="0049148D">
        <w:t>s</w:t>
      </w:r>
      <w:r>
        <w:t xml:space="preserve"> employment increased by 114 400 </w:t>
      </w:r>
      <w:r w:rsidR="009E75D1">
        <w:t xml:space="preserve">persons </w:t>
      </w:r>
      <w:r>
        <w:t>over the year to September 2017, the largest increase in absolute terms of all the states. Victoria</w:t>
      </w:r>
      <w:r w:rsidR="000D716D">
        <w:t>’</w:t>
      </w:r>
      <w:r>
        <w:t>s labour force participation rate reached its highest level on record</w:t>
      </w:r>
      <w:r w:rsidR="00A709FC">
        <w:t>.</w:t>
      </w:r>
    </w:p>
    <w:p w:rsidR="00423FB1" w:rsidRDefault="00423FB1" w:rsidP="00B31B6A">
      <w:r>
        <w:t>Strong employment growth is supporting household cons</w:t>
      </w:r>
      <w:r w:rsidR="0049148D">
        <w:t>umption and dwelling investment.</w:t>
      </w:r>
      <w:r>
        <w:t xml:space="preserve"> </w:t>
      </w:r>
      <w:r w:rsidR="0049148D">
        <w:t>I</w:t>
      </w:r>
      <w:r>
        <w:t>mproving</w:t>
      </w:r>
      <w:r w:rsidR="00CE372B">
        <w:t xml:space="preserve"> </w:t>
      </w:r>
      <w:r>
        <w:t xml:space="preserve">business conditions are expected to </w:t>
      </w:r>
      <w:r w:rsidR="00393A0A">
        <w:t>assist</w:t>
      </w:r>
      <w:r w:rsidR="00322044">
        <w:t xml:space="preserve"> business investment growth</w:t>
      </w:r>
      <w:r>
        <w:t xml:space="preserve">. </w:t>
      </w:r>
    </w:p>
    <w:p w:rsidR="00423FB1" w:rsidRDefault="0049148D" w:rsidP="00B31B6A">
      <w:r>
        <w:t>The G</w:t>
      </w:r>
      <w:r w:rsidR="00423FB1">
        <w:t>overnment continues to make significant investments, particularly in the transport</w:t>
      </w:r>
      <w:r w:rsidR="004A24D6">
        <w:t xml:space="preserve">, health and education </w:t>
      </w:r>
      <w:r w:rsidR="00423FB1">
        <w:t>sector</w:t>
      </w:r>
      <w:r w:rsidR="004A24D6">
        <w:t>s</w:t>
      </w:r>
      <w:r w:rsidR="00423FB1">
        <w:t>, to deliver high quality services and enhance economic productivity.</w:t>
      </w:r>
    </w:p>
    <w:p w:rsidR="00457575" w:rsidRDefault="00955520" w:rsidP="00955520">
      <w:pPr>
        <w:pStyle w:val="Heading10"/>
        <w:pageBreakBefore w:val="0"/>
      </w:pPr>
      <w:bookmarkStart w:id="1" w:name="GGSectorOutcome"/>
      <w:r>
        <w:t>General government sector outcome</w:t>
      </w:r>
    </w:p>
    <w:p w:rsidR="006836FE" w:rsidRDefault="00457575" w:rsidP="00EA775F">
      <w:pPr>
        <w:pStyle w:val="Heading30"/>
      </w:pPr>
      <w:bookmarkStart w:id="2" w:name="FinancialPerformance"/>
      <w:bookmarkEnd w:id="1"/>
      <w:r>
        <w:t>Financial performance</w:t>
      </w:r>
    </w:p>
    <w:bookmarkEnd w:id="2"/>
    <w:p w:rsidR="008160AA" w:rsidRDefault="008160AA" w:rsidP="00B31B6A">
      <w:r w:rsidRPr="00CC5CE9">
        <w:t>The gener</w:t>
      </w:r>
      <w:r w:rsidR="00046AB9" w:rsidRPr="00CC5CE9">
        <w:t>al government sector recorded a net result from transactions</w:t>
      </w:r>
      <w:r w:rsidRPr="00CC5CE9">
        <w:t xml:space="preserve"> of </w:t>
      </w:r>
      <w:r w:rsidR="00E33011" w:rsidRPr="00CC5CE9">
        <w:t>$555</w:t>
      </w:r>
      <w:r w:rsidRPr="00CC5CE9">
        <w:t xml:space="preserve"> million</w:t>
      </w:r>
      <w:r w:rsidRPr="00CC5CE9">
        <w:rPr>
          <w:color w:val="FF0000"/>
        </w:rPr>
        <w:t xml:space="preserve"> </w:t>
      </w:r>
      <w:r w:rsidR="00E33011" w:rsidRPr="00CC5CE9">
        <w:t>for the</w:t>
      </w:r>
      <w:r w:rsidR="00E33011">
        <w:t xml:space="preserve"> three months to 30 September </w:t>
      </w:r>
      <w:r w:rsidR="00046AB9">
        <w:t>2017</w:t>
      </w:r>
      <w:r w:rsidR="002A65E1">
        <w:t>,</w:t>
      </w:r>
      <w:r w:rsidR="00046AB9">
        <w:t xml:space="preserve"> compared </w:t>
      </w:r>
      <w:r w:rsidR="00B17565">
        <w:t xml:space="preserve">with </w:t>
      </w:r>
      <w:r>
        <w:t>$480</w:t>
      </w:r>
      <w:r w:rsidR="00A376D5">
        <w:t> </w:t>
      </w:r>
      <w:r>
        <w:t>million f</w:t>
      </w:r>
      <w:r w:rsidR="00046AB9">
        <w:t>or the first quarter of 2016-17</w:t>
      </w:r>
      <w:r>
        <w:t xml:space="preserve">. </w:t>
      </w:r>
    </w:p>
    <w:p w:rsidR="002B6496" w:rsidRDefault="0086082D" w:rsidP="00B31B6A">
      <w:r>
        <w:t>Similar to previous</w:t>
      </w:r>
      <w:r w:rsidR="002B6496">
        <w:t xml:space="preserve"> years, the uneven </w:t>
      </w:r>
      <w:r w:rsidR="008160AA">
        <w:t xml:space="preserve">recognition pattern of various </w:t>
      </w:r>
      <w:r w:rsidR="002B6496">
        <w:t xml:space="preserve">major </w:t>
      </w:r>
      <w:r w:rsidR="008160AA">
        <w:t xml:space="preserve">revenue items </w:t>
      </w:r>
      <w:r w:rsidR="002B6496">
        <w:t xml:space="preserve">such as land tax, </w:t>
      </w:r>
      <w:r w:rsidR="00860E4F">
        <w:t xml:space="preserve">the </w:t>
      </w:r>
      <w:r w:rsidR="00DF06D8">
        <w:t>Fire Services Property Levy</w:t>
      </w:r>
      <w:r w:rsidR="00860E4F">
        <w:t>, C</w:t>
      </w:r>
      <w:r w:rsidR="002B6496">
        <w:t>ommonwealth grants and dividends</w:t>
      </w:r>
      <w:r w:rsidR="000D0A50">
        <w:t xml:space="preserve"> from public corporations </w:t>
      </w:r>
      <w:r w:rsidR="008160AA">
        <w:t>has a significant impact on quarterly operating results</w:t>
      </w:r>
      <w:r w:rsidR="007E6EA8">
        <w:t xml:space="preserve">. Accordingly, </w:t>
      </w:r>
      <w:r w:rsidR="002B6496">
        <w:t xml:space="preserve">care needs to be taken in their interpretation </w:t>
      </w:r>
      <w:r w:rsidR="00B2750F">
        <w:t xml:space="preserve">and </w:t>
      </w:r>
      <w:r w:rsidR="005C3B9F">
        <w:t xml:space="preserve">projecting </w:t>
      </w:r>
      <w:r w:rsidR="002B6496">
        <w:t>potential annual outcomes.</w:t>
      </w:r>
      <w:r w:rsidR="008160AA">
        <w:t xml:space="preserve"> </w:t>
      </w:r>
    </w:p>
    <w:p w:rsidR="008160AA" w:rsidRPr="00CC5CE9" w:rsidRDefault="007C0AFE" w:rsidP="00B31B6A">
      <w:bookmarkStart w:id="3" w:name="_GoBack"/>
      <w:bookmarkEnd w:id="3"/>
      <w:r>
        <w:br w:type="column"/>
      </w:r>
      <w:r w:rsidR="008160AA" w:rsidRPr="00CC5CE9">
        <w:lastRenderedPageBreak/>
        <w:t xml:space="preserve">Revenue for the quarter totalled $15.2 billion, or </w:t>
      </w:r>
      <w:r>
        <w:t>24.0 </w:t>
      </w:r>
      <w:r w:rsidR="008160AA" w:rsidRPr="00CC5CE9">
        <w:t>per cent</w:t>
      </w:r>
      <w:r w:rsidR="008160AA" w:rsidRPr="00CC5CE9">
        <w:rPr>
          <w:color w:val="FF0000"/>
        </w:rPr>
        <w:t xml:space="preserve"> </w:t>
      </w:r>
      <w:r w:rsidR="008160AA" w:rsidRPr="00CC5CE9">
        <w:t>of the full year budget. Although revenue levels are tracking slightly below bud</w:t>
      </w:r>
      <w:r w:rsidR="0086082D">
        <w:t>get, this is consistent with</w:t>
      </w:r>
      <w:r w:rsidR="008160AA" w:rsidRPr="00CC5CE9">
        <w:t xml:space="preserve"> previous years </w:t>
      </w:r>
      <w:r w:rsidR="002B6496" w:rsidRPr="00CC5CE9">
        <w:t xml:space="preserve">and expectations for the current year to date, </w:t>
      </w:r>
      <w:r w:rsidR="008160AA" w:rsidRPr="00CC5CE9">
        <w:t xml:space="preserve">due to the </w:t>
      </w:r>
      <w:r w:rsidR="00046AB9" w:rsidRPr="00CC5CE9">
        <w:t xml:space="preserve">timing </w:t>
      </w:r>
      <w:r w:rsidR="008160AA" w:rsidRPr="00CC5CE9">
        <w:t>of certain revenue items, in particular:</w:t>
      </w:r>
    </w:p>
    <w:p w:rsidR="00046AB9" w:rsidRPr="00CC5CE9" w:rsidRDefault="00FD1F90" w:rsidP="00532CAE">
      <w:pPr>
        <w:pStyle w:val="ListBullet"/>
      </w:pPr>
      <w:r w:rsidRPr="00CC5CE9">
        <w:t xml:space="preserve">land tax recognition </w:t>
      </w:r>
      <w:r w:rsidR="00860E4F">
        <w:t xml:space="preserve">is </w:t>
      </w:r>
      <w:r w:rsidR="002B6496" w:rsidRPr="00CC5CE9">
        <w:t>$526</w:t>
      </w:r>
      <w:r w:rsidR="00B31B6A">
        <w:t> million</w:t>
      </w:r>
      <w:r w:rsidR="002B6496" w:rsidRPr="00CC5CE9">
        <w:t xml:space="preserve"> below the pro</w:t>
      </w:r>
      <w:r w:rsidR="00B31B6A">
        <w:noBreakHyphen/>
      </w:r>
      <w:r w:rsidR="002B6496" w:rsidRPr="00CC5CE9">
        <w:t xml:space="preserve">rata budget, </w:t>
      </w:r>
      <w:r w:rsidRPr="00CC5CE9">
        <w:t xml:space="preserve">as </w:t>
      </w:r>
      <w:r w:rsidR="00046AB9" w:rsidRPr="00CC5CE9">
        <w:t xml:space="preserve">the majority of </w:t>
      </w:r>
      <w:r w:rsidRPr="00CC5CE9">
        <w:t xml:space="preserve">land </w:t>
      </w:r>
      <w:r w:rsidR="006A48F3" w:rsidRPr="00CC5CE9">
        <w:t xml:space="preserve">tax is </w:t>
      </w:r>
      <w:r w:rsidR="00046AB9" w:rsidRPr="00CC5CE9">
        <w:t>billed and recognised in the M</w:t>
      </w:r>
      <w:r w:rsidRPr="00CC5CE9">
        <w:t xml:space="preserve">arch quarter, offset by the </w:t>
      </w:r>
      <w:r w:rsidR="00DF06D8" w:rsidRPr="00CC5CE9">
        <w:t>Fire Ser</w:t>
      </w:r>
      <w:r w:rsidR="00DF06D8">
        <w:t xml:space="preserve">vices Property Levy </w:t>
      </w:r>
      <w:r w:rsidR="00680AB2">
        <w:t>tracking $489</w:t>
      </w:r>
      <w:r w:rsidR="00B31B6A">
        <w:t> </w:t>
      </w:r>
      <w:r w:rsidRPr="00CC5CE9">
        <w:t>m</w:t>
      </w:r>
      <w:r w:rsidR="00B31B6A">
        <w:t>illion</w:t>
      </w:r>
      <w:r w:rsidRPr="00CC5CE9">
        <w:t xml:space="preserve"> above the pro-rata budget due to its </w:t>
      </w:r>
      <w:r w:rsidR="002B6496" w:rsidRPr="00CC5CE9">
        <w:t>billing</w:t>
      </w:r>
      <w:r w:rsidR="008A1A14" w:rsidRPr="00CC5CE9">
        <w:t xml:space="preserve"> </w:t>
      </w:r>
      <w:r w:rsidRPr="00CC5CE9">
        <w:t xml:space="preserve">in the September quarter; </w:t>
      </w:r>
    </w:p>
    <w:p w:rsidR="008160AA" w:rsidRPr="00CC5CE9" w:rsidRDefault="008160AA" w:rsidP="00532CAE">
      <w:pPr>
        <w:pStyle w:val="ListBullet"/>
      </w:pPr>
      <w:r w:rsidRPr="00CC5CE9">
        <w:t xml:space="preserve">grant revenue </w:t>
      </w:r>
      <w:r w:rsidR="00D7558D">
        <w:t>is $556 million below the pro-rata budget</w:t>
      </w:r>
      <w:r w:rsidR="00E23ACD">
        <w:t>,</w:t>
      </w:r>
      <w:r w:rsidR="00D7558D">
        <w:t xml:space="preserve"> </w:t>
      </w:r>
      <w:r w:rsidRPr="00CC5CE9">
        <w:t xml:space="preserve">primarily </w:t>
      </w:r>
      <w:r w:rsidR="00D7558D">
        <w:t xml:space="preserve">impacted by the </w:t>
      </w:r>
      <w:r w:rsidRPr="00CC5CE9">
        <w:t>timing of Commonwealth Government</w:t>
      </w:r>
      <w:r w:rsidR="005C3B9F">
        <w:t xml:space="preserve"> grants</w:t>
      </w:r>
      <w:r w:rsidRPr="00CC5CE9">
        <w:t>;</w:t>
      </w:r>
      <w:r w:rsidR="00E56971" w:rsidRPr="00CC5CE9">
        <w:t xml:space="preserve"> and</w:t>
      </w:r>
    </w:p>
    <w:p w:rsidR="00E56971" w:rsidRDefault="008160AA" w:rsidP="00E56971">
      <w:pPr>
        <w:pStyle w:val="ListBullet"/>
      </w:pPr>
      <w:r>
        <w:t xml:space="preserve">dividends from </w:t>
      </w:r>
      <w:r w:rsidR="006A48F3">
        <w:t xml:space="preserve">public </w:t>
      </w:r>
      <w:r>
        <w:t>non-financial and financial corporations</w:t>
      </w:r>
      <w:r w:rsidR="00202468">
        <w:t xml:space="preserve"> are</w:t>
      </w:r>
      <w:r>
        <w:t xml:space="preserve"> </w:t>
      </w:r>
      <w:r w:rsidR="00390AB3">
        <w:t>lower than</w:t>
      </w:r>
      <w:r w:rsidR="00860E4F">
        <w:t xml:space="preserve"> the</w:t>
      </w:r>
      <w:r w:rsidR="00390AB3">
        <w:t xml:space="preserve"> pro-rata budget for the quarter as they are </w:t>
      </w:r>
      <w:r>
        <w:t xml:space="preserve">typically declared during the second and fourth quarters of </w:t>
      </w:r>
      <w:r w:rsidR="00E56971">
        <w:t xml:space="preserve">the relevant </w:t>
      </w:r>
      <w:r>
        <w:t>financial years</w:t>
      </w:r>
      <w:r w:rsidR="00E56971">
        <w:t>.</w:t>
      </w:r>
    </w:p>
    <w:p w:rsidR="008160AA" w:rsidRDefault="00E56971" w:rsidP="00B31B6A">
      <w:r>
        <w:t xml:space="preserve">In addition, </w:t>
      </w:r>
      <w:r w:rsidR="008160AA">
        <w:t xml:space="preserve">land transfer duty revenue </w:t>
      </w:r>
      <w:r w:rsidR="008A1A14">
        <w:t xml:space="preserve">was above </w:t>
      </w:r>
      <w:r w:rsidR="00860E4F">
        <w:t xml:space="preserve">the </w:t>
      </w:r>
      <w:r w:rsidR="008A1A14">
        <w:t xml:space="preserve">pro-rata budget </w:t>
      </w:r>
      <w:r w:rsidR="008160AA">
        <w:t xml:space="preserve">for the September quarter due to the strength of the </w:t>
      </w:r>
      <w:r w:rsidR="002C7909">
        <w:t xml:space="preserve">Victorian </w:t>
      </w:r>
      <w:r w:rsidR="008160AA">
        <w:t>property market.</w:t>
      </w:r>
    </w:p>
    <w:p w:rsidR="005C3B9F" w:rsidRDefault="008160AA" w:rsidP="00532CAE">
      <w:r w:rsidRPr="00CC5CE9">
        <w:t xml:space="preserve">Expenses from transactions totalled </w:t>
      </w:r>
      <w:r w:rsidR="00E33011" w:rsidRPr="00CC5CE9">
        <w:t>$14.6</w:t>
      </w:r>
      <w:r w:rsidRPr="00CC5CE9">
        <w:t xml:space="preserve"> billion</w:t>
      </w:r>
      <w:r w:rsidRPr="00CC5CE9">
        <w:rPr>
          <w:color w:val="FF0000"/>
        </w:rPr>
        <w:t xml:space="preserve"> </w:t>
      </w:r>
      <w:r w:rsidRPr="00CC5CE9">
        <w:t xml:space="preserve">for the September 2017 quarter, or </w:t>
      </w:r>
      <w:r w:rsidR="00E33011" w:rsidRPr="00CC5CE9">
        <w:t>23.5</w:t>
      </w:r>
      <w:r w:rsidRPr="00CC5CE9">
        <w:t> per cent</w:t>
      </w:r>
      <w:r w:rsidRPr="00CC5CE9">
        <w:rPr>
          <w:color w:val="FF0000"/>
        </w:rPr>
        <w:t xml:space="preserve"> </w:t>
      </w:r>
      <w:r w:rsidRPr="00CC5CE9">
        <w:t xml:space="preserve">of the annual budget for the year. </w:t>
      </w:r>
    </w:p>
    <w:p w:rsidR="008160AA" w:rsidRPr="00CC5CE9" w:rsidRDefault="008160AA" w:rsidP="00765E5C">
      <w:pPr>
        <w:ind w:right="-142"/>
      </w:pPr>
      <w:r w:rsidRPr="00CC5CE9">
        <w:t xml:space="preserve">Grant expenditure </w:t>
      </w:r>
      <w:r w:rsidR="005B655C">
        <w:t>was 22.6</w:t>
      </w:r>
      <w:r w:rsidR="00E33011" w:rsidRPr="00CC5CE9">
        <w:t xml:space="preserve"> per cent</w:t>
      </w:r>
      <w:r w:rsidR="00E33011" w:rsidRPr="00CC5CE9">
        <w:rPr>
          <w:color w:val="FF0000"/>
        </w:rPr>
        <w:t xml:space="preserve"> </w:t>
      </w:r>
      <w:r w:rsidR="00E33011" w:rsidRPr="00CC5CE9">
        <w:t xml:space="preserve">of </w:t>
      </w:r>
      <w:r w:rsidR="0086082D">
        <w:t xml:space="preserve">the </w:t>
      </w:r>
      <w:r w:rsidR="00E33011" w:rsidRPr="00CC5CE9">
        <w:t>p</w:t>
      </w:r>
      <w:r w:rsidR="00441965" w:rsidRPr="00CC5CE9">
        <w:t>ublished budget for the quarter</w:t>
      </w:r>
      <w:r w:rsidR="00E33011" w:rsidRPr="00CC5CE9">
        <w:t xml:space="preserve">. </w:t>
      </w:r>
      <w:r w:rsidRPr="00CC5CE9">
        <w:t xml:space="preserve">Grants were lower than the pro-rata budget </w:t>
      </w:r>
      <w:r w:rsidR="00444736" w:rsidRPr="00CC5CE9">
        <w:t xml:space="preserve">due </w:t>
      </w:r>
      <w:r w:rsidRPr="00CC5CE9">
        <w:t>to</w:t>
      </w:r>
      <w:r w:rsidR="00444736" w:rsidRPr="00CC5CE9">
        <w:t xml:space="preserve"> lower grants on</w:t>
      </w:r>
      <w:r w:rsidR="00CC2ABB">
        <w:noBreakHyphen/>
      </w:r>
      <w:r w:rsidR="00444736" w:rsidRPr="00CC5CE9">
        <w:t xml:space="preserve">passed to local government as a result of the Commonwealth bringing forward </w:t>
      </w:r>
      <w:r w:rsidR="00441965" w:rsidRPr="00CC5CE9">
        <w:t>t</w:t>
      </w:r>
      <w:r w:rsidR="00444736" w:rsidRPr="00CC5CE9">
        <w:t>he first two quarters of 2017-18 grants into the 2016-17 financial year</w:t>
      </w:r>
      <w:r w:rsidR="00441965" w:rsidRPr="00CC5CE9">
        <w:t xml:space="preserve"> </w:t>
      </w:r>
      <w:r w:rsidR="00594065" w:rsidRPr="00CC5CE9">
        <w:t>and</w:t>
      </w:r>
      <w:r w:rsidR="00444736" w:rsidRPr="00CC5CE9">
        <w:t xml:space="preserve"> the timing of </w:t>
      </w:r>
      <w:r w:rsidR="00594065" w:rsidRPr="00CC5CE9">
        <w:t>activity for certain grant payments across the major departments.</w:t>
      </w:r>
    </w:p>
    <w:p w:rsidR="008160AA" w:rsidRPr="00B67E82" w:rsidRDefault="008160AA" w:rsidP="00B31B6A">
      <w:r w:rsidRPr="00CC5CE9">
        <w:t>Other significant expenditure categories include employee expenses and other operating expense</w:t>
      </w:r>
      <w:r w:rsidR="00441965" w:rsidRPr="00CC5CE9">
        <w:t>s</w:t>
      </w:r>
      <w:r w:rsidR="00390AB3" w:rsidRPr="00CC5CE9">
        <w:t xml:space="preserve">. These </w:t>
      </w:r>
      <w:r w:rsidRPr="00CC5CE9">
        <w:t xml:space="preserve">tracked slightly below </w:t>
      </w:r>
      <w:r w:rsidR="00444736" w:rsidRPr="00CC5CE9">
        <w:t xml:space="preserve">pro-rata </w:t>
      </w:r>
      <w:r w:rsidRPr="00CC5CE9">
        <w:t>for the September quarter</w:t>
      </w:r>
      <w:r w:rsidR="005D38EF">
        <w:t>,</w:t>
      </w:r>
      <w:r w:rsidRPr="00CC5CE9">
        <w:t xml:space="preserve"> at </w:t>
      </w:r>
      <w:r w:rsidR="00E33011" w:rsidRPr="00CC5CE9">
        <w:t>24.3</w:t>
      </w:r>
      <w:r w:rsidRPr="00CC5CE9">
        <w:t xml:space="preserve"> per cent</w:t>
      </w:r>
      <w:r w:rsidRPr="00CC5CE9">
        <w:rPr>
          <w:color w:val="FF0000"/>
        </w:rPr>
        <w:t xml:space="preserve"> </w:t>
      </w:r>
      <w:r w:rsidRPr="00CC5CE9">
        <w:t xml:space="preserve">and </w:t>
      </w:r>
      <w:r w:rsidR="005B655C">
        <w:t>23.2</w:t>
      </w:r>
      <w:r w:rsidR="00A376D5">
        <w:t> </w:t>
      </w:r>
      <w:r w:rsidRPr="00CC5CE9">
        <w:t>per cent</w:t>
      </w:r>
      <w:r w:rsidRPr="00CC5CE9">
        <w:rPr>
          <w:color w:val="FF0000"/>
        </w:rPr>
        <w:t xml:space="preserve"> </w:t>
      </w:r>
      <w:r w:rsidRPr="00CC5CE9">
        <w:t>of th</w:t>
      </w:r>
      <w:r w:rsidR="002A65E1" w:rsidRPr="00CC5CE9">
        <w:t>e published budget respectively, in</w:t>
      </w:r>
      <w:r w:rsidR="00B31B6A">
        <w:t> </w:t>
      </w:r>
      <w:r w:rsidR="002A65E1" w:rsidRPr="00CC5CE9">
        <w:t>line with expectations.</w:t>
      </w:r>
    </w:p>
    <w:p w:rsidR="007C0AFE" w:rsidRDefault="008160AA" w:rsidP="00B31B6A">
      <w:pPr>
        <w:ind w:right="-113"/>
        <w:rPr>
          <w:color w:val="000000" w:themeColor="text1"/>
        </w:rPr>
      </w:pPr>
      <w:r w:rsidRPr="00CC5CE9">
        <w:rPr>
          <w:color w:val="000000" w:themeColor="text1"/>
        </w:rPr>
        <w:t xml:space="preserve">The comprehensive result includes other economic flows that are not included in the net </w:t>
      </w:r>
      <w:r w:rsidR="0091730C" w:rsidRPr="00CC5CE9">
        <w:rPr>
          <w:color w:val="000000" w:themeColor="text1"/>
        </w:rPr>
        <w:t>result from transactions</w:t>
      </w:r>
      <w:r w:rsidR="005D38EF">
        <w:rPr>
          <w:color w:val="000000" w:themeColor="text1"/>
        </w:rPr>
        <w:t xml:space="preserve">. The comprehensive result </w:t>
      </w:r>
      <w:r w:rsidRPr="00CC5CE9">
        <w:rPr>
          <w:color w:val="000000" w:themeColor="text1"/>
        </w:rPr>
        <w:t>was</w:t>
      </w:r>
      <w:r w:rsidR="008A1A14" w:rsidRPr="00CC5CE9">
        <w:rPr>
          <w:color w:val="000000" w:themeColor="text1"/>
        </w:rPr>
        <w:t xml:space="preserve"> a surplus</w:t>
      </w:r>
      <w:r w:rsidRPr="00CC5CE9">
        <w:rPr>
          <w:color w:val="000000" w:themeColor="text1"/>
        </w:rPr>
        <w:t xml:space="preserve"> </w:t>
      </w:r>
      <w:r w:rsidR="008A1A14" w:rsidRPr="00CC5CE9">
        <w:rPr>
          <w:color w:val="000000" w:themeColor="text1"/>
        </w:rPr>
        <w:t xml:space="preserve">of </w:t>
      </w:r>
      <w:r w:rsidR="008653F6" w:rsidRPr="00CC5CE9">
        <w:t>$1.7</w:t>
      </w:r>
      <w:r w:rsidRPr="00CC5CE9">
        <w:t xml:space="preserve"> billion for the quarter,</w:t>
      </w:r>
      <w:r w:rsidRPr="00CC5CE9">
        <w:rPr>
          <w:color w:val="FF0000"/>
        </w:rPr>
        <w:t xml:space="preserve"> </w:t>
      </w:r>
      <w:r w:rsidRPr="00CC5CE9">
        <w:rPr>
          <w:color w:val="000000" w:themeColor="text1"/>
        </w:rPr>
        <w:t xml:space="preserve">compared </w:t>
      </w:r>
      <w:r w:rsidR="008A1A14" w:rsidRPr="00CC5CE9">
        <w:rPr>
          <w:color w:val="000000" w:themeColor="text1"/>
        </w:rPr>
        <w:t>with</w:t>
      </w:r>
      <w:r w:rsidRPr="00CC5CE9">
        <w:rPr>
          <w:color w:val="000000" w:themeColor="text1"/>
        </w:rPr>
        <w:t xml:space="preserve"> </w:t>
      </w:r>
      <w:r w:rsidR="005D38EF">
        <w:rPr>
          <w:color w:val="000000" w:themeColor="text1"/>
        </w:rPr>
        <w:br/>
      </w:r>
      <w:r w:rsidRPr="00CC5CE9">
        <w:rPr>
          <w:color w:val="000000" w:themeColor="text1"/>
        </w:rPr>
        <w:t>$607 million over the same period in 2016-17. The comprehensive result includes a</w:t>
      </w:r>
      <w:r w:rsidRPr="00CC5CE9">
        <w:rPr>
          <w:color w:val="FF0000"/>
        </w:rPr>
        <w:t xml:space="preserve"> </w:t>
      </w:r>
      <w:r w:rsidRPr="00CC5CE9">
        <w:t>$1.3</w:t>
      </w:r>
      <w:r w:rsidR="005F182C" w:rsidRPr="00CC5CE9">
        <w:t> </w:t>
      </w:r>
      <w:r w:rsidRPr="00CC5CE9">
        <w:t>billion</w:t>
      </w:r>
      <w:r w:rsidRPr="00CC5CE9">
        <w:rPr>
          <w:color w:val="FF0000"/>
        </w:rPr>
        <w:t xml:space="preserve"> </w:t>
      </w:r>
      <w:proofErr w:type="spellStart"/>
      <w:r w:rsidR="007C0AFE">
        <w:rPr>
          <w:color w:val="000000" w:themeColor="text1"/>
        </w:rPr>
        <w:t>re</w:t>
      </w:r>
      <w:r w:rsidRPr="00CC5CE9">
        <w:rPr>
          <w:color w:val="000000" w:themeColor="text1"/>
        </w:rPr>
        <w:t>measurement</w:t>
      </w:r>
      <w:proofErr w:type="spellEnd"/>
      <w:r w:rsidRPr="00CC5CE9">
        <w:rPr>
          <w:color w:val="000000" w:themeColor="text1"/>
        </w:rPr>
        <w:t xml:space="preserve"> </w:t>
      </w:r>
      <w:r w:rsidR="00CB4527" w:rsidRPr="00CC5CE9">
        <w:rPr>
          <w:color w:val="000000" w:themeColor="text1"/>
        </w:rPr>
        <w:t xml:space="preserve">gain on </w:t>
      </w:r>
      <w:r w:rsidRPr="00CC5CE9">
        <w:rPr>
          <w:color w:val="000000" w:themeColor="text1"/>
        </w:rPr>
        <w:t>the State</w:t>
      </w:r>
      <w:r w:rsidR="000D716D">
        <w:rPr>
          <w:color w:val="000000" w:themeColor="text1"/>
        </w:rPr>
        <w:t>’</w:t>
      </w:r>
      <w:r w:rsidRPr="00CC5CE9">
        <w:rPr>
          <w:color w:val="000000" w:themeColor="text1"/>
        </w:rPr>
        <w:t xml:space="preserve">s defined benefit superannuation </w:t>
      </w:r>
      <w:r w:rsidR="00CB4527" w:rsidRPr="00CC5CE9">
        <w:rPr>
          <w:color w:val="000000" w:themeColor="text1"/>
        </w:rPr>
        <w:t>liability</w:t>
      </w:r>
      <w:r w:rsidRPr="00CC5CE9">
        <w:rPr>
          <w:color w:val="000000" w:themeColor="text1"/>
        </w:rPr>
        <w:t>.</w:t>
      </w:r>
    </w:p>
    <w:p w:rsidR="007C0AFE" w:rsidRDefault="007C0AFE">
      <w:pPr>
        <w:rPr>
          <w:color w:val="000000" w:themeColor="text1"/>
        </w:rPr>
      </w:pPr>
      <w:r>
        <w:rPr>
          <w:color w:val="000000" w:themeColor="text1"/>
        </w:rPr>
        <w:br w:type="page"/>
      </w:r>
    </w:p>
    <w:p w:rsidR="00457575" w:rsidRDefault="00457575" w:rsidP="00EA775F">
      <w:pPr>
        <w:pStyle w:val="Heading30"/>
      </w:pPr>
      <w:bookmarkStart w:id="4" w:name="FinancialPosition"/>
      <w:r w:rsidRPr="00CC5CE9">
        <w:lastRenderedPageBreak/>
        <w:t>Financial position</w:t>
      </w:r>
      <w:bookmarkEnd w:id="4"/>
    </w:p>
    <w:p w:rsidR="008160AA" w:rsidRPr="00532CAE" w:rsidRDefault="008160AA" w:rsidP="00B31B6A">
      <w:r>
        <w:t xml:space="preserve">Total assets movements were not significant during the three months to September, increasing by </w:t>
      </w:r>
      <w:r w:rsidR="00814957">
        <w:t>$95</w:t>
      </w:r>
      <w:r w:rsidR="00132420">
        <w:t> </w:t>
      </w:r>
      <w:r w:rsidR="00CB4527" w:rsidRPr="00CC5CE9">
        <w:t>million</w:t>
      </w:r>
      <w:r w:rsidR="005F182C" w:rsidRPr="00CC5CE9">
        <w:t> </w:t>
      </w:r>
      <w:r w:rsidRPr="00CC5CE9">
        <w:t>to $</w:t>
      </w:r>
      <w:r w:rsidR="00814957">
        <w:t>244.6</w:t>
      </w:r>
      <w:r w:rsidRPr="00CC5CE9">
        <w:t xml:space="preserve"> billion</w:t>
      </w:r>
      <w:r w:rsidR="00CB4527" w:rsidRPr="00CC5CE9">
        <w:t>. Total assets are</w:t>
      </w:r>
      <w:r w:rsidRPr="00CC5CE9">
        <w:t xml:space="preserve"> expected to increase throughout the remainder of 2017-18 as a result of</w:t>
      </w:r>
      <w:r w:rsidR="002A65E1" w:rsidRPr="00CC5CE9">
        <w:t xml:space="preserve"> the</w:t>
      </w:r>
      <w:r w:rsidRPr="00CC5CE9">
        <w:t xml:space="preserve"> </w:t>
      </w:r>
      <w:r w:rsidR="007E6EA8">
        <w:t>G</w:t>
      </w:r>
      <w:r w:rsidR="00CB4527" w:rsidRPr="00CC5CE9">
        <w:t>overnment</w:t>
      </w:r>
      <w:r w:rsidR="000D716D">
        <w:t>’</w:t>
      </w:r>
      <w:r w:rsidR="00AA49E3">
        <w:t>s</w:t>
      </w:r>
      <w:r w:rsidR="00CB4527" w:rsidRPr="00CC5CE9">
        <w:t xml:space="preserve"> </w:t>
      </w:r>
      <w:r w:rsidRPr="00CC5CE9">
        <w:t xml:space="preserve">infrastructure </w:t>
      </w:r>
      <w:r w:rsidR="00CB4527" w:rsidRPr="00CC5CE9">
        <w:t xml:space="preserve">investment </w:t>
      </w:r>
      <w:r w:rsidR="002A65E1" w:rsidRPr="00CC5CE9">
        <w:t>program</w:t>
      </w:r>
      <w:r w:rsidRPr="00CC5CE9">
        <w:t>.</w:t>
      </w:r>
      <w:r w:rsidRPr="00CC5CE9">
        <w:rPr>
          <w:color w:val="FF0000"/>
        </w:rPr>
        <w:t xml:space="preserve"> </w:t>
      </w:r>
      <w:r w:rsidRPr="00CC5CE9">
        <w:t xml:space="preserve">Total liabilities </w:t>
      </w:r>
      <w:r w:rsidR="00CB4527" w:rsidRPr="00CC5CE9">
        <w:t xml:space="preserve">declined </w:t>
      </w:r>
      <w:r w:rsidRPr="00CC5CE9">
        <w:t xml:space="preserve">by </w:t>
      </w:r>
      <w:r w:rsidR="00935170" w:rsidRPr="00CC5CE9">
        <w:t>$1.6</w:t>
      </w:r>
      <w:r w:rsidR="00680AB2">
        <w:t> </w:t>
      </w:r>
      <w:r w:rsidR="00814957">
        <w:t>billion to $74.9</w:t>
      </w:r>
      <w:r w:rsidR="005F182C" w:rsidRPr="00CC5CE9">
        <w:t> </w:t>
      </w:r>
      <w:r w:rsidRPr="00CC5CE9">
        <w:t>billion</w:t>
      </w:r>
      <w:r w:rsidR="006A52FB">
        <w:t xml:space="preserve"> due to </w:t>
      </w:r>
      <w:r w:rsidRPr="00CC5CE9">
        <w:t xml:space="preserve">the </w:t>
      </w:r>
      <w:r w:rsidR="00CB4527" w:rsidRPr="00CC5CE9">
        <w:t xml:space="preserve">positive </w:t>
      </w:r>
      <w:proofErr w:type="spellStart"/>
      <w:r w:rsidRPr="00CC5CE9">
        <w:t>remeasurement</w:t>
      </w:r>
      <w:proofErr w:type="spellEnd"/>
      <w:r w:rsidRPr="00CC5CE9">
        <w:t xml:space="preserve"> of the defined benefit superannuation </w:t>
      </w:r>
      <w:r w:rsidR="00CB4527" w:rsidRPr="00CC5CE9">
        <w:t xml:space="preserve">liability and </w:t>
      </w:r>
      <w:r w:rsidR="006A52FB">
        <w:t xml:space="preserve">reduced </w:t>
      </w:r>
      <w:r w:rsidR="00CB4527" w:rsidRPr="00CC5CE9">
        <w:t>payables and provisions balances</w:t>
      </w:r>
      <w:r w:rsidRPr="00CC5CE9">
        <w:t>.</w:t>
      </w:r>
      <w:r w:rsidRPr="00532CAE">
        <w:t xml:space="preserve"> </w:t>
      </w:r>
    </w:p>
    <w:p w:rsidR="007F2F17" w:rsidRDefault="008160AA" w:rsidP="00765E5C">
      <w:pPr>
        <w:ind w:right="-142"/>
      </w:pPr>
      <w:r w:rsidRPr="00CC5CE9">
        <w:t xml:space="preserve">Net </w:t>
      </w:r>
      <w:r w:rsidR="00132420">
        <w:t>d</w:t>
      </w:r>
      <w:r w:rsidRPr="00CC5CE9">
        <w:t xml:space="preserve">ebt increased by $1.9 billion to </w:t>
      </w:r>
      <w:r w:rsidR="00814957">
        <w:t>$17.7</w:t>
      </w:r>
      <w:r w:rsidRPr="00CC5CE9">
        <w:t xml:space="preserve"> billion</w:t>
      </w:r>
      <w:r w:rsidRPr="00CC5CE9">
        <w:rPr>
          <w:color w:val="FF0000"/>
        </w:rPr>
        <w:t xml:space="preserve"> </w:t>
      </w:r>
      <w:r w:rsidR="00765E5C">
        <w:rPr>
          <w:color w:val="FF0000"/>
        </w:rPr>
        <w:br/>
      </w:r>
      <w:r w:rsidRPr="00CC5CE9">
        <w:t xml:space="preserve">over the quarter. This is consistent with </w:t>
      </w:r>
      <w:r w:rsidR="00390AB3" w:rsidRPr="00CC5CE9">
        <w:t>expectations</w:t>
      </w:r>
      <w:r w:rsidR="00CB4527" w:rsidRPr="00CC5CE9">
        <w:t>,</w:t>
      </w:r>
      <w:r w:rsidR="00390AB3" w:rsidRPr="00CC5CE9">
        <w:t xml:space="preserve"> driven mainly by </w:t>
      </w:r>
      <w:r w:rsidRPr="00CC5CE9">
        <w:t xml:space="preserve">funding the </w:t>
      </w:r>
      <w:r w:rsidR="002C00FD">
        <w:t>G</w:t>
      </w:r>
      <w:r w:rsidRPr="00CC5CE9">
        <w:t>overnment</w:t>
      </w:r>
      <w:r w:rsidR="000D716D">
        <w:t>’</w:t>
      </w:r>
      <w:r w:rsidRPr="00CC5CE9">
        <w:t>s infrastructure program.</w:t>
      </w:r>
    </w:p>
    <w:p w:rsidR="00457575" w:rsidRDefault="007F2F17" w:rsidP="007F2F17">
      <w:pPr>
        <w:pStyle w:val="Heading30"/>
        <w:spacing w:before="0"/>
      </w:pPr>
      <w:r>
        <w:br w:type="column"/>
      </w:r>
      <w:bookmarkStart w:id="5" w:name="CashFlows"/>
      <w:r w:rsidR="00457575">
        <w:lastRenderedPageBreak/>
        <w:t>Cash flows</w:t>
      </w:r>
      <w:bookmarkEnd w:id="5"/>
    </w:p>
    <w:p w:rsidR="00180823" w:rsidRDefault="008160AA" w:rsidP="00B31B6A">
      <w:r>
        <w:t>The movements disclosed in the cash flow statement are consistent with the above</w:t>
      </w:r>
      <w:r w:rsidR="00DF06D8">
        <w:noBreakHyphen/>
      </w:r>
      <w:r>
        <w:t>mentioned drivers associate</w:t>
      </w:r>
      <w:r w:rsidR="005266BD">
        <w:t>d with the net result</w:t>
      </w:r>
      <w:r>
        <w:t xml:space="preserve"> and </w:t>
      </w:r>
      <w:r w:rsidR="006A52FB">
        <w:t xml:space="preserve">the impact of the </w:t>
      </w:r>
      <w:r w:rsidR="00370421">
        <w:t>G</w:t>
      </w:r>
      <w:r>
        <w:t>overnment</w:t>
      </w:r>
      <w:r w:rsidR="000D716D">
        <w:t>’</w:t>
      </w:r>
      <w:r>
        <w:t>s infrastructure program.</w:t>
      </w:r>
    </w:p>
    <w:p w:rsidR="00457575" w:rsidRDefault="00457575" w:rsidP="00EA775F">
      <w:pPr>
        <w:pStyle w:val="Heading30"/>
      </w:pPr>
      <w:bookmarkStart w:id="6" w:name="InfrastructureInvestment"/>
      <w:r>
        <w:t>Infrastructure investment</w:t>
      </w:r>
    </w:p>
    <w:bookmarkEnd w:id="6"/>
    <w:p w:rsidR="008160AA" w:rsidRPr="00322C27" w:rsidRDefault="00FE4401" w:rsidP="00765E5C">
      <w:pPr>
        <w:ind w:right="-142"/>
      </w:pPr>
      <w:r w:rsidRPr="00F76D21">
        <w:t xml:space="preserve">Net investment </w:t>
      </w:r>
      <w:r w:rsidR="008160AA" w:rsidRPr="00F76D21">
        <w:t xml:space="preserve">in infrastructure totalled </w:t>
      </w:r>
      <w:r w:rsidRPr="00F76D21">
        <w:t>$1.</w:t>
      </w:r>
      <w:r w:rsidR="00AA2BA5">
        <w:t>9</w:t>
      </w:r>
      <w:r w:rsidR="008160AA" w:rsidRPr="00F76D21">
        <w:t xml:space="preserve"> billion</w:t>
      </w:r>
      <w:r w:rsidR="008160AA" w:rsidRPr="00F76D21">
        <w:rPr>
          <w:color w:val="FF0000"/>
        </w:rPr>
        <w:t xml:space="preserve"> </w:t>
      </w:r>
      <w:r w:rsidR="008160AA" w:rsidRPr="00F76D21">
        <w:t xml:space="preserve">for the three months to September 2017 </w:t>
      </w:r>
      <w:r w:rsidR="008160AA" w:rsidRPr="00FE4401">
        <w:t>($1.6 billion over the corresponding period in 2016). This investment supports the needs o</w:t>
      </w:r>
      <w:r w:rsidR="00EC462F">
        <w:t>f Victoria</w:t>
      </w:r>
      <w:r w:rsidR="000D716D">
        <w:t>’</w:t>
      </w:r>
      <w:r w:rsidR="00EC462F">
        <w:t>s growing population</w:t>
      </w:r>
      <w:r w:rsidR="008160AA" w:rsidRPr="00FE4401">
        <w:t xml:space="preserve"> and aligns with full year budget expectations.</w:t>
      </w:r>
    </w:p>
    <w:p w:rsidR="00533353" w:rsidRDefault="00533353" w:rsidP="00457575"/>
    <w:p w:rsidR="00DF06D8" w:rsidRDefault="00DF06D8" w:rsidP="00457575">
      <w:pPr>
        <w:sectPr w:rsidR="00DF06D8" w:rsidSect="00CE372B">
          <w:footerReference w:type="even" r:id="rId11"/>
          <w:footerReference w:type="default" r:id="rId12"/>
          <w:pgSz w:w="11907" w:h="16839" w:code="9"/>
          <w:pgMar w:top="851" w:right="1134" w:bottom="851" w:left="1134" w:header="624" w:footer="567" w:gutter="0"/>
          <w:pgNumType w:start="1"/>
          <w:cols w:num="2" w:space="567"/>
          <w:docGrid w:linePitch="360"/>
        </w:sectPr>
      </w:pPr>
    </w:p>
    <w:p w:rsidR="00457575" w:rsidRDefault="00457575" w:rsidP="00132420">
      <w:pPr>
        <w:pStyle w:val="HighlightBoxHeading"/>
      </w:pPr>
      <w:r>
        <w:lastRenderedPageBreak/>
        <w:t>The Government</w:t>
      </w:r>
      <w:r w:rsidR="000D716D">
        <w:t>’</w:t>
      </w:r>
      <w:r>
        <w:t>s infrastructure scorecard as at 30 September 201</w:t>
      </w:r>
      <w:r w:rsidR="00B4569C">
        <w:t>7</w:t>
      </w:r>
    </w:p>
    <w:p w:rsidR="00457575" w:rsidRDefault="00457575" w:rsidP="00457575">
      <w:pPr>
        <w:pStyle w:val="HighlightBoxText"/>
      </w:pPr>
      <w:r>
        <w:t>Major projects in progress include:</w:t>
      </w:r>
    </w:p>
    <w:p w:rsidR="00B804D5" w:rsidRPr="00B804D5" w:rsidRDefault="00AC4FE6" w:rsidP="00B804D5">
      <w:pPr>
        <w:pStyle w:val="HighlightBoxBullet"/>
        <w:keepLines/>
        <w:spacing w:before="40"/>
      </w:pPr>
      <w:r>
        <w:t>Ballarat Line U</w:t>
      </w:r>
      <w:r w:rsidR="00B804D5" w:rsidRPr="00B804D5">
        <w:t xml:space="preserve">pgrade; </w:t>
      </w:r>
    </w:p>
    <w:p w:rsidR="00B804D5" w:rsidRPr="00B804D5" w:rsidRDefault="00B804D5" w:rsidP="00B804D5">
      <w:pPr>
        <w:pStyle w:val="HighlightBoxBullet"/>
        <w:keepLines/>
        <w:spacing w:before="40"/>
      </w:pPr>
      <w:r w:rsidRPr="00B804D5">
        <w:t xml:space="preserve">Bendigo Hospital </w:t>
      </w:r>
      <w:r w:rsidR="00DF06D8">
        <w:t>– S</w:t>
      </w:r>
      <w:r w:rsidRPr="00B804D5">
        <w:t xml:space="preserve">tage </w:t>
      </w:r>
      <w:r w:rsidR="00DF06D8">
        <w:t>2</w:t>
      </w:r>
      <w:r w:rsidRPr="00B804D5">
        <w:t>;</w:t>
      </w:r>
    </w:p>
    <w:p w:rsidR="00B804D5" w:rsidRPr="00B804D5" w:rsidRDefault="00B804D5" w:rsidP="00B804D5">
      <w:pPr>
        <w:pStyle w:val="HighlightBoxBullet"/>
        <w:keepLines/>
        <w:spacing w:before="40"/>
      </w:pPr>
      <w:r w:rsidRPr="00B804D5">
        <w:t xml:space="preserve">Casey Hospital </w:t>
      </w:r>
      <w:r w:rsidR="00450637">
        <w:t>e</w:t>
      </w:r>
      <w:r w:rsidRPr="00B804D5">
        <w:t xml:space="preserve">xpansion; </w:t>
      </w:r>
    </w:p>
    <w:p w:rsidR="00B804D5" w:rsidRPr="00B804D5" w:rsidRDefault="00B804D5" w:rsidP="00B804D5">
      <w:pPr>
        <w:pStyle w:val="HighlightBoxBullet"/>
        <w:keepLines/>
        <w:spacing w:before="40"/>
      </w:pPr>
      <w:proofErr w:type="spellStart"/>
      <w:r w:rsidRPr="00B804D5">
        <w:t>CityLink</w:t>
      </w:r>
      <w:proofErr w:type="spellEnd"/>
      <w:r w:rsidRPr="00B804D5">
        <w:t>–</w:t>
      </w:r>
      <w:proofErr w:type="spellStart"/>
      <w:r w:rsidRPr="00B804D5">
        <w:t>Tulla</w:t>
      </w:r>
      <w:proofErr w:type="spellEnd"/>
      <w:r w:rsidRPr="00B804D5">
        <w:t xml:space="preserve"> widening;</w:t>
      </w:r>
    </w:p>
    <w:p w:rsidR="00B804D5" w:rsidRPr="00B804D5" w:rsidRDefault="00B804D5" w:rsidP="00B804D5">
      <w:pPr>
        <w:pStyle w:val="HighlightBoxBullet"/>
        <w:keepLines/>
        <w:spacing w:before="40"/>
      </w:pPr>
      <w:r w:rsidRPr="00B804D5">
        <w:t xml:space="preserve">Chandler Highway </w:t>
      </w:r>
      <w:r w:rsidR="004052CC">
        <w:t>u</w:t>
      </w:r>
      <w:r w:rsidR="006A52FB">
        <w:t>pgrade</w:t>
      </w:r>
      <w:r w:rsidRPr="00B804D5">
        <w:t>;</w:t>
      </w:r>
    </w:p>
    <w:p w:rsidR="00B804D5" w:rsidRPr="00B804D5" w:rsidRDefault="00B804D5" w:rsidP="00B804D5">
      <w:pPr>
        <w:pStyle w:val="HighlightBoxBullet"/>
        <w:keepLines/>
        <w:spacing w:before="40"/>
      </w:pPr>
      <w:r w:rsidRPr="00B804D5">
        <w:t xml:space="preserve">Drysdale Bypass and High Street upgrades; </w:t>
      </w:r>
    </w:p>
    <w:p w:rsidR="00B804D5" w:rsidRPr="00B804D5" w:rsidRDefault="00B804D5" w:rsidP="00B804D5">
      <w:pPr>
        <w:pStyle w:val="HighlightBoxBullet"/>
        <w:keepLines/>
        <w:spacing w:before="40"/>
      </w:pPr>
      <w:r w:rsidRPr="00B804D5">
        <w:t>Echuca-Moama Bridge;</w:t>
      </w:r>
    </w:p>
    <w:p w:rsidR="00B804D5" w:rsidRPr="00B804D5" w:rsidRDefault="00B804D5" w:rsidP="00B804D5">
      <w:pPr>
        <w:pStyle w:val="HighlightBoxBullet"/>
        <w:keepLines/>
      </w:pPr>
      <w:r w:rsidRPr="00B804D5">
        <w:t xml:space="preserve">Frankston </w:t>
      </w:r>
      <w:r w:rsidR="00C342FF">
        <w:t>l</w:t>
      </w:r>
      <w:r w:rsidRPr="00B804D5">
        <w:t xml:space="preserve">ine </w:t>
      </w:r>
      <w:r w:rsidR="00C342FF">
        <w:t>s</w:t>
      </w:r>
      <w:r w:rsidRPr="00B804D5">
        <w:t>tabling;</w:t>
      </w:r>
    </w:p>
    <w:p w:rsidR="00B804D5" w:rsidRPr="00B804D5" w:rsidRDefault="00B804D5" w:rsidP="00B804D5">
      <w:pPr>
        <w:pStyle w:val="HighlightBoxBullet"/>
        <w:keepLines/>
      </w:pPr>
      <w:r w:rsidRPr="00B804D5">
        <w:t>Goulburn-Murray Water Connections Project (Northern Victoria Irrigation Renewal Project);</w:t>
      </w:r>
    </w:p>
    <w:p w:rsidR="00B804D5" w:rsidRPr="00B804D5" w:rsidRDefault="00B804D5" w:rsidP="00B804D5">
      <w:pPr>
        <w:pStyle w:val="HighlightBoxBullet"/>
        <w:keepLines/>
        <w:spacing w:before="40"/>
      </w:pPr>
      <w:r w:rsidRPr="00B804D5">
        <w:t>Goulburn Valley Health redevelopment;</w:t>
      </w:r>
    </w:p>
    <w:p w:rsidR="00B804D5" w:rsidRPr="00B804D5" w:rsidRDefault="00B804D5" w:rsidP="00B804D5">
      <w:pPr>
        <w:pStyle w:val="HighlightBoxBullet"/>
        <w:keepLines/>
        <w:spacing w:before="40"/>
      </w:pPr>
      <w:r w:rsidRPr="00B804D5">
        <w:t xml:space="preserve">Joan </w:t>
      </w:r>
      <w:proofErr w:type="spellStart"/>
      <w:r w:rsidRPr="00B804D5">
        <w:t>Kirner</w:t>
      </w:r>
      <w:proofErr w:type="spellEnd"/>
      <w:r w:rsidRPr="00B804D5">
        <w:t xml:space="preserve"> Women</w:t>
      </w:r>
      <w:r w:rsidR="000D716D">
        <w:t>’</w:t>
      </w:r>
      <w:r w:rsidRPr="00B804D5">
        <w:t>s and Children</w:t>
      </w:r>
      <w:r w:rsidR="000D716D">
        <w:t>’</w:t>
      </w:r>
      <w:r w:rsidRPr="00B804D5">
        <w:t>s Hospital;</w:t>
      </w:r>
    </w:p>
    <w:p w:rsidR="00B804D5" w:rsidRPr="00B804D5" w:rsidRDefault="00B804D5" w:rsidP="00B804D5">
      <w:pPr>
        <w:pStyle w:val="HighlightBoxBullet"/>
        <w:keepLines/>
        <w:spacing w:before="40"/>
      </w:pPr>
      <w:r w:rsidRPr="00B804D5">
        <w:t>Level Crossing Removal Program;</w:t>
      </w:r>
    </w:p>
    <w:p w:rsidR="00B31B6A" w:rsidRDefault="00B97A98" w:rsidP="00B804D5">
      <w:pPr>
        <w:pStyle w:val="HighlightBoxBullet"/>
        <w:keepLines/>
        <w:spacing w:before="40"/>
      </w:pPr>
      <w:r>
        <w:t>M80 Ring Road u</w:t>
      </w:r>
      <w:r w:rsidR="00B31B6A">
        <w:t>pgrade</w:t>
      </w:r>
      <w:r w:rsidR="007F2F17">
        <w:t>:</w:t>
      </w:r>
    </w:p>
    <w:p w:rsidR="00B804D5" w:rsidRPr="007F2F17" w:rsidRDefault="007F2F17" w:rsidP="007F2F17">
      <w:pPr>
        <w:pStyle w:val="HighlightBoxListContinue2"/>
      </w:pPr>
      <w:r>
        <w:tab/>
        <w:t>–</w:t>
      </w:r>
      <w:r w:rsidR="00B54954">
        <w:tab/>
      </w:r>
      <w:r w:rsidR="00B804D5" w:rsidRPr="00B804D5">
        <w:t xml:space="preserve">Sunshine Avenue to Calder Freeway; </w:t>
      </w:r>
    </w:p>
    <w:p w:rsidR="00B804D5" w:rsidRPr="00B804D5" w:rsidRDefault="007F2F17" w:rsidP="007F2F17">
      <w:pPr>
        <w:pStyle w:val="HighlightBoxListContinue2"/>
      </w:pPr>
      <w:r>
        <w:tab/>
      </w:r>
      <w:r w:rsidR="00B804D5" w:rsidRPr="00B804D5">
        <w:t>–</w:t>
      </w:r>
      <w:r>
        <w:tab/>
      </w:r>
      <w:r w:rsidR="00B804D5" w:rsidRPr="00B804D5">
        <w:t>Princes Freeway to Western Highway;</w:t>
      </w:r>
    </w:p>
    <w:p w:rsidR="007F2F17" w:rsidRDefault="007F2F17" w:rsidP="007F2F17">
      <w:pPr>
        <w:pStyle w:val="HighlightBoxListContinue2"/>
      </w:pPr>
      <w:r>
        <w:tab/>
        <w:t>–</w:t>
      </w:r>
      <w:r>
        <w:tab/>
        <w:t>Sydney Road to Edgars Road; and</w:t>
      </w:r>
    </w:p>
    <w:p w:rsidR="00B804D5" w:rsidRPr="00B804D5" w:rsidRDefault="007F2F17" w:rsidP="007F2F17">
      <w:pPr>
        <w:pStyle w:val="HighlightBoxListContinue2"/>
      </w:pPr>
      <w:r>
        <w:tab/>
        <w:t>–</w:t>
      </w:r>
      <w:r w:rsidR="00B54954">
        <w:tab/>
      </w:r>
      <w:r w:rsidR="00B804D5" w:rsidRPr="00B804D5">
        <w:t>Plent</w:t>
      </w:r>
      <w:r>
        <w:t>y Road to Greensborough Highway.</w:t>
      </w:r>
    </w:p>
    <w:p w:rsidR="00B804D5" w:rsidRPr="00B804D5" w:rsidRDefault="00B804D5" w:rsidP="00B804D5">
      <w:pPr>
        <w:pStyle w:val="HighlightBoxBullet"/>
        <w:keepLines/>
        <w:spacing w:before="40"/>
      </w:pPr>
      <w:r w:rsidRPr="00B804D5">
        <w:t xml:space="preserve">Melbourne Convention and Exhibition Centre </w:t>
      </w:r>
      <w:r w:rsidR="00DF06D8" w:rsidRPr="00B804D5">
        <w:t xml:space="preserve">development </w:t>
      </w:r>
      <w:r w:rsidRPr="00B804D5">
        <w:t>– Stage 2;</w:t>
      </w:r>
    </w:p>
    <w:p w:rsidR="005C3B9F" w:rsidRDefault="00B804D5" w:rsidP="00692CC0">
      <w:pPr>
        <w:pStyle w:val="HighlightBoxBullet"/>
        <w:keepLines/>
        <w:spacing w:before="40"/>
      </w:pPr>
      <w:r w:rsidRPr="00B804D5">
        <w:t>Melbourne Park redevelopment</w:t>
      </w:r>
      <w:r w:rsidR="00692CC0">
        <w:t xml:space="preserve"> – </w:t>
      </w:r>
      <w:r w:rsidR="005C3B9F">
        <w:t>Stage</w:t>
      </w:r>
      <w:r w:rsidR="00692CC0">
        <w:t>s</w:t>
      </w:r>
      <w:r w:rsidR="005C3B9F">
        <w:t xml:space="preserve"> </w:t>
      </w:r>
      <w:r w:rsidR="00B54954">
        <w:t>2</w:t>
      </w:r>
      <w:r w:rsidR="00692CC0">
        <w:t xml:space="preserve"> and 3;</w:t>
      </w:r>
    </w:p>
    <w:p w:rsidR="00B804D5" w:rsidRPr="00B804D5" w:rsidRDefault="00B804D5" w:rsidP="00B804D5">
      <w:pPr>
        <w:pStyle w:val="HighlightBoxBullet"/>
        <w:keepLines/>
        <w:spacing w:before="40"/>
      </w:pPr>
      <w:r w:rsidRPr="00B804D5">
        <w:t>Mernda Rail Extension Project;</w:t>
      </w:r>
    </w:p>
    <w:p w:rsidR="00B804D5" w:rsidRPr="00B804D5" w:rsidRDefault="00B804D5" w:rsidP="00B804D5">
      <w:pPr>
        <w:pStyle w:val="HighlightBoxBullet"/>
        <w:keepLines/>
        <w:spacing w:before="40"/>
      </w:pPr>
      <w:r w:rsidRPr="00B804D5">
        <w:t>Metro Tunnel;</w:t>
      </w:r>
    </w:p>
    <w:p w:rsidR="00B804D5" w:rsidRPr="00B804D5" w:rsidRDefault="00B804D5" w:rsidP="00B804D5">
      <w:pPr>
        <w:pStyle w:val="HighlightBoxBullet"/>
        <w:keepLines/>
        <w:spacing w:before="40"/>
      </w:pPr>
      <w:r w:rsidRPr="00B804D5">
        <w:t>Monash Children</w:t>
      </w:r>
      <w:r w:rsidR="000D716D">
        <w:t>’</w:t>
      </w:r>
      <w:r w:rsidRPr="00B804D5">
        <w:t>s Hospital;</w:t>
      </w:r>
    </w:p>
    <w:p w:rsidR="005C3B9F" w:rsidRPr="00B804D5" w:rsidRDefault="005C3B9F" w:rsidP="005C3B9F">
      <w:pPr>
        <w:pStyle w:val="HighlightBoxBullet"/>
        <w:keepLines/>
      </w:pPr>
      <w:r w:rsidRPr="00B804D5">
        <w:t>Mordialloc Bypass;</w:t>
      </w:r>
    </w:p>
    <w:p w:rsidR="00B804D5" w:rsidRPr="00B804D5" w:rsidRDefault="00B804D5" w:rsidP="00B804D5">
      <w:pPr>
        <w:pStyle w:val="HighlightBoxBullet"/>
        <w:keepLines/>
        <w:spacing w:before="40"/>
      </w:pPr>
      <w:r w:rsidRPr="00B804D5">
        <w:t>Murray Basin Rail Project;</w:t>
      </w:r>
    </w:p>
    <w:p w:rsidR="00B804D5" w:rsidRPr="00B804D5" w:rsidRDefault="00B54954" w:rsidP="00B804D5">
      <w:pPr>
        <w:pStyle w:val="HighlightBoxBullet"/>
        <w:keepLines/>
        <w:spacing w:before="40"/>
      </w:pPr>
      <w:r>
        <w:t>New Schools PPP project – T</w:t>
      </w:r>
      <w:r w:rsidR="00B804D5" w:rsidRPr="00B804D5">
        <w:t xml:space="preserve">ranche </w:t>
      </w:r>
      <w:r>
        <w:t>2</w:t>
      </w:r>
      <w:r w:rsidR="00B804D5" w:rsidRPr="00B804D5">
        <w:t>;</w:t>
      </w:r>
    </w:p>
    <w:p w:rsidR="00B804D5" w:rsidRPr="00B804D5" w:rsidRDefault="00B804D5" w:rsidP="00B804D5">
      <w:pPr>
        <w:pStyle w:val="HighlightBoxBullet"/>
        <w:keepLines/>
        <w:spacing w:before="40"/>
      </w:pPr>
      <w:r w:rsidRPr="00B804D5">
        <w:t xml:space="preserve">New trains, trams and associated infrastructure for Melbourne commuters; </w:t>
      </w:r>
    </w:p>
    <w:p w:rsidR="00B804D5" w:rsidRPr="00B804D5" w:rsidRDefault="00B804D5" w:rsidP="00B804D5">
      <w:pPr>
        <w:pStyle w:val="HighlightBoxBullet"/>
        <w:keepLines/>
        <w:spacing w:before="40"/>
      </w:pPr>
      <w:r w:rsidRPr="00B804D5">
        <w:t xml:space="preserve">New </w:t>
      </w:r>
      <w:r w:rsidR="00813DD5" w:rsidRPr="00B804D5">
        <w:t>youth justice facility</w:t>
      </w:r>
      <w:r w:rsidRPr="00B804D5">
        <w:t>;</w:t>
      </w:r>
    </w:p>
    <w:p w:rsidR="00B804D5" w:rsidRPr="00B804D5" w:rsidRDefault="00B804D5" w:rsidP="00B804D5">
      <w:pPr>
        <w:pStyle w:val="HighlightBoxBullet"/>
        <w:keepLines/>
      </w:pPr>
      <w:r w:rsidRPr="00B804D5">
        <w:t xml:space="preserve">Northern Hospital </w:t>
      </w:r>
      <w:r w:rsidR="00F21C61" w:rsidRPr="00B804D5">
        <w:t xml:space="preserve">inpatient expansion </w:t>
      </w:r>
      <w:r w:rsidR="00B31B6A">
        <w:t>–</w:t>
      </w:r>
      <w:r w:rsidRPr="00B804D5">
        <w:t xml:space="preserve"> Stage 2;</w:t>
      </w:r>
    </w:p>
    <w:p w:rsidR="00B804D5" w:rsidRPr="00B804D5" w:rsidRDefault="00B804D5" w:rsidP="00B804D5">
      <w:pPr>
        <w:pStyle w:val="HighlightBoxBullet"/>
        <w:keepLines/>
        <w:spacing w:before="40"/>
      </w:pPr>
      <w:r w:rsidRPr="00B804D5">
        <w:t>Princes Highway duplication project – Winchelsea to Colac;</w:t>
      </w:r>
    </w:p>
    <w:p w:rsidR="00B804D5" w:rsidRPr="00B804D5" w:rsidRDefault="00B804D5" w:rsidP="00B804D5">
      <w:pPr>
        <w:pStyle w:val="HighlightBoxBullet"/>
        <w:keepLines/>
        <w:spacing w:before="40"/>
      </w:pPr>
      <w:r w:rsidRPr="00B804D5">
        <w:t>Ravenhall Prison;</w:t>
      </w:r>
    </w:p>
    <w:p w:rsidR="00B804D5" w:rsidRPr="00B804D5" w:rsidRDefault="00B804D5" w:rsidP="00B804D5">
      <w:pPr>
        <w:pStyle w:val="HighlightBoxBullet"/>
        <w:keepLines/>
        <w:spacing w:before="40"/>
      </w:pPr>
      <w:r w:rsidRPr="00B804D5">
        <w:t>Regional Rail Revival;</w:t>
      </w:r>
    </w:p>
    <w:p w:rsidR="00B804D5" w:rsidRPr="00B804D5" w:rsidRDefault="00B804D5" w:rsidP="00B804D5">
      <w:pPr>
        <w:pStyle w:val="HighlightBoxBullet"/>
        <w:keepLines/>
        <w:spacing w:before="40"/>
      </w:pPr>
      <w:r w:rsidRPr="00B804D5">
        <w:t>Royal Victorian Eye and Ear Hospital redevelopment;</w:t>
      </w:r>
    </w:p>
    <w:p w:rsidR="00B804D5" w:rsidRPr="00B804D5" w:rsidRDefault="00B804D5" w:rsidP="00B804D5">
      <w:pPr>
        <w:pStyle w:val="HighlightBoxBullet"/>
        <w:keepLines/>
        <w:spacing w:before="40"/>
      </w:pPr>
      <w:r w:rsidRPr="00B804D5">
        <w:t>Thompsons Road duplication;</w:t>
      </w:r>
    </w:p>
    <w:p w:rsidR="00B804D5" w:rsidRPr="00B804D5" w:rsidRDefault="00B804D5" w:rsidP="00B804D5">
      <w:pPr>
        <w:pStyle w:val="HighlightBoxBullet"/>
        <w:keepLines/>
        <w:spacing w:before="40"/>
      </w:pPr>
      <w:r w:rsidRPr="00B804D5">
        <w:t>West Gate Tunnel Project;</w:t>
      </w:r>
    </w:p>
    <w:p w:rsidR="00B804D5" w:rsidRPr="00B804D5" w:rsidRDefault="00B804D5" w:rsidP="00B804D5">
      <w:pPr>
        <w:pStyle w:val="HighlightBoxBullet"/>
        <w:keepLines/>
        <w:spacing w:before="40"/>
      </w:pPr>
      <w:r w:rsidRPr="00B804D5">
        <w:t xml:space="preserve">Western Highway duplication; </w:t>
      </w:r>
    </w:p>
    <w:p w:rsidR="00B804D5" w:rsidRPr="00B804D5" w:rsidRDefault="00B804D5" w:rsidP="00B804D5">
      <w:pPr>
        <w:pStyle w:val="HighlightBoxBullet"/>
        <w:keepLines/>
        <w:spacing w:before="40"/>
      </w:pPr>
      <w:r w:rsidRPr="00B804D5">
        <w:t>Western Suburbs Roads Package; and</w:t>
      </w:r>
    </w:p>
    <w:p w:rsidR="00B804D5" w:rsidRPr="00B804D5" w:rsidRDefault="00B804D5" w:rsidP="00B804D5">
      <w:pPr>
        <w:pStyle w:val="HighlightBoxBullet"/>
        <w:keepLines/>
      </w:pPr>
      <w:r w:rsidRPr="00B804D5">
        <w:t>Yan Yean Road duplication.</w:t>
      </w:r>
    </w:p>
    <w:p w:rsidR="00CE372B" w:rsidRDefault="009B7B27" w:rsidP="00A171DC">
      <w:pPr>
        <w:sectPr w:rsidR="00CE372B" w:rsidSect="00CE372B">
          <w:footerReference w:type="default" r:id="rId13"/>
          <w:pgSz w:w="11907" w:h="16839" w:code="9"/>
          <w:pgMar w:top="1134" w:right="1134" w:bottom="1134" w:left="1134" w:header="624" w:footer="567" w:gutter="0"/>
          <w:cols w:sep="1" w:space="567"/>
          <w:docGrid w:linePitch="360"/>
        </w:sectPr>
      </w:pPr>
      <w:r>
        <w:br w:type="page"/>
      </w:r>
    </w:p>
    <w:p w:rsidR="00457575" w:rsidRDefault="00955520" w:rsidP="00955520">
      <w:pPr>
        <w:pStyle w:val="Heading10"/>
      </w:pPr>
      <w:bookmarkStart w:id="7" w:name="ConsolidatedOS"/>
      <w:r>
        <w:lastRenderedPageBreak/>
        <w:t>Consolidated comprehensive operating statement</w:t>
      </w:r>
    </w:p>
    <w:bookmarkEnd w:id="7"/>
    <w:p w:rsidR="006F02B5" w:rsidRPr="006F02B5" w:rsidRDefault="00457575" w:rsidP="006F02B5">
      <w:pPr>
        <w:pStyle w:val="TableHeading"/>
        <w:rPr>
          <w:bCs/>
          <w:lang w:val="en-US"/>
        </w:rPr>
      </w:pPr>
      <w:r>
        <w:t>For the period ended 30 September</w:t>
      </w:r>
      <w:r>
        <w:tab/>
        <w:t>($ million)</w:t>
      </w:r>
    </w:p>
    <w:tbl>
      <w:tblPr>
        <w:tblStyle w:val="DTFTable"/>
        <w:tblW w:w="9637" w:type="dxa"/>
        <w:tblInd w:w="45" w:type="dxa"/>
        <w:tblLayout w:type="fixed"/>
        <w:tblCellMar>
          <w:left w:w="45" w:type="dxa"/>
          <w:right w:w="45" w:type="dxa"/>
        </w:tblCellMar>
        <w:tblLook w:val="0660" w:firstRow="1" w:lastRow="1" w:firstColumn="0" w:lastColumn="0" w:noHBand="1" w:noVBand="1"/>
      </w:tblPr>
      <w:tblGrid>
        <w:gridCol w:w="907"/>
        <w:gridCol w:w="6009"/>
        <w:gridCol w:w="90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 xml:space="preserve">2016-17 </w:t>
            </w:r>
            <w:r>
              <w:rPr>
                <w:rFonts w:eastAsiaTheme="minorEastAsia" w:cs="Calibri"/>
                <w:iCs/>
                <w:color w:val="FFFFFF"/>
                <w:szCs w:val="18"/>
                <w:lang w:eastAsia="en-AU"/>
              </w:rPr>
              <w:br/>
            </w:r>
            <w:r w:rsidRPr="006F02B5">
              <w:rPr>
                <w:rFonts w:eastAsiaTheme="minorEastAsia" w:cs="Calibri"/>
                <w:iCs/>
                <w:color w:val="FFFFFF"/>
                <w:szCs w:val="18"/>
                <w:lang w:eastAsia="en-AU"/>
              </w:rPr>
              <w:t xml:space="preserve">actual </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907" w:type="dxa"/>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 xml:space="preserve">2017-18 </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szCs w:val="18"/>
                <w:lang w:eastAsia="en-AU"/>
              </w:rPr>
            </w:pPr>
            <w:r w:rsidRPr="006F02B5">
              <w:rPr>
                <w:rFonts w:eastAsiaTheme="minorEastAsia" w:cs="Calibri"/>
                <w:iCs/>
                <w:color w:val="FFFFFF"/>
                <w:szCs w:val="18"/>
                <w:lang w:eastAsia="en-AU"/>
              </w:rPr>
              <w:t>Notes</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 xml:space="preserve">actual </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published 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Revenue from transactions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5 265</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Taxation revenue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2.1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5 722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21 827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168</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Interest revenue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210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899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78</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Dividends, income tax equivalent and rate equivalent revenue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2.2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1 171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1 672</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Sales of goods and services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2.3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1 766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7 187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6 699</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Grant revenue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2.4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6 899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29 818</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510</w:t>
            </w:r>
          </w:p>
        </w:tc>
        <w:tc>
          <w:tcPr>
            <w:tcW w:w="6009" w:type="dxa"/>
            <w:tcBorders>
              <w:top w:val="nil"/>
              <w:left w:val="nil"/>
              <w:bottom w:val="single" w:sz="6" w:space="0" w:color="000000"/>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Other revenue</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2.5</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544</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2 502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14 391</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revenue from transactions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15 198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63 405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Expenses from transactions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5 179</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Employee expenses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5 581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23 011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199</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3.3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761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552</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Other superannuation</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3.3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598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2 347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627</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Depreciation</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4.2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2 788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472</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Interest expense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454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2 181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2 587</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Grant expense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2 559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11 333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4 295</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Other operating expenses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4 604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19 830</w:t>
            </w:r>
          </w:p>
        </w:tc>
      </w:tr>
      <w:tr w:rsidR="006F02B5" w:rsidRPr="006F02B5" w:rsidTr="006F02B5">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13 911</w:t>
            </w:r>
          </w:p>
        </w:tc>
        <w:tc>
          <w:tcPr>
            <w:tcW w:w="6009" w:type="dxa"/>
            <w:tcBorders>
              <w:top w:val="single" w:sz="6" w:space="0" w:color="000000"/>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expenses from transactions</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szCs w:val="18"/>
                <w:lang w:eastAsia="en-AU"/>
              </w:rPr>
            </w:pPr>
            <w:r w:rsidRPr="006F02B5">
              <w:rPr>
                <w:rFonts w:eastAsiaTheme="minorEastAsia" w:cs="Calibri"/>
                <w:bCs/>
                <w:color w:val="000000"/>
                <w:szCs w:val="18"/>
                <w:lang w:eastAsia="en-AU"/>
              </w:rPr>
              <w:t>3.4</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14 643</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62 252</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480</w:t>
            </w:r>
          </w:p>
        </w:tc>
        <w:tc>
          <w:tcPr>
            <w:tcW w:w="6009" w:type="dxa"/>
            <w:tcBorders>
              <w:top w:val="single" w:sz="6" w:space="0" w:color="000000"/>
              <w:left w:val="nil"/>
              <w:bottom w:val="single" w:sz="12" w:space="0" w:color="000000"/>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Net result from transactions – net operating balance</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555</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1 153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Other economic flows included in net result</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Net gain/(loss) on disposal of non-financial assets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16</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Net gain/(loss) on financial assets or liabilities at fair value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(124)</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Other gains/(losses) from other economic flows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7.1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(370)</w:t>
            </w:r>
          </w:p>
        </w:tc>
      </w:tr>
      <w:tr w:rsidR="006F02B5" w:rsidRPr="006F02B5" w:rsidTr="006F02B5">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(110)</w:t>
            </w:r>
          </w:p>
        </w:tc>
        <w:tc>
          <w:tcPr>
            <w:tcW w:w="6009" w:type="dxa"/>
            <w:tcBorders>
              <w:top w:val="single" w:sz="6" w:space="0" w:color="000000"/>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other economic flows included in net result</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(58)</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(266)</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370</w:t>
            </w:r>
          </w:p>
        </w:tc>
        <w:tc>
          <w:tcPr>
            <w:tcW w:w="6009" w:type="dxa"/>
            <w:tcBorders>
              <w:top w:val="single" w:sz="6" w:space="0" w:color="000000"/>
              <w:left w:val="nil"/>
              <w:bottom w:val="single" w:sz="12" w:space="0" w:color="000000"/>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Net result</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497</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887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Other economic flows – other comprehensive income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Items that will not be reclassified to net result</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(93)</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Changes in non-financial assets revaluation surplus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3 660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256</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proofErr w:type="spellStart"/>
            <w:r w:rsidRPr="006F02B5">
              <w:rPr>
                <w:rFonts w:eastAsiaTheme="minorEastAsia" w:cs="Calibri"/>
                <w:color w:val="000000"/>
                <w:szCs w:val="18"/>
                <w:lang w:eastAsia="en-AU"/>
              </w:rPr>
              <w:t>Remeasurement</w:t>
            </w:r>
            <w:proofErr w:type="spellEnd"/>
            <w:r w:rsidRPr="006F02B5">
              <w:rPr>
                <w:rFonts w:eastAsiaTheme="minorEastAsia" w:cs="Calibri"/>
                <w:color w:val="000000"/>
                <w:szCs w:val="18"/>
                <w:lang w:eastAsia="en-AU"/>
              </w:rPr>
              <w:t xml:space="preserve"> of superannuation defined benefits plans</w:t>
            </w:r>
          </w:p>
        </w:tc>
        <w:tc>
          <w:tcPr>
            <w:tcW w:w="907" w:type="dxa"/>
            <w:tcBorders>
              <w:top w:val="nil"/>
              <w:left w:val="nil"/>
              <w:bottom w:val="nil"/>
              <w:right w:val="nil"/>
            </w:tcBorders>
          </w:tcPr>
          <w:p w:rsidR="006F02B5" w:rsidRPr="006F02B5" w:rsidRDefault="008F0D31" w:rsidP="006F02B5">
            <w:pPr>
              <w:autoSpaceDE w:val="0"/>
              <w:autoSpaceDN w:val="0"/>
              <w:adjustRightInd w:val="0"/>
              <w:jc w:val="center"/>
              <w:rPr>
                <w:rFonts w:eastAsiaTheme="minorEastAsia" w:cs="Calibri"/>
                <w:color w:val="000000"/>
                <w:lang w:eastAsia="en-AU"/>
              </w:rPr>
            </w:pPr>
            <w:r>
              <w:rPr>
                <w:rFonts w:eastAsiaTheme="minorEastAsia" w:cs="Calibri"/>
                <w:color w:val="000000"/>
                <w:lang w:eastAsia="en-AU"/>
              </w:rPr>
              <w:t>3.3</w:t>
            </w:r>
            <w:r w:rsidR="006F02B5"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1 259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915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68</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Other movements in equity</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Items that may be reclassified subsequently to net result</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Net gain/(loss) on financial assets at fair value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w:t>
            </w:r>
          </w:p>
        </w:tc>
        <w:tc>
          <w:tcPr>
            <w:tcW w:w="6009" w:type="dxa"/>
            <w:tcBorders>
              <w:top w:val="nil"/>
              <w:left w:val="nil"/>
              <w:bottom w:val="nil"/>
              <w:right w:val="nil"/>
            </w:tcBorders>
          </w:tcPr>
          <w:p w:rsidR="006F02B5" w:rsidRPr="006F02B5" w:rsidRDefault="006F02B5" w:rsidP="00597959">
            <w:pPr>
              <w:autoSpaceDE w:val="0"/>
              <w:autoSpaceDN w:val="0"/>
              <w:adjustRightInd w:val="0"/>
              <w:ind w:left="226" w:hanging="113"/>
              <w:jc w:val="left"/>
              <w:rPr>
                <w:rFonts w:eastAsiaTheme="minorEastAsia" w:cs="Calibri"/>
                <w:color w:val="000000"/>
                <w:szCs w:val="18"/>
                <w:lang w:eastAsia="en-AU"/>
              </w:rPr>
            </w:pPr>
            <w:r w:rsidRPr="006F02B5">
              <w:rPr>
                <w:rFonts w:eastAsiaTheme="minorEastAsia" w:cs="Calibri"/>
                <w:color w:val="000000"/>
                <w:szCs w:val="18"/>
                <w:lang w:eastAsia="en-AU"/>
              </w:rPr>
              <w:t>Net gain/(loss) on equity investments in other sector entities at proportional share of the carrying amount of net assets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(966)</w:t>
            </w:r>
          </w:p>
        </w:tc>
      </w:tr>
      <w:tr w:rsidR="006F02B5" w:rsidRPr="006F02B5" w:rsidTr="006F02B5">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236</w:t>
            </w:r>
          </w:p>
        </w:tc>
        <w:tc>
          <w:tcPr>
            <w:tcW w:w="6009" w:type="dxa"/>
            <w:tcBorders>
              <w:top w:val="single" w:sz="6" w:space="0" w:color="000000"/>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other economic flows – other comprehensive income</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1 165</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3 617</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607</w:t>
            </w:r>
          </w:p>
        </w:tc>
        <w:tc>
          <w:tcPr>
            <w:tcW w:w="6009" w:type="dxa"/>
            <w:tcBorders>
              <w:top w:val="single" w:sz="6" w:space="0" w:color="000000"/>
              <w:left w:val="nil"/>
              <w:bottom w:val="single" w:sz="12" w:space="0" w:color="000000"/>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Comprehensive result – total change in net worth</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1 662</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4 504</w:t>
            </w:r>
          </w:p>
        </w:tc>
      </w:tr>
      <w:tr w:rsidR="006F02B5" w:rsidRPr="006F02B5" w:rsidTr="006F02B5">
        <w:trPr>
          <w:trHeight w:hRule="exact" w:val="120"/>
        </w:trPr>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KEY FISCAL AGGREGRATES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480</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Net operating balance</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555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1 153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Less: Net acquisition of non-financial assets from transactions</w:t>
            </w:r>
          </w:p>
        </w:tc>
        <w:tc>
          <w:tcPr>
            <w:tcW w:w="90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3.6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283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1 813</w:t>
            </w:r>
          </w:p>
        </w:tc>
      </w:tr>
      <w:tr w:rsidR="006F02B5" w:rsidRPr="006F02B5" w:rsidTr="006F02B5">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rPr>
                <w:rFonts w:eastAsiaTheme="minorEastAsia" w:cs="Calibri"/>
                <w:bCs/>
                <w:color w:val="000000"/>
                <w:szCs w:val="18"/>
                <w:lang w:eastAsia="en-AU"/>
              </w:rPr>
            </w:pPr>
            <w:r>
              <w:rPr>
                <w:rFonts w:eastAsiaTheme="minorEastAsia" w:cs="Calibri"/>
                <w:bCs/>
                <w:color w:val="000000"/>
                <w:szCs w:val="18"/>
                <w:lang w:eastAsia="en-AU"/>
              </w:rPr>
              <w:t>472</w:t>
            </w:r>
          </w:p>
        </w:tc>
        <w:tc>
          <w:tcPr>
            <w:tcW w:w="6009" w:type="dxa"/>
            <w:tcBorders>
              <w:top w:val="single" w:sz="6" w:space="0" w:color="000000"/>
              <w:bottom w:val="single" w:sz="12" w:space="0" w:color="000000"/>
            </w:tcBorders>
          </w:tcPr>
          <w:p w:rsidR="006F02B5" w:rsidRPr="006F02B5" w:rsidRDefault="006F02B5" w:rsidP="00597959">
            <w:pPr>
              <w:autoSpaceDE w:val="0"/>
              <w:autoSpaceDN w:val="0"/>
              <w:adjustRightInd w:val="0"/>
              <w:ind w:left="113"/>
              <w:jc w:val="left"/>
              <w:rPr>
                <w:rFonts w:eastAsiaTheme="minorEastAsia" w:cs="Calibri"/>
                <w:bCs/>
                <w:color w:val="000000"/>
                <w:szCs w:val="18"/>
                <w:lang w:eastAsia="en-AU"/>
              </w:rPr>
            </w:pPr>
            <w:r w:rsidRPr="006F02B5">
              <w:rPr>
                <w:rFonts w:eastAsiaTheme="minorEastAsia" w:cs="Calibri"/>
                <w:bCs/>
                <w:color w:val="000000"/>
                <w:szCs w:val="18"/>
                <w:lang w:eastAsia="en-AU"/>
              </w:rPr>
              <w:t>Net lending/(borrowing)</w:t>
            </w:r>
          </w:p>
        </w:tc>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jc w:val="center"/>
              <w:rPr>
                <w:rFonts w:eastAsiaTheme="minorEastAsia" w:cs="Calibri"/>
                <w:b w:val="0"/>
                <w:bCs/>
                <w:color w:val="000000"/>
                <w:lang w:eastAsia="en-AU"/>
              </w:rPr>
            </w:pPr>
            <w:r w:rsidRPr="006F02B5">
              <w:rPr>
                <w:rFonts w:eastAsiaTheme="minorEastAsia" w:cs="Calibri"/>
                <w:b w:val="0"/>
                <w:bCs/>
                <w:color w:val="000000"/>
                <w:lang w:eastAsia="en-AU"/>
              </w:rPr>
              <w:t xml:space="preserve"> </w:t>
            </w:r>
          </w:p>
        </w:tc>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rPr>
                <w:rFonts w:eastAsiaTheme="minorEastAsia" w:cs="Calibri"/>
                <w:bCs/>
                <w:color w:val="000000"/>
                <w:szCs w:val="18"/>
                <w:lang w:eastAsia="en-AU"/>
              </w:rPr>
            </w:pPr>
            <w:r>
              <w:rPr>
                <w:rFonts w:eastAsiaTheme="minorEastAsia" w:cs="Calibri"/>
                <w:bCs/>
                <w:color w:val="000000"/>
                <w:szCs w:val="18"/>
                <w:lang w:eastAsia="en-AU"/>
              </w:rPr>
              <w:t>272</w:t>
            </w:r>
          </w:p>
        </w:tc>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rPr>
                <w:rFonts w:eastAsiaTheme="minorEastAsia" w:cs="Calibri"/>
                <w:bCs/>
                <w:color w:val="000000"/>
                <w:szCs w:val="18"/>
                <w:lang w:eastAsia="en-AU"/>
              </w:rPr>
            </w:pPr>
            <w:r>
              <w:rPr>
                <w:rFonts w:eastAsiaTheme="minorEastAsia" w:cs="Calibri"/>
                <w:bCs/>
                <w:color w:val="000000"/>
                <w:szCs w:val="18"/>
                <w:lang w:eastAsia="en-AU"/>
              </w:rPr>
              <w:t>(660)</w:t>
            </w:r>
          </w:p>
        </w:tc>
      </w:tr>
    </w:tbl>
    <w:p w:rsidR="00A34F0D" w:rsidRPr="00DF3EC9" w:rsidRDefault="00A34F0D" w:rsidP="006F02B5">
      <w:pPr>
        <w:pStyle w:val="Note"/>
      </w:pPr>
      <w:r w:rsidRPr="00DF3EC9">
        <w:t>The accompanying notes form part of these financial statements.</w:t>
      </w:r>
    </w:p>
    <w:p w:rsidR="00457575" w:rsidRDefault="00457575"/>
    <w:p w:rsidR="009B7B27" w:rsidRDefault="009B7B27">
      <w:r>
        <w:br w:type="page"/>
      </w:r>
    </w:p>
    <w:p w:rsidR="00457575" w:rsidRDefault="00955520" w:rsidP="00955520">
      <w:pPr>
        <w:pStyle w:val="Heading10"/>
      </w:pPr>
      <w:bookmarkStart w:id="8" w:name="ConsolidatedBS"/>
      <w:r>
        <w:lastRenderedPageBreak/>
        <w:t>Consolidated balance sheet</w:t>
      </w:r>
    </w:p>
    <w:bookmarkEnd w:id="8"/>
    <w:p w:rsidR="006F02B5" w:rsidRPr="006F02B5" w:rsidRDefault="00457575" w:rsidP="006F02B5">
      <w:pPr>
        <w:pStyle w:val="TableHeading"/>
        <w:rPr>
          <w:bCs/>
          <w:lang w:val="en-US"/>
        </w:rPr>
      </w:pPr>
      <w:r>
        <w:t>As at 30 September</w:t>
      </w:r>
      <w:r>
        <w:tab/>
        <w:t>($ million)</w:t>
      </w:r>
    </w:p>
    <w:tbl>
      <w:tblPr>
        <w:tblStyle w:val="DTFTable"/>
        <w:tblW w:w="9637" w:type="dxa"/>
        <w:tblInd w:w="45" w:type="dxa"/>
        <w:tblLayout w:type="fixed"/>
        <w:tblCellMar>
          <w:left w:w="45" w:type="dxa"/>
          <w:right w:w="45" w:type="dxa"/>
        </w:tblCellMar>
        <w:tblLook w:val="0620" w:firstRow="1" w:lastRow="0" w:firstColumn="0" w:lastColumn="0" w:noHBand="1" w:noVBand="1"/>
      </w:tblPr>
      <w:tblGrid>
        <w:gridCol w:w="907"/>
        <w:gridCol w:w="5272"/>
        <w:gridCol w:w="737"/>
        <w:gridCol w:w="90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5272"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737" w:type="dxa"/>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2017-18</w:t>
            </w:r>
          </w:p>
        </w:tc>
        <w:tc>
          <w:tcPr>
            <w:tcW w:w="907" w:type="dxa"/>
            <w:tcBorders>
              <w:top w:val="nil"/>
              <w:left w:val="nil"/>
              <w:bottom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127"/>
          <w:tblHeader/>
        </w:trPr>
        <w:tc>
          <w:tcPr>
            <w:tcW w:w="907" w:type="dxa"/>
            <w:vMerge/>
            <w:tcBorders>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p>
        </w:tc>
        <w:tc>
          <w:tcPr>
            <w:tcW w:w="5272" w:type="dxa"/>
            <w:vMerge/>
            <w:tcBorders>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737" w:type="dxa"/>
            <w:tcBorders>
              <w:top w:val="nil"/>
              <w:left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Notes</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opening</w:t>
            </w:r>
            <w:r>
              <w:rPr>
                <w:rFonts w:eastAsiaTheme="minorEastAsia" w:cs="Calibri"/>
                <w:iCs/>
                <w:color w:val="FFFFFF"/>
                <w:szCs w:val="18"/>
                <w:lang w:eastAsia="en-AU"/>
              </w:rPr>
              <w:br/>
            </w:r>
            <w:r w:rsidRPr="006F02B5">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budget</w:t>
            </w:r>
            <w:r>
              <w:rPr>
                <w:rFonts w:eastAsiaTheme="minorEastAsia" w:cs="Calibri"/>
                <w:iCs/>
                <w:color w:val="FFFFFF"/>
                <w:szCs w:val="18"/>
                <w:lang w:eastAsia="en-AU"/>
              </w:rPr>
              <w:br/>
            </w:r>
            <w:r w:rsidRPr="006F02B5">
              <w:rPr>
                <w:rFonts w:eastAsiaTheme="minorEastAsia" w:cs="Calibri"/>
                <w:iCs/>
                <w:color w:val="FFFFFF"/>
                <w:szCs w:val="18"/>
                <w:lang w:eastAsia="en-AU"/>
              </w:rPr>
              <w:t xml:space="preserve">30 Jun </w:t>
            </w:r>
            <w:r w:rsidRPr="006F02B5">
              <w:rPr>
                <w:rFonts w:eastAsiaTheme="minorEastAsia" w:cs="Calibri"/>
                <w:iCs/>
                <w:color w:val="FFFFFF"/>
                <w:szCs w:val="18"/>
                <w:vertAlign w:val="superscript"/>
                <w:lang w:eastAsia="en-AU"/>
              </w:rPr>
              <w:t>(a)</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Assets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Financial assets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4 079</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Cash and deposits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7.2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5 530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4 146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5 938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4 586</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Advances paid</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12 939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12 179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10 230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5 866</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Receivables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5.1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5 931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6 281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6 026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3 057</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Investments, loans and placements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3 673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3 895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2 889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47</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Investments accounted for using the equity method</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95 473</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Investments in other sector entities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92 509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93 484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96 203</w:t>
            </w:r>
          </w:p>
        </w:tc>
      </w:tr>
      <w:tr w:rsidR="006F02B5" w:rsidRPr="006F02B5" w:rsidTr="006F02B5">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113 108</w:t>
            </w:r>
          </w:p>
        </w:tc>
        <w:tc>
          <w:tcPr>
            <w:tcW w:w="5272"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financial assets</w:t>
            </w:r>
          </w:p>
        </w:tc>
        <w:tc>
          <w:tcPr>
            <w:tcW w:w="73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120 630</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120 033</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121 333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Non-financial assets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186</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Inventories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183</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Non-financial assets held for sale</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405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405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402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114 009</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Land, buildings, infrastructure, plant and equipment</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4.1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121 776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122 018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127 449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1 619</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vertAlign w:val="superscript"/>
                <w:lang w:eastAsia="en-AU"/>
              </w:rPr>
            </w:pPr>
            <w:r w:rsidRPr="006F02B5">
              <w:rPr>
                <w:rFonts w:eastAsiaTheme="minorEastAsia" w:cs="Arial"/>
                <w:color w:val="000000"/>
                <w:szCs w:val="18"/>
                <w:lang w:eastAsia="en-AU"/>
              </w:rPr>
              <w:t xml:space="preserve">Other non-financial assets </w:t>
            </w:r>
            <w:r w:rsidRPr="006F02B5">
              <w:rPr>
                <w:rFonts w:eastAsiaTheme="minorEastAsia" w:cs="Arial"/>
                <w:color w:val="000000"/>
                <w:szCs w:val="18"/>
                <w:vertAlign w:val="superscript"/>
                <w:lang w:eastAsia="en-AU"/>
              </w:rPr>
              <w:t>(b)</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4.7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1 494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1 944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1 495</w:t>
            </w:r>
          </w:p>
        </w:tc>
      </w:tr>
      <w:tr w:rsidR="006F02B5" w:rsidRPr="006F02B5" w:rsidTr="006F02B5">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115 998</w:t>
            </w:r>
          </w:p>
        </w:tc>
        <w:tc>
          <w:tcPr>
            <w:tcW w:w="5272"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vertAlign w:val="superscript"/>
                <w:lang w:eastAsia="en-AU"/>
              </w:rPr>
            </w:pPr>
            <w:r w:rsidRPr="006F02B5">
              <w:rPr>
                <w:rFonts w:eastAsiaTheme="minorEastAsia" w:cs="Arial"/>
                <w:b/>
                <w:bCs/>
                <w:color w:val="000000"/>
                <w:szCs w:val="18"/>
                <w:lang w:eastAsia="en-AU"/>
              </w:rPr>
              <w:t xml:space="preserve">Total non-financial assets </w:t>
            </w:r>
            <w:r w:rsidRPr="006F02B5">
              <w:rPr>
                <w:rFonts w:eastAsiaTheme="minorEastAsia" w:cs="Arial"/>
                <w:b/>
                <w:bCs/>
                <w:color w:val="000000"/>
                <w:szCs w:val="18"/>
                <w:vertAlign w:val="superscript"/>
                <w:lang w:eastAsia="en-AU"/>
              </w:rPr>
              <w:t>(b)</w:t>
            </w:r>
          </w:p>
        </w:tc>
        <w:tc>
          <w:tcPr>
            <w:tcW w:w="73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123 849</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124 539</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129 521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229 106</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vertAlign w:val="superscript"/>
                <w:lang w:eastAsia="en-AU"/>
              </w:rPr>
            </w:pPr>
            <w:r w:rsidRPr="006F02B5">
              <w:rPr>
                <w:rFonts w:eastAsiaTheme="minorEastAsia" w:cs="Arial"/>
                <w:b/>
                <w:bCs/>
                <w:color w:val="000000"/>
                <w:szCs w:val="18"/>
                <w:lang w:eastAsia="en-AU"/>
              </w:rPr>
              <w:t xml:space="preserve">Total assets </w:t>
            </w:r>
            <w:r w:rsidRPr="006F02B5">
              <w:rPr>
                <w:rFonts w:eastAsiaTheme="minorEastAsia" w:cs="Arial"/>
                <w:b/>
                <w:bCs/>
                <w:color w:val="000000"/>
                <w:szCs w:val="18"/>
                <w:vertAlign w:val="superscript"/>
                <w:lang w:eastAsia="en-AU"/>
              </w:rPr>
              <w:t>(b)</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szCs w:val="18"/>
                <w:lang w:eastAsia="en-AU"/>
              </w:rPr>
            </w:pPr>
            <w:r w:rsidRPr="006F02B5">
              <w:rPr>
                <w:rFonts w:eastAsiaTheme="minorEastAsia" w:cs="Calibri"/>
                <w:bCs/>
                <w:color w:val="000000"/>
                <w:szCs w:val="18"/>
                <w:lang w:eastAsia="en-AU"/>
              </w:rPr>
              <w:t>4.8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244 478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244 573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250 854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Liabilities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717</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 xml:space="preserve">Deposits held and advances received </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9 088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8 403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6 439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5 481</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Payables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5.2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5 815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5 722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5 841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34 551</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Borrowings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28 816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29 485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34 052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6 098</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Employee benefits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3.2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6 506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6 329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6 747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29 044</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Superannuation</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24 900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23 903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23 987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861</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Other provisions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1 326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1 043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1 256</w:t>
            </w:r>
          </w:p>
        </w:tc>
      </w:tr>
      <w:tr w:rsidR="006F02B5" w:rsidRPr="006F02B5" w:rsidTr="006F02B5">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76 751</w:t>
            </w:r>
          </w:p>
        </w:tc>
        <w:tc>
          <w:tcPr>
            <w:tcW w:w="5272" w:type="dxa"/>
            <w:tcBorders>
              <w:top w:val="single" w:sz="6" w:space="0" w:color="000000"/>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liabilities</w:t>
            </w:r>
          </w:p>
        </w:tc>
        <w:tc>
          <w:tcPr>
            <w:tcW w:w="737" w:type="dxa"/>
            <w:tcBorders>
              <w:top w:val="single" w:sz="6" w:space="0" w:color="000000"/>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76 451</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74 884</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78 323</w:t>
            </w:r>
          </w:p>
        </w:tc>
      </w:tr>
      <w:tr w:rsidR="006F02B5" w:rsidRPr="006F02B5" w:rsidTr="006F02B5">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152 355</w:t>
            </w:r>
          </w:p>
        </w:tc>
        <w:tc>
          <w:tcPr>
            <w:tcW w:w="5272"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vertAlign w:val="superscript"/>
                <w:lang w:eastAsia="en-AU"/>
              </w:rPr>
            </w:pPr>
            <w:r w:rsidRPr="006F02B5">
              <w:rPr>
                <w:rFonts w:eastAsiaTheme="minorEastAsia" w:cs="Arial"/>
                <w:b/>
                <w:bCs/>
                <w:color w:val="000000"/>
                <w:szCs w:val="18"/>
                <w:lang w:eastAsia="en-AU"/>
              </w:rPr>
              <w:t xml:space="preserve">Net assets </w:t>
            </w:r>
            <w:r w:rsidRPr="006F02B5">
              <w:rPr>
                <w:rFonts w:eastAsiaTheme="minorEastAsia" w:cs="Arial"/>
                <w:b/>
                <w:bCs/>
                <w:color w:val="000000"/>
                <w:szCs w:val="18"/>
                <w:vertAlign w:val="superscript"/>
                <w:lang w:eastAsia="en-AU"/>
              </w:rPr>
              <w:t>(b)</w:t>
            </w:r>
          </w:p>
        </w:tc>
        <w:tc>
          <w:tcPr>
            <w:tcW w:w="73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168 027</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169 689</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172 532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45 286</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vertAlign w:val="superscript"/>
                <w:lang w:eastAsia="en-AU"/>
              </w:rPr>
            </w:pPr>
            <w:r w:rsidRPr="006F02B5">
              <w:rPr>
                <w:rFonts w:eastAsiaTheme="minorEastAsia" w:cs="Arial"/>
                <w:color w:val="000000"/>
                <w:szCs w:val="18"/>
                <w:lang w:eastAsia="en-AU"/>
              </w:rPr>
              <w:t xml:space="preserve">Accumulated surplus/(deficit) </w:t>
            </w:r>
            <w:r w:rsidRPr="006F02B5">
              <w:rPr>
                <w:rFonts w:eastAsiaTheme="minorEastAsia" w:cs="Arial"/>
                <w:color w:val="000000"/>
                <w:szCs w:val="18"/>
                <w:vertAlign w:val="superscript"/>
                <w:lang w:eastAsia="en-AU"/>
              </w:rPr>
              <w:t>(b)</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51 464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53 145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53 275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107 069</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Reserves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116 563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116 544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119 257</w:t>
            </w:r>
          </w:p>
        </w:tc>
      </w:tr>
      <w:tr w:rsidR="006F02B5" w:rsidRPr="006F02B5" w:rsidTr="006F02B5">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152 355</w:t>
            </w:r>
          </w:p>
        </w:tc>
        <w:tc>
          <w:tcPr>
            <w:tcW w:w="5272"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vertAlign w:val="superscript"/>
                <w:lang w:eastAsia="en-AU"/>
              </w:rPr>
            </w:pPr>
            <w:r w:rsidRPr="006F02B5">
              <w:rPr>
                <w:rFonts w:eastAsiaTheme="minorEastAsia" w:cs="Arial"/>
                <w:b/>
                <w:bCs/>
                <w:color w:val="000000"/>
                <w:szCs w:val="18"/>
                <w:lang w:eastAsia="en-AU"/>
              </w:rPr>
              <w:t xml:space="preserve">Net worth </w:t>
            </w:r>
            <w:r w:rsidRPr="006F02B5">
              <w:rPr>
                <w:rFonts w:eastAsiaTheme="minorEastAsia" w:cs="Arial"/>
                <w:b/>
                <w:bCs/>
                <w:color w:val="000000"/>
                <w:szCs w:val="18"/>
                <w:vertAlign w:val="superscript"/>
                <w:lang w:eastAsia="en-AU"/>
              </w:rPr>
              <w:t>(b)</w:t>
            </w:r>
          </w:p>
        </w:tc>
        <w:tc>
          <w:tcPr>
            <w:tcW w:w="73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168 027</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169 689</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172 532</w:t>
            </w:r>
          </w:p>
        </w:tc>
      </w:tr>
      <w:tr w:rsidR="006F02B5" w:rsidRPr="006F02B5" w:rsidTr="006F02B5">
        <w:trPr>
          <w:trHeight w:hRule="exact" w:val="120"/>
        </w:trPr>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lang w:eastAsia="en-AU"/>
              </w:rPr>
            </w:pPr>
            <w:r w:rsidRPr="006F02B5">
              <w:rPr>
                <w:rFonts w:eastAsiaTheme="minorEastAsia" w:cs="Calibri"/>
                <w:color w:val="000000"/>
                <w:lang w:eastAsia="en-AU"/>
              </w:rPr>
              <w:t xml:space="preserve"> </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6"/>
                <w:lang w:eastAsia="en-AU"/>
              </w:rPr>
            </w:pPr>
            <w:r w:rsidRPr="006F02B5">
              <w:rPr>
                <w:rFonts w:eastAsiaTheme="minorEastAsia" w:cs="Arial"/>
                <w:b/>
                <w:bCs/>
                <w:color w:val="000000"/>
                <w:szCs w:val="16"/>
                <w:lang w:eastAsia="en-AU"/>
              </w:rPr>
              <w:t>FISCAL AGGREGATES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36 357</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6"/>
                <w:lang w:eastAsia="en-AU"/>
              </w:rPr>
            </w:pPr>
            <w:r w:rsidRPr="006F02B5">
              <w:rPr>
                <w:rFonts w:eastAsiaTheme="minorEastAsia" w:cs="Arial"/>
                <w:color w:val="000000"/>
                <w:szCs w:val="16"/>
                <w:lang w:eastAsia="en-AU"/>
              </w:rPr>
              <w:t>Net financial worth</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44 178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45 150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43 011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59 116</w:t>
            </w:r>
          </w:p>
        </w:tc>
        <w:tc>
          <w:tcPr>
            <w:tcW w:w="5272"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6"/>
                <w:lang w:eastAsia="en-AU"/>
              </w:rPr>
            </w:pPr>
            <w:r w:rsidRPr="006F02B5">
              <w:rPr>
                <w:rFonts w:eastAsiaTheme="minorEastAsia" w:cs="Arial"/>
                <w:color w:val="000000"/>
                <w:szCs w:val="16"/>
                <w:lang w:eastAsia="en-AU"/>
              </w:rPr>
              <w:t>Net financial liabilities</w:t>
            </w:r>
          </w:p>
        </w:tc>
        <w:tc>
          <w:tcPr>
            <w:tcW w:w="737" w:type="dxa"/>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48 331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48 335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53 193</w:t>
            </w:r>
          </w:p>
        </w:tc>
      </w:tr>
      <w:tr w:rsidR="006F02B5" w:rsidRPr="006F02B5" w:rsidTr="006F02B5">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23 545</w:t>
            </w:r>
          </w:p>
        </w:tc>
        <w:tc>
          <w:tcPr>
            <w:tcW w:w="5272" w:type="dxa"/>
            <w:tcBorders>
              <w:top w:val="nil"/>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6"/>
                <w:lang w:eastAsia="en-AU"/>
              </w:rPr>
            </w:pPr>
            <w:r w:rsidRPr="006F02B5">
              <w:rPr>
                <w:rFonts w:eastAsiaTheme="minorEastAsia" w:cs="Arial"/>
                <w:color w:val="000000"/>
                <w:szCs w:val="16"/>
                <w:lang w:eastAsia="en-AU"/>
              </w:rPr>
              <w:t>Net debt</w:t>
            </w:r>
          </w:p>
        </w:tc>
        <w:tc>
          <w:tcPr>
            <w:tcW w:w="737" w:type="dxa"/>
            <w:tcBorders>
              <w:top w:val="nil"/>
              <w:left w:val="nil"/>
              <w:bottom w:val="single" w:sz="12" w:space="0" w:color="000000"/>
              <w:right w:val="nil"/>
            </w:tcBorders>
          </w:tcPr>
          <w:p w:rsidR="006F02B5" w:rsidRPr="006F02B5" w:rsidRDefault="006F02B5" w:rsidP="006F02B5">
            <w:pPr>
              <w:autoSpaceDE w:val="0"/>
              <w:autoSpaceDN w:val="0"/>
              <w:adjustRightInd w:val="0"/>
              <w:jc w:val="center"/>
              <w:rPr>
                <w:rFonts w:eastAsiaTheme="minorEastAsia" w:cs="Calibri"/>
                <w:b/>
                <w:color w:val="000000"/>
                <w:lang w:eastAsia="en-AU"/>
              </w:rPr>
            </w:pPr>
            <w:r w:rsidRPr="006F02B5">
              <w:rPr>
                <w:rFonts w:eastAsiaTheme="minorEastAsia" w:cs="Calibri"/>
                <w:b/>
                <w:color w:val="000000"/>
                <w:lang w:eastAsia="en-AU"/>
              </w:rPr>
              <w:t xml:space="preserve"> </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15 762</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17 667</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21 435</w:t>
            </w:r>
          </w:p>
        </w:tc>
      </w:tr>
    </w:tbl>
    <w:p w:rsidR="00A34F0D" w:rsidRPr="00A34F0D" w:rsidRDefault="00A34F0D" w:rsidP="006F02B5">
      <w:pPr>
        <w:pStyle w:val="Source"/>
      </w:pPr>
      <w:r w:rsidRPr="00A34F0D">
        <w:t xml:space="preserve">The </w:t>
      </w:r>
      <w:r w:rsidRPr="00DF3EC9">
        <w:t>accompanying</w:t>
      </w:r>
      <w:r w:rsidRPr="00A34F0D">
        <w:t xml:space="preserve"> notes form part of these financial statements.</w:t>
      </w:r>
    </w:p>
    <w:p w:rsidR="00AD2AE8" w:rsidRPr="005E1C50" w:rsidRDefault="00AD2AE8" w:rsidP="005E1C50">
      <w:pPr>
        <w:pStyle w:val="Note"/>
      </w:pPr>
      <w:r w:rsidRPr="005E1C50">
        <w:t>Notes:</w:t>
      </w:r>
    </w:p>
    <w:p w:rsidR="00457575" w:rsidRPr="005E1C50" w:rsidRDefault="00AD2AE8" w:rsidP="005E1C50">
      <w:pPr>
        <w:pStyle w:val="Note"/>
      </w:pPr>
      <w:r w:rsidRPr="005E1C50">
        <w:t>(a)</w:t>
      </w:r>
      <w:r w:rsidRPr="005E1C50">
        <w:tab/>
        <w:t>Balances represent actual opening balances at 1 July 2017 plus 2017</w:t>
      </w:r>
      <w:r w:rsidRPr="005E1C50">
        <w:noBreakHyphen/>
        <w:t>18 budgeted movements.</w:t>
      </w:r>
    </w:p>
    <w:p w:rsidR="00AD2AE8" w:rsidRPr="005E1C50" w:rsidRDefault="00AD2AE8" w:rsidP="005E1C50">
      <w:pPr>
        <w:pStyle w:val="Note"/>
      </w:pPr>
      <w:r w:rsidRPr="005E1C50">
        <w:t>(b)</w:t>
      </w:r>
      <w:r w:rsidRPr="005E1C50">
        <w:tab/>
        <w:t xml:space="preserve">September 2016 comparative figures </w:t>
      </w:r>
      <w:r w:rsidR="00466E7D">
        <w:t>have been restated to reflect a subsequent</w:t>
      </w:r>
      <w:r w:rsidRPr="005E1C50">
        <w:t xml:space="preserve"> adjustment to the Department of Environment, Land, Water and Planning</w:t>
      </w:r>
      <w:r w:rsidR="000D716D">
        <w:t>’</w:t>
      </w:r>
      <w:r w:rsidRPr="005E1C50">
        <w:t>s intangible produced assets and opening accumulated surplus/(deficit) balances due to the first-time recognition o</w:t>
      </w:r>
      <w:r w:rsidR="00466E7D">
        <w:t>f Renewable Energy Certificates in 2016-17.</w:t>
      </w:r>
      <w:r w:rsidRPr="005E1C50">
        <w:t xml:space="preserve">  </w:t>
      </w:r>
    </w:p>
    <w:p w:rsidR="00457575" w:rsidRDefault="00457575">
      <w:r>
        <w:br w:type="page"/>
      </w:r>
    </w:p>
    <w:p w:rsidR="00457575" w:rsidRDefault="00955520" w:rsidP="00955520">
      <w:pPr>
        <w:pStyle w:val="Heading10"/>
      </w:pPr>
      <w:bookmarkStart w:id="9" w:name="ConsolidatedCF"/>
      <w:r>
        <w:lastRenderedPageBreak/>
        <w:t xml:space="preserve">Consolidated cash flow statement </w:t>
      </w:r>
    </w:p>
    <w:bookmarkEnd w:id="9"/>
    <w:p w:rsidR="006F02B5" w:rsidRPr="006F02B5" w:rsidRDefault="00457575" w:rsidP="006F02B5">
      <w:pPr>
        <w:pStyle w:val="TableHeading"/>
        <w:rPr>
          <w:bCs/>
          <w:lang w:val="en-US"/>
        </w:rPr>
      </w:pPr>
      <w:r>
        <w:t>For the period ended 30 September</w:t>
      </w:r>
      <w:r>
        <w:tab/>
        <w:t>($ million)</w:t>
      </w:r>
    </w:p>
    <w:tbl>
      <w:tblPr>
        <w:tblStyle w:val="DTFTable"/>
        <w:tblW w:w="9637" w:type="dxa"/>
        <w:tblInd w:w="45" w:type="dxa"/>
        <w:tblLayout w:type="fixed"/>
        <w:tblCellMar>
          <w:left w:w="45" w:type="dxa"/>
          <w:right w:w="45" w:type="dxa"/>
        </w:tblCellMar>
        <w:tblLook w:val="0660" w:firstRow="1" w:lastRow="1" w:firstColumn="0" w:lastColumn="0" w:noHBand="1" w:noVBand="1"/>
      </w:tblPr>
      <w:tblGrid>
        <w:gridCol w:w="907"/>
        <w:gridCol w:w="6009"/>
        <w:gridCol w:w="314"/>
        <w:gridCol w:w="593"/>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2017-18</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907" w:type="dxa"/>
            <w:gridSpan w:val="2"/>
            <w:tcBorders>
              <w:top w:val="nil"/>
              <w:left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szCs w:val="18"/>
                <w:lang w:eastAsia="en-AU"/>
              </w:rPr>
            </w:pPr>
            <w:r w:rsidRPr="006F02B5">
              <w:rPr>
                <w:rFonts w:eastAsiaTheme="minorEastAsia" w:cs="Calibri"/>
                <w:iCs/>
                <w:color w:val="FFFFFF"/>
                <w:szCs w:val="18"/>
                <w:lang w:eastAsia="en-AU"/>
              </w:rPr>
              <w:t>Notes</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published</w:t>
            </w:r>
            <w:r>
              <w:rPr>
                <w:rFonts w:eastAsiaTheme="minorEastAsia" w:cs="Calibri"/>
                <w:iCs/>
                <w:color w:val="FFFFFF"/>
                <w:szCs w:val="18"/>
                <w:lang w:eastAsia="en-AU"/>
              </w:rPr>
              <w:br/>
            </w:r>
            <w:r w:rsidRPr="006F02B5">
              <w:rPr>
                <w:rFonts w:eastAsiaTheme="minorEastAsia" w:cs="Calibri"/>
                <w:iCs/>
                <w:color w:val="FFFFFF"/>
                <w:szCs w:val="18"/>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Cash flows from operating activities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 xml:space="preserve">Receipts </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5 078</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Taxes received</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5 491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21 688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6 699</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Grants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6 902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29 817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1 891</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vertAlign w:val="superscript"/>
                <w:lang w:eastAsia="en-AU"/>
              </w:rPr>
            </w:pPr>
            <w:r w:rsidRPr="006F02B5">
              <w:rPr>
                <w:rFonts w:eastAsiaTheme="minorEastAsia" w:cs="Calibri"/>
                <w:color w:val="000000"/>
                <w:szCs w:val="18"/>
                <w:lang w:eastAsia="en-AU"/>
              </w:rPr>
              <w:t xml:space="preserve">Sales of goods and services </w:t>
            </w:r>
            <w:r w:rsidRPr="006F02B5">
              <w:rPr>
                <w:rFonts w:eastAsiaTheme="minorEastAsia" w:cs="Calibri"/>
                <w:color w:val="000000"/>
                <w:szCs w:val="18"/>
                <w:vertAlign w:val="superscript"/>
                <w:lang w:eastAsia="en-AU"/>
              </w:rPr>
              <w:t>(a)</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1 984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8 076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169</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 xml:space="preserve">Interest received </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210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898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106</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Dividends, income tax equivalent and rate equivalent receipts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1 174</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317</w:t>
            </w:r>
          </w:p>
        </w:tc>
        <w:tc>
          <w:tcPr>
            <w:tcW w:w="6009" w:type="dxa"/>
            <w:tcBorders>
              <w:top w:val="nil"/>
              <w:left w:val="nil"/>
              <w:bottom w:val="single" w:sz="6" w:space="0" w:color="000000"/>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Other receipts</w:t>
            </w:r>
          </w:p>
        </w:tc>
        <w:tc>
          <w:tcPr>
            <w:tcW w:w="907" w:type="dxa"/>
            <w:gridSpan w:val="2"/>
            <w:tcBorders>
              <w:top w:val="nil"/>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469</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2 001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14 260</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receipts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15 114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63 655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Payments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(5 227)</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Payments for employees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(5 748)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(22 773)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(743)</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Superannuation</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(529)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(3 107)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(493)</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Interest paid</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(476)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(2 144)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(2 670)</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Grants and subsidies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(2 947)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(11 294)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(4 563)</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vertAlign w:val="superscript"/>
                <w:lang w:eastAsia="en-AU"/>
              </w:rPr>
            </w:pPr>
            <w:r w:rsidRPr="006F02B5">
              <w:rPr>
                <w:rFonts w:eastAsiaTheme="minorEastAsia" w:cs="Calibri"/>
                <w:color w:val="000000"/>
                <w:szCs w:val="18"/>
                <w:lang w:eastAsia="en-AU"/>
              </w:rPr>
              <w:t xml:space="preserve">Goods and services </w:t>
            </w:r>
            <w:r w:rsidRPr="006F02B5">
              <w:rPr>
                <w:rFonts w:eastAsiaTheme="minorEastAsia" w:cs="Calibri"/>
                <w:color w:val="000000"/>
                <w:szCs w:val="18"/>
                <w:vertAlign w:val="superscript"/>
                <w:lang w:eastAsia="en-AU"/>
              </w:rPr>
              <w:t>(a)</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(5 179)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(20 005)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(194)</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Other payments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(207)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(732)</w:t>
            </w:r>
          </w:p>
        </w:tc>
      </w:tr>
      <w:tr w:rsidR="006F02B5" w:rsidRPr="006F02B5" w:rsidTr="006F02B5">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(13 890)</w:t>
            </w:r>
          </w:p>
        </w:tc>
        <w:tc>
          <w:tcPr>
            <w:tcW w:w="6009" w:type="dxa"/>
            <w:tcBorders>
              <w:top w:val="single" w:sz="6" w:space="0" w:color="000000"/>
              <w:left w:val="nil"/>
              <w:bottom w:val="single" w:sz="6" w:space="0" w:color="000000"/>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payments</w:t>
            </w:r>
          </w:p>
        </w:tc>
        <w:tc>
          <w:tcPr>
            <w:tcW w:w="907" w:type="dxa"/>
            <w:gridSpan w:val="2"/>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(15 086)</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(60 054)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370</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Net cash flows from operating activities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7.3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28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3 601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Cash flows from investing activities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Cash flows from investments in non-financial assets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(1 564)</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Purchases of non-financial assets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szCs w:val="18"/>
                <w:lang w:eastAsia="en-AU"/>
              </w:rPr>
            </w:pPr>
            <w:r w:rsidRPr="006F02B5">
              <w:rPr>
                <w:rFonts w:eastAsiaTheme="minorEastAsia" w:cs="Calibri"/>
                <w:color w:val="000000"/>
                <w:szCs w:val="18"/>
                <w:lang w:eastAsia="en-AU"/>
              </w:rPr>
              <w:t>3.5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(1 881)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(8 780)</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24</w:t>
            </w:r>
          </w:p>
        </w:tc>
        <w:tc>
          <w:tcPr>
            <w:tcW w:w="6009" w:type="dxa"/>
            <w:tcBorders>
              <w:top w:val="nil"/>
              <w:left w:val="nil"/>
              <w:bottom w:val="single" w:sz="6" w:space="0" w:color="000000"/>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Sales of non-financial assets</w:t>
            </w:r>
          </w:p>
        </w:tc>
        <w:tc>
          <w:tcPr>
            <w:tcW w:w="907" w:type="dxa"/>
            <w:gridSpan w:val="2"/>
            <w:tcBorders>
              <w:top w:val="nil"/>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45</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503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(1 540)</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Net cash flows from investments in non-financial assets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(1 835)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(8 277)</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(90)</w:t>
            </w:r>
          </w:p>
        </w:tc>
        <w:tc>
          <w:tcPr>
            <w:tcW w:w="6009" w:type="dxa"/>
            <w:tcBorders>
              <w:top w:val="nil"/>
              <w:left w:val="nil"/>
              <w:bottom w:val="single" w:sz="6" w:space="0" w:color="000000"/>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Net cash flows from investments in financial assets for policy purposes</w:t>
            </w:r>
          </w:p>
        </w:tc>
        <w:tc>
          <w:tcPr>
            <w:tcW w:w="907" w:type="dxa"/>
            <w:gridSpan w:val="2"/>
            <w:tcBorders>
              <w:top w:val="nil"/>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672</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2 348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(1 630)</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Sub-total</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(1 163)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(5 930)</w:t>
            </w:r>
          </w:p>
        </w:tc>
      </w:tr>
      <w:tr w:rsidR="006F02B5" w:rsidRPr="006F02B5" w:rsidTr="00597959">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(184)</w:t>
            </w:r>
          </w:p>
        </w:tc>
        <w:tc>
          <w:tcPr>
            <w:tcW w:w="6323" w:type="dxa"/>
            <w:gridSpan w:val="2"/>
            <w:tcBorders>
              <w:top w:val="nil"/>
              <w:left w:val="nil"/>
              <w:bottom w:val="single" w:sz="6" w:space="0" w:color="000000"/>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Net cash flows from investments in financial assets for liquidity management purposes</w:t>
            </w:r>
          </w:p>
        </w:tc>
        <w:tc>
          <w:tcPr>
            <w:tcW w:w="593" w:type="dxa"/>
            <w:tcBorders>
              <w:top w:val="nil"/>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(232)</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801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(1 813)</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Net cash flows from investing activities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(1 395)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(5 129)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Cash flows from financing activities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(13)</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Advances received (net)</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(707)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(2 649)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740</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Net borrowings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669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4 584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23</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Deposits received (net)</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p>
        </w:tc>
      </w:tr>
      <w:tr w:rsidR="006F02B5" w:rsidRPr="006F02B5" w:rsidTr="006F02B5">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750</w:t>
            </w:r>
          </w:p>
        </w:tc>
        <w:tc>
          <w:tcPr>
            <w:tcW w:w="6009" w:type="dxa"/>
            <w:tcBorders>
              <w:top w:val="single" w:sz="6" w:space="0" w:color="000000"/>
              <w:left w:val="nil"/>
              <w:bottom w:val="single" w:sz="6" w:space="0" w:color="000000"/>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Net cash flows from financing activities</w:t>
            </w:r>
          </w:p>
        </w:tc>
        <w:tc>
          <w:tcPr>
            <w:tcW w:w="907" w:type="dxa"/>
            <w:gridSpan w:val="2"/>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(16)</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1 935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(693)</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 xml:space="preserve">Net increase/(decrease) in cash and cash equivalents </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(1 384)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408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4 772</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8"/>
                <w:lang w:eastAsia="en-AU"/>
              </w:rPr>
            </w:pPr>
            <w:r w:rsidRPr="006F02B5">
              <w:rPr>
                <w:rFonts w:eastAsiaTheme="minorEastAsia" w:cs="Calibri"/>
                <w:color w:val="000000"/>
                <w:szCs w:val="18"/>
                <w:lang w:eastAsia="en-AU"/>
              </w:rPr>
              <w:t>Cash and cash equivalents at beginning of reporting period</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5 530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5 530</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4 079</w:t>
            </w:r>
          </w:p>
        </w:tc>
        <w:tc>
          <w:tcPr>
            <w:tcW w:w="6009" w:type="dxa"/>
            <w:tcBorders>
              <w:top w:val="single" w:sz="6" w:space="0" w:color="000000"/>
              <w:left w:val="nil"/>
              <w:bottom w:val="single" w:sz="12" w:space="0" w:color="000000"/>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8"/>
                <w:lang w:eastAsia="en-AU"/>
              </w:rPr>
            </w:pPr>
            <w:r w:rsidRPr="006F02B5">
              <w:rPr>
                <w:rFonts w:eastAsiaTheme="minorEastAsia" w:cs="Calibri"/>
                <w:b/>
                <w:bCs/>
                <w:color w:val="000000"/>
                <w:szCs w:val="18"/>
                <w:lang w:eastAsia="en-AU"/>
              </w:rPr>
              <w:t>Cash and cash equivalents at end of the reporting period</w:t>
            </w:r>
          </w:p>
        </w:tc>
        <w:tc>
          <w:tcPr>
            <w:tcW w:w="907" w:type="dxa"/>
            <w:gridSpan w:val="2"/>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jc w:val="center"/>
              <w:rPr>
                <w:rFonts w:eastAsiaTheme="minorEastAsia" w:cs="Calibri"/>
                <w:bCs/>
                <w:color w:val="000000"/>
                <w:szCs w:val="18"/>
                <w:lang w:eastAsia="en-AU"/>
              </w:rPr>
            </w:pPr>
            <w:r w:rsidRPr="006F02B5">
              <w:rPr>
                <w:rFonts w:eastAsiaTheme="minorEastAsia" w:cs="Calibri"/>
                <w:bCs/>
                <w:color w:val="000000"/>
                <w:szCs w:val="18"/>
                <w:lang w:eastAsia="en-AU"/>
              </w:rPr>
              <w:t>7.2</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4 146</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5 937</w:t>
            </w:r>
          </w:p>
        </w:tc>
      </w:tr>
      <w:tr w:rsidR="006F02B5" w:rsidRPr="006F02B5" w:rsidTr="006F02B5">
        <w:trPr>
          <w:trHeight w:hRule="exact" w:val="120"/>
        </w:trPr>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6009" w:type="dxa"/>
            <w:tcBorders>
              <w:top w:val="nil"/>
              <w:left w:val="nil"/>
              <w:bottom w:val="nil"/>
              <w:right w:val="nil"/>
            </w:tcBorders>
          </w:tcPr>
          <w:p w:rsidR="006F02B5" w:rsidRPr="006F02B5" w:rsidRDefault="006F02B5" w:rsidP="006F02B5">
            <w:pPr>
              <w:autoSpaceDE w:val="0"/>
              <w:autoSpaceDN w:val="0"/>
              <w:adjustRightInd w:val="0"/>
              <w:jc w:val="left"/>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b/>
                <w:bCs/>
                <w:color w:val="000000"/>
                <w:szCs w:val="16"/>
                <w:lang w:eastAsia="en-AU"/>
              </w:rPr>
            </w:pPr>
            <w:r w:rsidRPr="006F02B5">
              <w:rPr>
                <w:rFonts w:eastAsiaTheme="minorEastAsia" w:cs="Calibri"/>
                <w:b/>
                <w:bCs/>
                <w:color w:val="000000"/>
                <w:szCs w:val="16"/>
                <w:lang w:eastAsia="en-AU"/>
              </w:rPr>
              <w:t>FISCAL AGGREGATES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bCs/>
                <w:color w:val="000000"/>
                <w:lang w:eastAsia="en-AU"/>
              </w:rPr>
            </w:pPr>
            <w:r w:rsidRPr="006F02B5">
              <w:rPr>
                <w:rFonts w:eastAsiaTheme="minorEastAsia" w:cs="Calibri"/>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370</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6"/>
                <w:lang w:eastAsia="en-AU"/>
              </w:rPr>
            </w:pPr>
            <w:r w:rsidRPr="006F02B5">
              <w:rPr>
                <w:rFonts w:eastAsiaTheme="minorEastAsia" w:cs="Calibri"/>
                <w:color w:val="000000"/>
                <w:szCs w:val="16"/>
                <w:lang w:eastAsia="en-AU"/>
              </w:rPr>
              <w:t>Net cash flows from operating activities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3 601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(1 540)</w:t>
            </w:r>
          </w:p>
        </w:tc>
        <w:tc>
          <w:tcPr>
            <w:tcW w:w="6009" w:type="dxa"/>
            <w:tcBorders>
              <w:top w:val="nil"/>
              <w:left w:val="nil"/>
              <w:bottom w:val="nil"/>
              <w:right w:val="nil"/>
            </w:tcBorders>
          </w:tcPr>
          <w:p w:rsidR="006F02B5" w:rsidRPr="006F02B5" w:rsidRDefault="006F02B5" w:rsidP="00597959">
            <w:pPr>
              <w:autoSpaceDE w:val="0"/>
              <w:autoSpaceDN w:val="0"/>
              <w:adjustRightInd w:val="0"/>
              <w:ind w:left="113"/>
              <w:jc w:val="left"/>
              <w:rPr>
                <w:rFonts w:eastAsiaTheme="minorEastAsia" w:cs="Calibri"/>
                <w:color w:val="000000"/>
                <w:szCs w:val="16"/>
                <w:lang w:eastAsia="en-AU"/>
              </w:rPr>
            </w:pPr>
            <w:r w:rsidRPr="006F02B5">
              <w:rPr>
                <w:rFonts w:eastAsiaTheme="minorEastAsia" w:cs="Calibri"/>
                <w:color w:val="000000"/>
                <w:szCs w:val="16"/>
                <w:lang w:eastAsia="en-AU"/>
              </w:rPr>
              <w:t>Net cash flows from investments in non-financial assets</w:t>
            </w:r>
          </w:p>
        </w:tc>
        <w:tc>
          <w:tcPr>
            <w:tcW w:w="907" w:type="dxa"/>
            <w:gridSpan w:val="2"/>
            <w:tcBorders>
              <w:top w:val="nil"/>
              <w:left w:val="nil"/>
              <w:bottom w:val="nil"/>
              <w:right w:val="nil"/>
            </w:tcBorders>
          </w:tcPr>
          <w:p w:rsidR="006F02B5" w:rsidRPr="006F02B5" w:rsidRDefault="006F02B5" w:rsidP="006F02B5">
            <w:pPr>
              <w:autoSpaceDE w:val="0"/>
              <w:autoSpaceDN w:val="0"/>
              <w:adjustRightInd w:val="0"/>
              <w:jc w:val="center"/>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(1 835)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(8 277)</w:t>
            </w:r>
          </w:p>
        </w:tc>
      </w:tr>
      <w:tr w:rsidR="006F02B5" w:rsidRPr="006F02B5" w:rsidTr="006F02B5">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rPr>
                <w:rFonts w:eastAsiaTheme="minorEastAsia" w:cs="Calibri"/>
                <w:bCs/>
                <w:color w:val="000000"/>
                <w:szCs w:val="18"/>
                <w:lang w:eastAsia="en-AU"/>
              </w:rPr>
            </w:pPr>
            <w:r>
              <w:rPr>
                <w:rFonts w:eastAsiaTheme="minorEastAsia" w:cs="Calibri"/>
                <w:bCs/>
                <w:color w:val="000000"/>
                <w:szCs w:val="18"/>
                <w:lang w:eastAsia="en-AU"/>
              </w:rPr>
              <w:t>(1 170)</w:t>
            </w:r>
          </w:p>
        </w:tc>
        <w:tc>
          <w:tcPr>
            <w:tcW w:w="6009" w:type="dxa"/>
            <w:tcBorders>
              <w:top w:val="single" w:sz="6" w:space="0" w:color="000000"/>
              <w:bottom w:val="single" w:sz="12" w:space="0" w:color="000000"/>
            </w:tcBorders>
          </w:tcPr>
          <w:p w:rsidR="006F02B5" w:rsidRPr="006F02B5" w:rsidRDefault="006F02B5" w:rsidP="00597959">
            <w:pPr>
              <w:autoSpaceDE w:val="0"/>
              <w:autoSpaceDN w:val="0"/>
              <w:adjustRightInd w:val="0"/>
              <w:ind w:left="113"/>
              <w:jc w:val="left"/>
              <w:rPr>
                <w:rFonts w:eastAsiaTheme="minorEastAsia" w:cs="Calibri"/>
                <w:bCs/>
                <w:color w:val="000000"/>
                <w:szCs w:val="16"/>
                <w:lang w:eastAsia="en-AU"/>
              </w:rPr>
            </w:pPr>
            <w:r w:rsidRPr="006F02B5">
              <w:rPr>
                <w:rFonts w:eastAsiaTheme="minorEastAsia" w:cs="Calibri"/>
                <w:bCs/>
                <w:color w:val="000000"/>
                <w:szCs w:val="16"/>
                <w:lang w:eastAsia="en-AU"/>
              </w:rPr>
              <w:t>Cash surplus/(deficit)</w:t>
            </w:r>
          </w:p>
        </w:tc>
        <w:tc>
          <w:tcPr>
            <w:tcW w:w="907" w:type="dxa"/>
            <w:gridSpan w:val="2"/>
            <w:tcBorders>
              <w:top w:val="single" w:sz="6" w:space="0" w:color="000000"/>
              <w:bottom w:val="single" w:sz="12" w:space="0" w:color="000000"/>
            </w:tcBorders>
          </w:tcPr>
          <w:p w:rsidR="006F02B5" w:rsidRPr="006F02B5" w:rsidRDefault="006F02B5" w:rsidP="006F02B5">
            <w:pPr>
              <w:autoSpaceDE w:val="0"/>
              <w:autoSpaceDN w:val="0"/>
              <w:adjustRightInd w:val="0"/>
              <w:jc w:val="center"/>
              <w:rPr>
                <w:rFonts w:eastAsiaTheme="minorEastAsia" w:cs="Calibri"/>
                <w:b w:val="0"/>
                <w:bCs/>
                <w:color w:val="000000"/>
                <w:lang w:eastAsia="en-AU"/>
              </w:rPr>
            </w:pPr>
            <w:r w:rsidRPr="006F02B5">
              <w:rPr>
                <w:rFonts w:eastAsiaTheme="minorEastAsia" w:cs="Calibri"/>
                <w:b w:val="0"/>
                <w:bCs/>
                <w:color w:val="000000"/>
                <w:lang w:eastAsia="en-AU"/>
              </w:rPr>
              <w:t xml:space="preserve"> </w:t>
            </w:r>
          </w:p>
        </w:tc>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rPr>
                <w:rFonts w:eastAsiaTheme="minorEastAsia" w:cs="Calibri"/>
                <w:bCs/>
                <w:color w:val="000000"/>
                <w:szCs w:val="18"/>
                <w:lang w:eastAsia="en-AU"/>
              </w:rPr>
            </w:pPr>
            <w:r>
              <w:rPr>
                <w:rFonts w:eastAsiaTheme="minorEastAsia" w:cs="Calibri"/>
                <w:bCs/>
                <w:color w:val="000000"/>
                <w:szCs w:val="18"/>
                <w:lang w:eastAsia="en-AU"/>
              </w:rPr>
              <w:t>(1 808)</w:t>
            </w:r>
          </w:p>
        </w:tc>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rPr>
                <w:rFonts w:eastAsiaTheme="minorEastAsia" w:cs="Calibri"/>
                <w:bCs/>
                <w:color w:val="000000"/>
                <w:szCs w:val="18"/>
                <w:lang w:eastAsia="en-AU"/>
              </w:rPr>
            </w:pPr>
            <w:r>
              <w:rPr>
                <w:rFonts w:eastAsiaTheme="minorEastAsia" w:cs="Calibri"/>
                <w:bCs/>
                <w:color w:val="000000"/>
                <w:szCs w:val="18"/>
                <w:lang w:eastAsia="en-AU"/>
              </w:rPr>
              <w:t>(4 676)</w:t>
            </w:r>
          </w:p>
        </w:tc>
      </w:tr>
    </w:tbl>
    <w:p w:rsidR="00A34F0D" w:rsidRPr="00A34F0D" w:rsidRDefault="00A34F0D" w:rsidP="006F02B5">
      <w:pPr>
        <w:pStyle w:val="Source"/>
      </w:pPr>
      <w:r w:rsidRPr="00A34F0D">
        <w:t>The accompanying notes form part of these financial statements.</w:t>
      </w:r>
    </w:p>
    <w:p w:rsidR="00D13887" w:rsidRDefault="00803CF6" w:rsidP="00D13887">
      <w:pPr>
        <w:pStyle w:val="Note"/>
      </w:pPr>
      <w:r>
        <w:t>Note</w:t>
      </w:r>
      <w:r w:rsidR="00D13887">
        <w:t>:</w:t>
      </w:r>
    </w:p>
    <w:p w:rsidR="00457575" w:rsidRPr="00D13887" w:rsidRDefault="00D13887" w:rsidP="00D13887">
      <w:pPr>
        <w:pStyle w:val="Note"/>
      </w:pPr>
      <w:r>
        <w:t>(a)</w:t>
      </w:r>
      <w:r>
        <w:tab/>
        <w:t>These items are inclusive of goods and services tax.</w:t>
      </w:r>
    </w:p>
    <w:p w:rsidR="00457575" w:rsidRDefault="00457575">
      <w:r>
        <w:br w:type="page"/>
      </w:r>
    </w:p>
    <w:p w:rsidR="00457575" w:rsidRDefault="00955520" w:rsidP="00955520">
      <w:pPr>
        <w:pStyle w:val="Heading10"/>
      </w:pPr>
      <w:bookmarkStart w:id="10" w:name="ConsolidatedSOCIE"/>
      <w:r>
        <w:lastRenderedPageBreak/>
        <w:t xml:space="preserve">Consolidated statement of changes in equity </w:t>
      </w:r>
    </w:p>
    <w:bookmarkEnd w:id="10"/>
    <w:p w:rsidR="006F02B5" w:rsidRPr="006F02B5" w:rsidRDefault="00457575" w:rsidP="006F02B5">
      <w:pPr>
        <w:pStyle w:val="TableHeading"/>
        <w:rPr>
          <w:bCs/>
          <w:lang w:val="en-US"/>
        </w:rPr>
      </w:pPr>
      <w:r>
        <w:t>For the period ended 30 September</w:t>
      </w:r>
      <w:r>
        <w:tab/>
      </w:r>
      <w:r w:rsidRPr="00457575">
        <w:t>($ million)</w:t>
      </w:r>
    </w:p>
    <w:tbl>
      <w:tblPr>
        <w:tblStyle w:val="DTFTable"/>
        <w:tblW w:w="9633" w:type="dxa"/>
        <w:tblInd w:w="45" w:type="dxa"/>
        <w:tblLayout w:type="fixed"/>
        <w:tblCellMar>
          <w:left w:w="45" w:type="dxa"/>
          <w:right w:w="45" w:type="dxa"/>
        </w:tblCellMar>
        <w:tblLook w:val="06E0" w:firstRow="1" w:lastRow="1" w:firstColumn="1" w:lastColumn="0" w:noHBand="1" w:noVBand="1"/>
      </w:tblPr>
      <w:tblGrid>
        <w:gridCol w:w="2968"/>
        <w:gridCol w:w="252"/>
        <w:gridCol w:w="994"/>
        <w:gridCol w:w="934"/>
        <w:gridCol w:w="1412"/>
        <w:gridCol w:w="1542"/>
        <w:gridCol w:w="726"/>
        <w:gridCol w:w="805"/>
      </w:tblGrid>
      <w:tr w:rsidR="006F02B5" w:rsidRPr="006F02B5" w:rsidTr="000D71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8" w:type="dxa"/>
            <w:tcBorders>
              <w:top w:val="nil"/>
              <w:left w:val="nil"/>
              <w:bottom w:val="nil"/>
              <w:right w:val="nil"/>
            </w:tcBorders>
            <w:shd w:val="solid" w:color="000000" w:fill="auto"/>
          </w:tcPr>
          <w:p w:rsidR="006F02B5" w:rsidRPr="006F02B5" w:rsidRDefault="006F02B5" w:rsidP="006F02B5">
            <w:pPr>
              <w:autoSpaceDE w:val="0"/>
              <w:autoSpaceDN w:val="0"/>
              <w:adjustRightInd w:val="0"/>
              <w:rPr>
                <w:rFonts w:eastAsiaTheme="minorEastAsia" w:cs="Calibri"/>
                <w:iCs/>
                <w:color w:val="FFFFFF"/>
                <w:szCs w:val="21"/>
                <w:lang w:eastAsia="en-AU"/>
              </w:rPr>
            </w:pPr>
            <w:r w:rsidRPr="006F02B5">
              <w:rPr>
                <w:rFonts w:eastAsiaTheme="minorEastAsia" w:cs="Calibri"/>
                <w:iCs/>
                <w:color w:val="FFFFFF"/>
                <w:szCs w:val="21"/>
                <w:lang w:eastAsia="en-AU"/>
              </w:rPr>
              <w:t>General government sector</w:t>
            </w:r>
          </w:p>
        </w:tc>
        <w:tc>
          <w:tcPr>
            <w:tcW w:w="1246" w:type="dxa"/>
            <w:gridSpan w:val="2"/>
            <w:tcBorders>
              <w:top w:val="nil"/>
              <w:left w:val="nil"/>
              <w:bottom w:val="nil"/>
              <w:right w:val="nil"/>
            </w:tcBorders>
            <w:shd w:val="solid" w:color="000000" w:fill="auto"/>
          </w:tcPr>
          <w:p w:rsidR="006F02B5" w:rsidRPr="006F02B5" w:rsidRDefault="006F02B5" w:rsidP="006F0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6F02B5">
              <w:rPr>
                <w:rFonts w:eastAsiaTheme="minorEastAsia" w:cs="Calibri"/>
                <w:iCs/>
                <w:color w:val="FFFFFF"/>
                <w:szCs w:val="21"/>
                <w:lang w:eastAsia="en-AU"/>
              </w:rPr>
              <w:t>Accumulated surplus/(deficit)</w:t>
            </w:r>
          </w:p>
        </w:tc>
        <w:tc>
          <w:tcPr>
            <w:tcW w:w="934" w:type="dxa"/>
            <w:tcBorders>
              <w:top w:val="nil"/>
              <w:left w:val="nil"/>
              <w:bottom w:val="nil"/>
              <w:right w:val="nil"/>
            </w:tcBorders>
            <w:shd w:val="solid" w:color="000000" w:fill="auto"/>
          </w:tcPr>
          <w:p w:rsidR="006F02B5" w:rsidRPr="006F02B5" w:rsidRDefault="006F02B5" w:rsidP="006F0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6F02B5">
              <w:rPr>
                <w:rFonts w:eastAsiaTheme="minorEastAsia" w:cs="Calibri"/>
                <w:iCs/>
                <w:color w:val="FFFFFF"/>
                <w:szCs w:val="21"/>
                <w:lang w:eastAsia="en-AU"/>
              </w:rPr>
              <w:t>Non-controlling Interest</w:t>
            </w:r>
          </w:p>
        </w:tc>
        <w:tc>
          <w:tcPr>
            <w:tcW w:w="1412" w:type="dxa"/>
            <w:tcBorders>
              <w:top w:val="nil"/>
              <w:left w:val="nil"/>
              <w:bottom w:val="nil"/>
              <w:right w:val="nil"/>
            </w:tcBorders>
            <w:shd w:val="solid" w:color="000000" w:fill="auto"/>
          </w:tcPr>
          <w:p w:rsidR="006F02B5" w:rsidRPr="006F02B5" w:rsidRDefault="006F02B5" w:rsidP="006F0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6F02B5">
              <w:rPr>
                <w:rFonts w:eastAsiaTheme="minorEastAsia" w:cs="Calibri"/>
                <w:iCs/>
                <w:color w:val="FFFFFF"/>
                <w:szCs w:val="21"/>
                <w:lang w:eastAsia="en-AU"/>
              </w:rPr>
              <w:t>Non-financial assets revaluation surplus</w:t>
            </w:r>
          </w:p>
        </w:tc>
        <w:tc>
          <w:tcPr>
            <w:tcW w:w="1542" w:type="dxa"/>
            <w:tcBorders>
              <w:top w:val="nil"/>
              <w:left w:val="nil"/>
              <w:bottom w:val="nil"/>
              <w:right w:val="nil"/>
            </w:tcBorders>
            <w:shd w:val="solid" w:color="000000" w:fill="auto"/>
          </w:tcPr>
          <w:p w:rsidR="006F02B5" w:rsidRPr="006F02B5" w:rsidRDefault="006F02B5" w:rsidP="006F0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6F02B5">
              <w:rPr>
                <w:rFonts w:eastAsiaTheme="minorEastAsia" w:cs="Calibri"/>
                <w:iCs/>
                <w:color w:val="FFFFFF"/>
                <w:szCs w:val="21"/>
                <w:lang w:eastAsia="en-AU"/>
              </w:rPr>
              <w:t>Investment in other sector entities revaluation surplus</w:t>
            </w:r>
          </w:p>
        </w:tc>
        <w:tc>
          <w:tcPr>
            <w:tcW w:w="726" w:type="dxa"/>
            <w:tcBorders>
              <w:top w:val="nil"/>
              <w:left w:val="nil"/>
              <w:bottom w:val="nil"/>
              <w:right w:val="nil"/>
            </w:tcBorders>
            <w:shd w:val="solid" w:color="000000" w:fill="auto"/>
          </w:tcPr>
          <w:p w:rsidR="006F02B5" w:rsidRPr="006F02B5" w:rsidRDefault="006F02B5" w:rsidP="006F0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6F02B5">
              <w:rPr>
                <w:rFonts w:eastAsiaTheme="minorEastAsia" w:cs="Calibri"/>
                <w:iCs/>
                <w:color w:val="FFFFFF"/>
                <w:szCs w:val="21"/>
                <w:lang w:eastAsia="en-AU"/>
              </w:rPr>
              <w:t>Other reserves</w:t>
            </w:r>
          </w:p>
        </w:tc>
        <w:tc>
          <w:tcPr>
            <w:tcW w:w="805" w:type="dxa"/>
            <w:tcBorders>
              <w:top w:val="nil"/>
              <w:left w:val="nil"/>
              <w:bottom w:val="nil"/>
              <w:right w:val="nil"/>
            </w:tcBorders>
            <w:shd w:val="solid" w:color="000000" w:fill="auto"/>
          </w:tcPr>
          <w:p w:rsidR="006F02B5" w:rsidRPr="006F02B5" w:rsidRDefault="006F02B5" w:rsidP="006F0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6F02B5">
              <w:rPr>
                <w:rFonts w:eastAsiaTheme="minorEastAsia" w:cs="Calibri"/>
                <w:iCs/>
                <w:color w:val="FFFFFF"/>
                <w:szCs w:val="21"/>
                <w:lang w:eastAsia="en-AU"/>
              </w:rPr>
              <w:t>Total</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21"/>
                <w:lang w:eastAsia="en-AU"/>
              </w:rPr>
            </w:pPr>
            <w:r w:rsidRPr="006F02B5">
              <w:rPr>
                <w:rFonts w:eastAsiaTheme="minorEastAsia" w:cs="Calibri"/>
                <w:b/>
                <w:bCs/>
                <w:color w:val="000000"/>
                <w:szCs w:val="21"/>
                <w:lang w:eastAsia="en-AU"/>
              </w:rPr>
              <w:t>2017-18</w:t>
            </w:r>
          </w:p>
        </w:tc>
        <w:tc>
          <w:tcPr>
            <w:tcW w:w="99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3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141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154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726"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805"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1"/>
                <w:lang w:eastAsia="en-AU"/>
              </w:rPr>
            </w:pPr>
            <w:r w:rsidRPr="006F02B5">
              <w:rPr>
                <w:rFonts w:eastAsiaTheme="minorEastAsia" w:cs="Calibri"/>
                <w:color w:val="000000"/>
                <w:szCs w:val="21"/>
                <w:lang w:eastAsia="en-AU"/>
              </w:rPr>
              <w:t>Balance at 1 July 2017</w:t>
            </w:r>
          </w:p>
        </w:tc>
        <w:tc>
          <w:tcPr>
            <w:tcW w:w="99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51 464</w:t>
            </w:r>
          </w:p>
        </w:tc>
        <w:tc>
          <w:tcPr>
            <w:tcW w:w="93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41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55 745</w:t>
            </w:r>
          </w:p>
        </w:tc>
        <w:tc>
          <w:tcPr>
            <w:tcW w:w="154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60 149</w:t>
            </w:r>
          </w:p>
        </w:tc>
        <w:tc>
          <w:tcPr>
            <w:tcW w:w="726"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6F02B5">
              <w:rPr>
                <w:rFonts w:eastAsiaTheme="minorEastAsia" w:cs="Calibri"/>
                <w:color w:val="000000"/>
                <w:szCs w:val="21"/>
                <w:lang w:eastAsia="en-AU"/>
              </w:rPr>
              <w:t>669</w:t>
            </w:r>
          </w:p>
        </w:tc>
        <w:tc>
          <w:tcPr>
            <w:tcW w:w="805"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168 027</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nil"/>
              <w:left w:val="nil"/>
              <w:bottom w:val="nil"/>
              <w:right w:val="nil"/>
            </w:tcBorders>
          </w:tcPr>
          <w:p w:rsidR="006F02B5" w:rsidRPr="006F02B5" w:rsidRDefault="006F02B5" w:rsidP="000F3A7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1"/>
                <w:lang w:eastAsia="en-AU"/>
              </w:rPr>
              <w:t xml:space="preserve">Net result for </w:t>
            </w:r>
            <w:r w:rsidRPr="006F02B5">
              <w:rPr>
                <w:rFonts w:eastAsiaTheme="minorEastAsia" w:cs="Calibri"/>
                <w:color w:val="000000"/>
                <w:szCs w:val="20"/>
                <w:lang w:eastAsia="en-AU"/>
              </w:rPr>
              <w:t xml:space="preserve">the </w:t>
            </w:r>
            <w:r w:rsidR="000F3A75">
              <w:rPr>
                <w:rFonts w:eastAsiaTheme="minorEastAsia" w:cs="Calibri"/>
                <w:color w:val="000000"/>
                <w:szCs w:val="20"/>
                <w:lang w:eastAsia="en-AU"/>
              </w:rPr>
              <w:t>period</w:t>
            </w:r>
          </w:p>
        </w:tc>
        <w:tc>
          <w:tcPr>
            <w:tcW w:w="99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6F02B5">
              <w:rPr>
                <w:rFonts w:eastAsiaTheme="minorEastAsia" w:cs="Calibri"/>
                <w:color w:val="000000"/>
                <w:szCs w:val="21"/>
                <w:lang w:eastAsia="en-AU"/>
              </w:rPr>
              <w:t>497</w:t>
            </w:r>
          </w:p>
        </w:tc>
        <w:tc>
          <w:tcPr>
            <w:tcW w:w="93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41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4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26"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805"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6F02B5">
              <w:rPr>
                <w:rFonts w:eastAsiaTheme="minorEastAsia" w:cs="Calibri"/>
                <w:color w:val="000000"/>
                <w:szCs w:val="21"/>
                <w:lang w:eastAsia="en-AU"/>
              </w:rPr>
              <w:t>497</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nil"/>
              <w:left w:val="nil"/>
              <w:bottom w:val="nil"/>
              <w:right w:val="nil"/>
            </w:tcBorders>
          </w:tcPr>
          <w:p w:rsidR="006F02B5" w:rsidRPr="006F02B5" w:rsidRDefault="006F02B5" w:rsidP="000F3A75">
            <w:pPr>
              <w:autoSpaceDE w:val="0"/>
              <w:autoSpaceDN w:val="0"/>
              <w:adjustRightInd w:val="0"/>
              <w:ind w:right="-57"/>
              <w:rPr>
                <w:rFonts w:eastAsiaTheme="minorEastAsia" w:cs="Calibri"/>
                <w:color w:val="000000"/>
                <w:szCs w:val="21"/>
                <w:lang w:eastAsia="en-AU"/>
              </w:rPr>
            </w:pPr>
            <w:r w:rsidRPr="006F02B5">
              <w:rPr>
                <w:rFonts w:eastAsiaTheme="minorEastAsia" w:cs="Calibri"/>
                <w:color w:val="000000"/>
                <w:szCs w:val="21"/>
                <w:lang w:eastAsia="en-AU"/>
              </w:rPr>
              <w:t xml:space="preserve">Other comprehensive income for the </w:t>
            </w:r>
            <w:r w:rsidR="000F3A75">
              <w:rPr>
                <w:rFonts w:eastAsiaTheme="minorEastAsia" w:cs="Calibri"/>
                <w:color w:val="000000"/>
                <w:szCs w:val="21"/>
                <w:lang w:eastAsia="en-AU"/>
              </w:rPr>
              <w:t>period</w:t>
            </w:r>
          </w:p>
        </w:tc>
        <w:tc>
          <w:tcPr>
            <w:tcW w:w="99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1 184</w:t>
            </w:r>
          </w:p>
        </w:tc>
        <w:tc>
          <w:tcPr>
            <w:tcW w:w="93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41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(22)</w:t>
            </w:r>
          </w:p>
        </w:tc>
        <w:tc>
          <w:tcPr>
            <w:tcW w:w="154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26"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6F02B5">
              <w:rPr>
                <w:rFonts w:eastAsiaTheme="minorEastAsia" w:cs="Calibri"/>
                <w:color w:val="000000"/>
                <w:szCs w:val="21"/>
                <w:lang w:eastAsia="en-AU"/>
              </w:rPr>
              <w:t>4</w:t>
            </w:r>
          </w:p>
        </w:tc>
        <w:tc>
          <w:tcPr>
            <w:tcW w:w="805"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1 165</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21"/>
                <w:lang w:eastAsia="en-AU"/>
              </w:rPr>
            </w:pPr>
            <w:r w:rsidRPr="006F02B5">
              <w:rPr>
                <w:rFonts w:eastAsiaTheme="minorEastAsia" w:cs="Calibri"/>
                <w:b/>
                <w:bCs/>
                <w:color w:val="000000"/>
                <w:szCs w:val="21"/>
                <w:lang w:eastAsia="en-AU"/>
              </w:rPr>
              <w:t>Total equity as at 30 September 2017</w:t>
            </w:r>
          </w:p>
        </w:tc>
        <w:tc>
          <w:tcPr>
            <w:tcW w:w="994"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53 145</w:t>
            </w:r>
          </w:p>
        </w:tc>
        <w:tc>
          <w:tcPr>
            <w:tcW w:w="934"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w:t>
            </w:r>
          </w:p>
        </w:tc>
        <w:tc>
          <w:tcPr>
            <w:tcW w:w="1412"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55 723</w:t>
            </w:r>
          </w:p>
        </w:tc>
        <w:tc>
          <w:tcPr>
            <w:tcW w:w="1542"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60 149</w:t>
            </w:r>
          </w:p>
        </w:tc>
        <w:tc>
          <w:tcPr>
            <w:tcW w:w="726"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6F02B5">
              <w:rPr>
                <w:rFonts w:eastAsiaTheme="minorEastAsia" w:cs="Calibri"/>
                <w:b/>
                <w:bCs/>
                <w:color w:val="000000"/>
                <w:szCs w:val="21"/>
                <w:lang w:eastAsia="en-AU"/>
              </w:rPr>
              <w:t>673</w:t>
            </w:r>
          </w:p>
        </w:tc>
        <w:tc>
          <w:tcPr>
            <w:tcW w:w="805"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169 689</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21"/>
                <w:lang w:eastAsia="en-AU"/>
              </w:rPr>
            </w:pPr>
            <w:r w:rsidRPr="006F02B5">
              <w:rPr>
                <w:rFonts w:eastAsiaTheme="minorEastAsia" w:cs="Calibri"/>
                <w:b/>
                <w:bCs/>
                <w:color w:val="000000"/>
                <w:szCs w:val="21"/>
                <w:lang w:eastAsia="en-AU"/>
              </w:rPr>
              <w:t>Budget equity as at 30 June 2018</w:t>
            </w:r>
            <w:r w:rsidR="0003363B">
              <w:rPr>
                <w:rFonts w:eastAsiaTheme="minorEastAsia" w:cs="Calibri"/>
                <w:b/>
                <w:bCs/>
                <w:color w:val="000000"/>
                <w:szCs w:val="21"/>
                <w:lang w:eastAsia="en-AU"/>
              </w:rPr>
              <w:t xml:space="preserve"> </w:t>
            </w:r>
            <w:r w:rsidR="0003363B" w:rsidRPr="0003363B">
              <w:rPr>
                <w:rFonts w:eastAsiaTheme="minorEastAsia" w:cs="Calibri"/>
                <w:b/>
                <w:bCs/>
                <w:color w:val="000000"/>
                <w:szCs w:val="21"/>
                <w:vertAlign w:val="superscript"/>
                <w:lang w:eastAsia="en-AU"/>
              </w:rPr>
              <w:t>(a)</w:t>
            </w:r>
          </w:p>
        </w:tc>
        <w:tc>
          <w:tcPr>
            <w:tcW w:w="994" w:type="dxa"/>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53 275</w:t>
            </w:r>
          </w:p>
        </w:tc>
        <w:tc>
          <w:tcPr>
            <w:tcW w:w="934" w:type="dxa"/>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w:t>
            </w:r>
          </w:p>
        </w:tc>
        <w:tc>
          <w:tcPr>
            <w:tcW w:w="1412" w:type="dxa"/>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59 405</w:t>
            </w:r>
          </w:p>
        </w:tc>
        <w:tc>
          <w:tcPr>
            <w:tcW w:w="1542" w:type="dxa"/>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59 183</w:t>
            </w:r>
          </w:p>
        </w:tc>
        <w:tc>
          <w:tcPr>
            <w:tcW w:w="726" w:type="dxa"/>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6F02B5">
              <w:rPr>
                <w:rFonts w:eastAsiaTheme="minorEastAsia" w:cs="Calibri"/>
                <w:b/>
                <w:bCs/>
                <w:color w:val="000000"/>
                <w:szCs w:val="21"/>
                <w:lang w:eastAsia="en-AU"/>
              </w:rPr>
              <w:t>669</w:t>
            </w:r>
          </w:p>
        </w:tc>
        <w:tc>
          <w:tcPr>
            <w:tcW w:w="805" w:type="dxa"/>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172 532</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21"/>
                <w:lang w:eastAsia="en-AU"/>
              </w:rPr>
            </w:pPr>
            <w:r w:rsidRPr="006F02B5">
              <w:rPr>
                <w:rFonts w:eastAsiaTheme="minorEastAsia" w:cs="Calibri"/>
                <w:b/>
                <w:bCs/>
                <w:color w:val="000000"/>
                <w:szCs w:val="21"/>
                <w:lang w:eastAsia="en-AU"/>
              </w:rPr>
              <w:t>2016-17</w:t>
            </w:r>
          </w:p>
        </w:tc>
        <w:tc>
          <w:tcPr>
            <w:tcW w:w="99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3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141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154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726"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805"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1"/>
                <w:vertAlign w:val="superscript"/>
                <w:lang w:eastAsia="en-AU"/>
              </w:rPr>
            </w:pPr>
            <w:r w:rsidRPr="006F02B5">
              <w:rPr>
                <w:rFonts w:eastAsiaTheme="minorEastAsia" w:cs="Calibri"/>
                <w:color w:val="000000"/>
                <w:szCs w:val="21"/>
                <w:lang w:eastAsia="en-AU"/>
              </w:rPr>
              <w:t xml:space="preserve">Balance at 1 July 2016 </w:t>
            </w:r>
            <w:r w:rsidR="0003363B">
              <w:rPr>
                <w:rFonts w:eastAsiaTheme="minorEastAsia" w:cs="Calibri"/>
                <w:color w:val="000000"/>
                <w:szCs w:val="21"/>
                <w:vertAlign w:val="superscript"/>
                <w:lang w:eastAsia="en-AU"/>
              </w:rPr>
              <w:t>(b</w:t>
            </w:r>
            <w:r w:rsidRPr="006F02B5">
              <w:rPr>
                <w:rFonts w:eastAsiaTheme="minorEastAsia" w:cs="Calibri"/>
                <w:color w:val="000000"/>
                <w:szCs w:val="21"/>
                <w:vertAlign w:val="superscript"/>
                <w:lang w:eastAsia="en-AU"/>
              </w:rPr>
              <w:t>)</w:t>
            </w:r>
          </w:p>
        </w:tc>
        <w:tc>
          <w:tcPr>
            <w:tcW w:w="99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44 557</w:t>
            </w:r>
          </w:p>
        </w:tc>
        <w:tc>
          <w:tcPr>
            <w:tcW w:w="93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6F02B5">
              <w:rPr>
                <w:rFonts w:eastAsiaTheme="minorEastAsia" w:cs="Calibri"/>
                <w:color w:val="000000"/>
                <w:szCs w:val="21"/>
                <w:lang w:eastAsia="en-AU"/>
              </w:rPr>
              <w:t>50</w:t>
            </w:r>
          </w:p>
        </w:tc>
        <w:tc>
          <w:tcPr>
            <w:tcW w:w="141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49 613</w:t>
            </w:r>
          </w:p>
        </w:tc>
        <w:tc>
          <w:tcPr>
            <w:tcW w:w="154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57 027</w:t>
            </w:r>
          </w:p>
        </w:tc>
        <w:tc>
          <w:tcPr>
            <w:tcW w:w="726"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6F02B5">
              <w:rPr>
                <w:rFonts w:eastAsiaTheme="minorEastAsia" w:cs="Calibri"/>
                <w:color w:val="000000"/>
                <w:szCs w:val="21"/>
                <w:lang w:eastAsia="en-AU"/>
              </w:rPr>
              <w:t>551</w:t>
            </w:r>
          </w:p>
        </w:tc>
        <w:tc>
          <w:tcPr>
            <w:tcW w:w="805"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151 798</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nil"/>
              <w:left w:val="nil"/>
              <w:bottom w:val="nil"/>
              <w:right w:val="nil"/>
            </w:tcBorders>
          </w:tcPr>
          <w:p w:rsidR="006F02B5" w:rsidRPr="006F02B5" w:rsidRDefault="006F02B5" w:rsidP="004E4C4B">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1"/>
                <w:lang w:eastAsia="en-AU"/>
              </w:rPr>
              <w:t xml:space="preserve">Net result for </w:t>
            </w:r>
            <w:r w:rsidRPr="006F02B5">
              <w:rPr>
                <w:rFonts w:eastAsiaTheme="minorEastAsia" w:cs="Calibri"/>
                <w:color w:val="000000"/>
                <w:szCs w:val="20"/>
                <w:lang w:eastAsia="en-AU"/>
              </w:rPr>
              <w:t xml:space="preserve">the </w:t>
            </w:r>
            <w:r w:rsidR="004E4C4B">
              <w:rPr>
                <w:rFonts w:eastAsiaTheme="minorEastAsia" w:cs="Calibri"/>
                <w:color w:val="000000"/>
                <w:szCs w:val="20"/>
                <w:lang w:eastAsia="en-AU"/>
              </w:rPr>
              <w:t>period</w:t>
            </w:r>
          </w:p>
        </w:tc>
        <w:tc>
          <w:tcPr>
            <w:tcW w:w="99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6F02B5">
              <w:rPr>
                <w:rFonts w:eastAsiaTheme="minorEastAsia" w:cs="Calibri"/>
                <w:color w:val="000000"/>
                <w:szCs w:val="21"/>
                <w:lang w:eastAsia="en-AU"/>
              </w:rPr>
              <w:t>370</w:t>
            </w:r>
          </w:p>
        </w:tc>
        <w:tc>
          <w:tcPr>
            <w:tcW w:w="93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41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4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26"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805"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6F02B5">
              <w:rPr>
                <w:rFonts w:eastAsiaTheme="minorEastAsia" w:cs="Calibri"/>
                <w:color w:val="000000"/>
                <w:szCs w:val="21"/>
                <w:lang w:eastAsia="en-AU"/>
              </w:rPr>
              <w:t>370</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nil"/>
              <w:left w:val="nil"/>
              <w:bottom w:val="nil"/>
              <w:right w:val="nil"/>
            </w:tcBorders>
          </w:tcPr>
          <w:p w:rsidR="006F02B5" w:rsidRPr="006F02B5" w:rsidRDefault="006F02B5" w:rsidP="000F3A75">
            <w:pPr>
              <w:autoSpaceDE w:val="0"/>
              <w:autoSpaceDN w:val="0"/>
              <w:adjustRightInd w:val="0"/>
              <w:ind w:right="-57"/>
              <w:rPr>
                <w:rFonts w:eastAsiaTheme="minorEastAsia" w:cs="Calibri"/>
                <w:color w:val="000000"/>
                <w:szCs w:val="21"/>
                <w:lang w:eastAsia="en-AU"/>
              </w:rPr>
            </w:pPr>
            <w:r w:rsidRPr="006F02B5">
              <w:rPr>
                <w:rFonts w:eastAsiaTheme="minorEastAsia" w:cs="Calibri"/>
                <w:color w:val="000000"/>
                <w:szCs w:val="21"/>
                <w:lang w:eastAsia="en-AU"/>
              </w:rPr>
              <w:t xml:space="preserve">Other comprehensive income for the </w:t>
            </w:r>
            <w:r w:rsidR="000F3A75">
              <w:rPr>
                <w:rFonts w:eastAsiaTheme="minorEastAsia" w:cs="Calibri"/>
                <w:color w:val="000000"/>
                <w:szCs w:val="21"/>
                <w:lang w:eastAsia="en-AU"/>
              </w:rPr>
              <w:t>period</w:t>
            </w:r>
          </w:p>
        </w:tc>
        <w:tc>
          <w:tcPr>
            <w:tcW w:w="99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6F02B5">
              <w:rPr>
                <w:rFonts w:eastAsiaTheme="minorEastAsia" w:cs="Calibri"/>
                <w:color w:val="000000"/>
                <w:szCs w:val="21"/>
                <w:lang w:eastAsia="en-AU"/>
              </w:rPr>
              <w:t>359</w:t>
            </w:r>
          </w:p>
        </w:tc>
        <w:tc>
          <w:tcPr>
            <w:tcW w:w="93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41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(93)</w:t>
            </w:r>
          </w:p>
        </w:tc>
        <w:tc>
          <w:tcPr>
            <w:tcW w:w="154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26"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(29)</w:t>
            </w:r>
          </w:p>
        </w:tc>
        <w:tc>
          <w:tcPr>
            <w:tcW w:w="805"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6F02B5">
              <w:rPr>
                <w:rFonts w:eastAsiaTheme="minorEastAsia" w:cs="Calibri"/>
                <w:color w:val="000000"/>
                <w:szCs w:val="21"/>
                <w:lang w:eastAsia="en-AU"/>
              </w:rPr>
              <w:t>236</w:t>
            </w:r>
          </w:p>
        </w:tc>
      </w:tr>
      <w:tr w:rsidR="006F02B5" w:rsidRPr="006F02B5" w:rsidTr="000D716D">
        <w:tc>
          <w:tcPr>
            <w:cnfStyle w:val="001000000000" w:firstRow="0" w:lastRow="0" w:firstColumn="1" w:lastColumn="0" w:oddVBand="0" w:evenVBand="0" w:oddHBand="0" w:evenHBand="0" w:firstRowFirstColumn="0" w:firstRowLastColumn="0" w:lastRowFirstColumn="0" w:lastRowLastColumn="0"/>
            <w:tcW w:w="3220" w:type="dxa"/>
            <w:gridSpan w:val="2"/>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1"/>
                <w:lang w:eastAsia="en-AU"/>
              </w:rPr>
            </w:pPr>
            <w:r w:rsidRPr="006F02B5">
              <w:rPr>
                <w:rFonts w:eastAsiaTheme="minorEastAsia" w:cs="Calibri"/>
                <w:color w:val="000000"/>
                <w:szCs w:val="21"/>
                <w:lang w:eastAsia="en-AU"/>
              </w:rPr>
              <w:t>Transactions with owners in their capacity as owners</w:t>
            </w:r>
          </w:p>
        </w:tc>
        <w:tc>
          <w:tcPr>
            <w:tcW w:w="99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934"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(50)</w:t>
            </w:r>
          </w:p>
        </w:tc>
        <w:tc>
          <w:tcPr>
            <w:tcW w:w="141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42"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26"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805"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(50)</w:t>
            </w:r>
          </w:p>
        </w:tc>
      </w:tr>
      <w:tr w:rsidR="006F02B5" w:rsidRPr="006F02B5" w:rsidTr="000D71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6" w:space="0" w:color="000000"/>
              <w:bottom w:val="single" w:sz="12" w:space="0" w:color="000000"/>
            </w:tcBorders>
          </w:tcPr>
          <w:p w:rsidR="006F02B5" w:rsidRPr="006F02B5" w:rsidRDefault="006F02B5" w:rsidP="006F02B5">
            <w:pPr>
              <w:autoSpaceDE w:val="0"/>
              <w:autoSpaceDN w:val="0"/>
              <w:adjustRightInd w:val="0"/>
              <w:rPr>
                <w:rFonts w:eastAsiaTheme="minorEastAsia" w:cs="Calibri"/>
                <w:bCs/>
                <w:color w:val="000000"/>
                <w:szCs w:val="21"/>
                <w:vertAlign w:val="superscript"/>
                <w:lang w:eastAsia="en-AU"/>
              </w:rPr>
            </w:pPr>
            <w:r w:rsidRPr="006F02B5">
              <w:rPr>
                <w:rFonts w:eastAsiaTheme="minorEastAsia" w:cs="Calibri"/>
                <w:bCs/>
                <w:color w:val="000000"/>
                <w:szCs w:val="21"/>
                <w:lang w:eastAsia="en-AU"/>
              </w:rPr>
              <w:t xml:space="preserve">Total equity as at 30 September 2016 </w:t>
            </w:r>
            <w:r w:rsidR="0003363B">
              <w:rPr>
                <w:rFonts w:eastAsiaTheme="minorEastAsia" w:cs="Calibri"/>
                <w:bCs/>
                <w:color w:val="000000"/>
                <w:szCs w:val="21"/>
                <w:vertAlign w:val="superscript"/>
                <w:lang w:eastAsia="en-AU"/>
              </w:rPr>
              <w:t>(b</w:t>
            </w:r>
            <w:r w:rsidRPr="006F02B5">
              <w:rPr>
                <w:rFonts w:eastAsiaTheme="minorEastAsia" w:cs="Calibri"/>
                <w:bCs/>
                <w:color w:val="000000"/>
                <w:szCs w:val="21"/>
                <w:vertAlign w:val="superscript"/>
                <w:lang w:eastAsia="en-AU"/>
              </w:rPr>
              <w:t>)</w:t>
            </w:r>
          </w:p>
        </w:tc>
        <w:tc>
          <w:tcPr>
            <w:tcW w:w="994"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45 286</w:t>
            </w:r>
          </w:p>
        </w:tc>
        <w:tc>
          <w:tcPr>
            <w:tcW w:w="934"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w:t>
            </w:r>
          </w:p>
        </w:tc>
        <w:tc>
          <w:tcPr>
            <w:tcW w:w="1412"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49 520</w:t>
            </w:r>
          </w:p>
        </w:tc>
        <w:tc>
          <w:tcPr>
            <w:tcW w:w="1542"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57 027</w:t>
            </w:r>
          </w:p>
        </w:tc>
        <w:tc>
          <w:tcPr>
            <w:tcW w:w="726"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sidRPr="006F02B5">
              <w:rPr>
                <w:rFonts w:eastAsiaTheme="minorEastAsia" w:cs="Calibri"/>
                <w:bCs/>
                <w:color w:val="000000"/>
                <w:szCs w:val="21"/>
                <w:lang w:eastAsia="en-AU"/>
              </w:rPr>
              <w:t>522</w:t>
            </w:r>
          </w:p>
        </w:tc>
        <w:tc>
          <w:tcPr>
            <w:tcW w:w="805"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152 355</w:t>
            </w:r>
          </w:p>
        </w:tc>
      </w:tr>
    </w:tbl>
    <w:p w:rsidR="00457575" w:rsidRDefault="009C2F69" w:rsidP="006F02B5">
      <w:pPr>
        <w:pStyle w:val="Source"/>
      </w:pPr>
      <w:r w:rsidRPr="00A34F0D">
        <w:t>The accompanying notes form part of these financial statements.</w:t>
      </w:r>
    </w:p>
    <w:p w:rsidR="009C2F69" w:rsidRPr="005E1C50" w:rsidRDefault="009C2F69" w:rsidP="009C2F69">
      <w:pPr>
        <w:pStyle w:val="Note"/>
      </w:pPr>
      <w:r>
        <w:t>Note</w:t>
      </w:r>
      <w:r w:rsidR="0003363B">
        <w:t>s</w:t>
      </w:r>
      <w:r w:rsidRPr="005E1C50">
        <w:t>:</w:t>
      </w:r>
    </w:p>
    <w:p w:rsidR="0003363B" w:rsidRDefault="0003363B" w:rsidP="009C2F69">
      <w:pPr>
        <w:pStyle w:val="Note"/>
      </w:pPr>
      <w:r>
        <w:t>(a)</w:t>
      </w:r>
      <w:r>
        <w:tab/>
      </w:r>
      <w:r w:rsidRPr="005E1C50">
        <w:t>Balances represent actual opening balances at 1 July 2017 plus 2017</w:t>
      </w:r>
      <w:r w:rsidRPr="005E1C50">
        <w:noBreakHyphen/>
        <w:t>18 budgeted movements.</w:t>
      </w:r>
    </w:p>
    <w:p w:rsidR="009C2F69" w:rsidRPr="005E1C50" w:rsidRDefault="0003363B" w:rsidP="009C2F69">
      <w:pPr>
        <w:pStyle w:val="Note"/>
      </w:pPr>
      <w:r>
        <w:t>(b</w:t>
      </w:r>
      <w:r w:rsidR="009C2F69" w:rsidRPr="005E1C50">
        <w:t>)</w:t>
      </w:r>
      <w:r w:rsidR="009C2F69" w:rsidRPr="005E1C50">
        <w:tab/>
        <w:t xml:space="preserve">September 2016 comparative figures </w:t>
      </w:r>
      <w:r w:rsidR="00466E7D">
        <w:t>have been restated to reflect a subsequent</w:t>
      </w:r>
      <w:r w:rsidR="009C2F69" w:rsidRPr="005E1C50">
        <w:t xml:space="preserve"> adjustment to the Department of Environment, Land, Water and Planning</w:t>
      </w:r>
      <w:r w:rsidR="000D716D">
        <w:t>’</w:t>
      </w:r>
      <w:r w:rsidR="009C2F69" w:rsidRPr="005E1C50">
        <w:t>s intangible produced assets and opening accumulated surplus</w:t>
      </w:r>
      <w:r w:rsidR="00DD308F">
        <w:t>/</w:t>
      </w:r>
      <w:r w:rsidR="009C2F69" w:rsidRPr="005E1C50">
        <w:t xml:space="preserve">(deficit) balances due to the first-time recognition </w:t>
      </w:r>
      <w:r w:rsidR="00466E7D">
        <w:t>of Renewable Energy Certificates in 2016-17.</w:t>
      </w:r>
      <w:r w:rsidR="009C2F69" w:rsidRPr="005E1C50">
        <w:t xml:space="preserve">  </w:t>
      </w:r>
    </w:p>
    <w:p w:rsidR="00457575" w:rsidRDefault="00457575">
      <w:r>
        <w:br w:type="page"/>
      </w:r>
    </w:p>
    <w:p w:rsidR="00457575" w:rsidRDefault="00955520" w:rsidP="00955520">
      <w:pPr>
        <w:pStyle w:val="Heading1"/>
      </w:pPr>
      <w:bookmarkStart w:id="11" w:name="_Toc497376522"/>
      <w:r>
        <w:lastRenderedPageBreak/>
        <w:t>About this report</w:t>
      </w:r>
      <w:bookmarkEnd w:id="11"/>
    </w:p>
    <w:p w:rsidR="00C570E4" w:rsidRDefault="00C570E4" w:rsidP="00457575">
      <w:pPr>
        <w:pStyle w:val="Heading20"/>
        <w:sectPr w:rsidR="00C570E4" w:rsidSect="00CE372B">
          <w:pgSz w:w="11907" w:h="16839" w:code="9"/>
          <w:pgMar w:top="851" w:right="1134" w:bottom="851" w:left="1134" w:header="624" w:footer="567" w:gutter="0"/>
          <w:cols w:sep="1" w:space="567"/>
          <w:docGrid w:linePitch="360"/>
        </w:sectPr>
      </w:pPr>
    </w:p>
    <w:p w:rsidR="00457575" w:rsidRDefault="00457575" w:rsidP="00EA775F">
      <w:pPr>
        <w:pStyle w:val="Heading30"/>
      </w:pPr>
      <w:r>
        <w:lastRenderedPageBreak/>
        <w:t>Basis of preparation</w:t>
      </w:r>
    </w:p>
    <w:p w:rsidR="00CE1830" w:rsidRDefault="00CE1830" w:rsidP="00C570E4">
      <w:r>
        <w:t xml:space="preserve">This September Quarterly Financial Report presents the unaudited financial report for the general government sector for the three months ended </w:t>
      </w:r>
      <w:r w:rsidRPr="00CE1830">
        <w:t>30 September 2017</w:t>
      </w:r>
      <w:r>
        <w:t>.</w:t>
      </w:r>
    </w:p>
    <w:p w:rsidR="00457575" w:rsidRPr="00CE1830" w:rsidRDefault="00CE1830" w:rsidP="00C570E4">
      <w:r>
        <w:t xml:space="preserve">The accounting policies applied are consistent with those applied for the financial statements published in the </w:t>
      </w:r>
      <w:r w:rsidRPr="00CE1830">
        <w:rPr>
          <w:i/>
        </w:rPr>
        <w:t>2016</w:t>
      </w:r>
      <w:r w:rsidRPr="00CE1830">
        <w:rPr>
          <w:i/>
        </w:rPr>
        <w:noBreakHyphen/>
        <w:t>17 Financial Report</w:t>
      </w:r>
      <w:r>
        <w:t xml:space="preserve"> for the State of Victoria. This quarterly financial report does not include all the notes normally included with the annual financial report, this report should be read in conjunction with the </w:t>
      </w:r>
      <w:r w:rsidRPr="00CE1830">
        <w:rPr>
          <w:i/>
        </w:rPr>
        <w:t>2016</w:t>
      </w:r>
      <w:r w:rsidRPr="00CE1830">
        <w:rPr>
          <w:i/>
        </w:rPr>
        <w:noBreakHyphen/>
        <w:t>17 Financial Report</w:t>
      </w:r>
      <w:r>
        <w:t>.</w:t>
      </w:r>
    </w:p>
    <w:p w:rsidR="00457575" w:rsidRDefault="00457575" w:rsidP="00EA775F">
      <w:pPr>
        <w:pStyle w:val="Heading30"/>
      </w:pPr>
      <w:r>
        <w:t>Statement of compliance</w:t>
      </w:r>
    </w:p>
    <w:p w:rsidR="00CE1830" w:rsidRPr="00CE1830" w:rsidRDefault="00CE1830" w:rsidP="00C570E4">
      <w:r w:rsidRPr="00CE1830">
        <w:t xml:space="preserve">These financial statements have been prepared in accordance with section 26 of the </w:t>
      </w:r>
      <w:r w:rsidRPr="00CE1830">
        <w:rPr>
          <w:i/>
        </w:rPr>
        <w:t>Financial Management Act 1994</w:t>
      </w:r>
      <w:r w:rsidRPr="00CE1830">
        <w:t xml:space="preserve">, having regard to the recognition and measurement principles of the applicable Australian Accounting Standards (AAS) and Interpretations issued by the Australian Accounting Standards Board (AASB). The financial statements are also presented in a manner consistent with the requirements of AASB 1049 </w:t>
      </w:r>
      <w:r w:rsidRPr="00CE1830">
        <w:rPr>
          <w:i/>
        </w:rPr>
        <w:t>Whole of Government and General Government Sector Financial Reporting</w:t>
      </w:r>
      <w:r w:rsidRPr="00CE1830">
        <w:t>.</w:t>
      </w:r>
    </w:p>
    <w:p w:rsidR="00CE1830" w:rsidRPr="00CE1830" w:rsidRDefault="00CE1830" w:rsidP="00C570E4">
      <w:r w:rsidRPr="00CE1830">
        <w:t>Where applicable, those paragraphs of AAS applicable to not-for-profit entities have been applied.</w:t>
      </w:r>
    </w:p>
    <w:p w:rsidR="00457575" w:rsidRDefault="00457575" w:rsidP="00EA775F">
      <w:pPr>
        <w:pStyle w:val="Heading30"/>
      </w:pPr>
      <w:r>
        <w:t>Basis of accounting and measurement</w:t>
      </w:r>
    </w:p>
    <w:p w:rsidR="00457575" w:rsidRPr="00CE1830" w:rsidRDefault="00CE1830" w:rsidP="00C570E4">
      <w:r w:rsidRPr="00CE1830">
        <w:t>The accrual basis of accounting has been applied where assets, liabilities, equity, income and expenses are recognised in the reporting period to which they relate, regardless of when cash is received or paid.</w:t>
      </w:r>
    </w:p>
    <w:p w:rsidR="00457575" w:rsidRDefault="00C570E4" w:rsidP="00EA775F">
      <w:pPr>
        <w:pStyle w:val="Heading30"/>
      </w:pPr>
      <w:r>
        <w:br w:type="column"/>
      </w:r>
      <w:r w:rsidR="00457575">
        <w:lastRenderedPageBreak/>
        <w:t>Reporting entity</w:t>
      </w:r>
    </w:p>
    <w:p w:rsidR="00CE1830" w:rsidRPr="00CE1830" w:rsidRDefault="00CE1830" w:rsidP="00C570E4">
      <w:r w:rsidRPr="00CE1830">
        <w:t>The general government sector includes all government departments, offices and other bodies engaged in providing services free of charge or at prices significantly below their cost of production. The primary function of entities in the general government sector is to provide public services (outputs), which are mainly non</w:t>
      </w:r>
      <w:r w:rsidRPr="00CE1830">
        <w:noBreakHyphen/>
        <w:t>market in nature, for the collective consumption of the community, and involve the transfer or redistribution of revenue, which is financed mainly through taxes and other compulsory levies.</w:t>
      </w:r>
    </w:p>
    <w:p w:rsidR="00CE1830" w:rsidRPr="00CE1830" w:rsidRDefault="00CE1830" w:rsidP="00C570E4">
      <w:r w:rsidRPr="00CE1830">
        <w:t>The general government sector is not a separate entity but represents a sector within the State of Victoria reporting entity. Unless otherwise noted, accounting policies applied by the State of Victoria apply equally to the general government sector.</w:t>
      </w:r>
    </w:p>
    <w:p w:rsidR="00457575" w:rsidRDefault="00457575" w:rsidP="00EA775F">
      <w:pPr>
        <w:pStyle w:val="Heading30"/>
      </w:pPr>
      <w:r>
        <w:t>Basis of consolidation</w:t>
      </w:r>
    </w:p>
    <w:p w:rsidR="00CE1830" w:rsidRPr="00CE1830" w:rsidRDefault="00CE1830" w:rsidP="00C570E4">
      <w:r w:rsidRPr="00CE1830">
        <w:t>The September Quarterly Financial Report includes all reporting entities in the general government sector that are controlled by the State. Information on entities consolidated for the general government sector is included in Note 7.4. In the process of reporting the general government sector as a single economic entity, all material transactions and balances in the sector are eliminated.</w:t>
      </w:r>
    </w:p>
    <w:p w:rsidR="00DD5380" w:rsidRDefault="00DD5380" w:rsidP="00457575"/>
    <w:p w:rsidR="00C570E4" w:rsidRDefault="00C570E4" w:rsidP="00457575">
      <w:pPr>
        <w:sectPr w:rsidR="00C570E4" w:rsidSect="00CE372B">
          <w:type w:val="continuous"/>
          <w:pgSz w:w="11907" w:h="16839" w:code="9"/>
          <w:pgMar w:top="851" w:right="1134" w:bottom="851" w:left="1134" w:header="624" w:footer="567" w:gutter="0"/>
          <w:cols w:num="2" w:space="567"/>
          <w:docGrid w:linePitch="360"/>
        </w:sectPr>
      </w:pPr>
    </w:p>
    <w:p w:rsidR="00457575" w:rsidRDefault="00457575" w:rsidP="00457575"/>
    <w:p w:rsidR="00457575" w:rsidRDefault="00457575">
      <w:r>
        <w:br w:type="page"/>
      </w:r>
    </w:p>
    <w:p w:rsidR="00672F91" w:rsidRDefault="00955520" w:rsidP="00955520">
      <w:pPr>
        <w:pStyle w:val="Heading1"/>
      </w:pPr>
      <w:bookmarkStart w:id="12" w:name="_Toc497376523"/>
      <w:r>
        <w:lastRenderedPageBreak/>
        <w:t>How funds are raised</w:t>
      </w:r>
      <w:bookmarkEnd w:id="12"/>
    </w:p>
    <w:p w:rsidR="00C570E4" w:rsidRDefault="00C570E4" w:rsidP="00672F91">
      <w:pPr>
        <w:pStyle w:val="Heading20"/>
        <w:sectPr w:rsidR="00C570E4" w:rsidSect="00CE372B">
          <w:type w:val="continuous"/>
          <w:pgSz w:w="11907" w:h="16839" w:code="9"/>
          <w:pgMar w:top="851" w:right="1134" w:bottom="851" w:left="1134" w:header="624" w:footer="567" w:gutter="0"/>
          <w:cols w:sep="1" w:space="567"/>
          <w:docGrid w:linePitch="360"/>
        </w:sectPr>
      </w:pPr>
    </w:p>
    <w:p w:rsidR="00672F91" w:rsidRDefault="00672F91" w:rsidP="00EA775F">
      <w:pPr>
        <w:pStyle w:val="Heading30"/>
      </w:pPr>
      <w:r>
        <w:lastRenderedPageBreak/>
        <w:t>Introduction</w:t>
      </w:r>
    </w:p>
    <w:p w:rsidR="00CE1830" w:rsidRDefault="00CE1830" w:rsidP="00CE1830">
      <w:r>
        <w:t>This section presents the sources and amounts of revenue raised by the general government sector.</w:t>
      </w:r>
    </w:p>
    <w:p w:rsidR="00457575" w:rsidRDefault="00CE1830" w:rsidP="00EA775F">
      <w:r>
        <w:t>Revenue from transactions is recognised to the</w:t>
      </w:r>
      <w:r w:rsidR="00C43968">
        <w:t xml:space="preserve"> extent that it is probable</w:t>
      </w:r>
      <w:r>
        <w:t xml:space="preserve"> the economic benefits will flow to the entity and the revenue can be reliably measured at fair value.</w:t>
      </w:r>
    </w:p>
    <w:p w:rsidR="00C570E4" w:rsidRDefault="00C570E4" w:rsidP="00C570E4">
      <w:pPr>
        <w:sectPr w:rsidR="00C570E4" w:rsidSect="00CE372B">
          <w:type w:val="continuous"/>
          <w:pgSz w:w="11907" w:h="16839" w:code="9"/>
          <w:pgMar w:top="851" w:right="1134" w:bottom="851" w:left="1134" w:header="624" w:footer="567" w:gutter="0"/>
          <w:cols w:num="2" w:space="567"/>
          <w:docGrid w:linePitch="360"/>
        </w:sectPr>
      </w:pPr>
      <w:r>
        <w:br w:type="column"/>
      </w:r>
    </w:p>
    <w:p w:rsidR="00672F91" w:rsidRDefault="00672F91" w:rsidP="00672F91">
      <w:pPr>
        <w:pStyle w:val="Heading2"/>
      </w:pPr>
      <w:r w:rsidRPr="00672F91">
        <w:lastRenderedPageBreak/>
        <w:t>Taxation revenue</w:t>
      </w:r>
    </w:p>
    <w:p w:rsidR="006F02B5" w:rsidRPr="006F02B5" w:rsidRDefault="00672F91" w:rsidP="006F02B5">
      <w:pPr>
        <w:pStyle w:val="TableUnits"/>
        <w:rPr>
          <w:bCs/>
          <w:lang w:val="en-US"/>
        </w:rPr>
      </w:pPr>
      <w:r w:rsidRPr="00672F91">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2017-18</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published</w:t>
            </w:r>
            <w:r>
              <w:rPr>
                <w:rFonts w:eastAsiaTheme="minorEastAsia" w:cs="Calibri"/>
                <w:iCs/>
                <w:color w:val="FFFFFF"/>
                <w:szCs w:val="18"/>
                <w:lang w:eastAsia="en-AU"/>
              </w:rPr>
              <w:br/>
            </w:r>
            <w:r w:rsidRPr="006F02B5">
              <w:rPr>
                <w:rFonts w:eastAsiaTheme="minorEastAsia" w:cs="Calibri"/>
                <w:iCs/>
                <w:color w:val="FFFFFF"/>
                <w:szCs w:val="18"/>
                <w:lang w:eastAsia="en-AU"/>
              </w:rPr>
              <w:t>budget</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1 460</w:t>
            </w:r>
          </w:p>
        </w:tc>
        <w:tc>
          <w:tcPr>
            <w:tcW w:w="6917" w:type="dxa"/>
            <w:tcBorders>
              <w:top w:val="nil"/>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Taxes on employers</w:t>
            </w:r>
            <w:r w:rsidR="000D716D">
              <w:rPr>
                <w:rFonts w:eastAsiaTheme="minorEastAsia" w:cs="Calibri"/>
                <w:b/>
                <w:bCs/>
                <w:color w:val="000000"/>
                <w:szCs w:val="18"/>
                <w:lang w:eastAsia="en-AU"/>
              </w:rPr>
              <w:t>’</w:t>
            </w:r>
            <w:r w:rsidRPr="006F02B5">
              <w:rPr>
                <w:rFonts w:eastAsiaTheme="minorEastAsia" w:cs="Calibri"/>
                <w:b/>
                <w:bCs/>
                <w:color w:val="000000"/>
                <w:szCs w:val="18"/>
                <w:lang w:eastAsia="en-AU"/>
              </w:rPr>
              <w:t xml:space="preserve"> payroll and labour force</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1 521</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5 898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Taxes on immovable property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Land tax</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2 366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Fire Services Property Levy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674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Congestion levy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118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121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Metropolitan improvement levy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125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162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Financial and capital transactions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1 400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Land transfer duty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1 717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6 164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Metropolitan planning levy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35</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Financial accommodation levy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154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Growth areas infrastructure contribution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175</w:t>
            </w:r>
          </w:p>
        </w:tc>
      </w:tr>
      <w:tr w:rsidR="006F02B5" w:rsidRPr="006F02B5" w:rsidTr="006F02B5">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2 269</w:t>
            </w:r>
          </w:p>
        </w:tc>
        <w:tc>
          <w:tcPr>
            <w:tcW w:w="691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taxes on property</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2 671</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9 840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Gambling taxes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100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Public lotteries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108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438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279</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Electronic gaming machines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281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1 126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Casino</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236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18</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Racing</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23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Levies on statutory corporations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23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112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343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Taxes on insurance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369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1 289</w:t>
            </w:r>
          </w:p>
        </w:tc>
      </w:tr>
      <w:tr w:rsidR="006F02B5" w:rsidRPr="006F02B5" w:rsidTr="006F02B5">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822</w:t>
            </w:r>
          </w:p>
        </w:tc>
        <w:tc>
          <w:tcPr>
            <w:tcW w:w="691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taxes on the provision of goods and services</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856</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3 304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Motor vehicle taxes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386</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Vehicle registration fees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395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1 594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203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Duty on vehicle registrations and transfers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222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925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Liquor licence fees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23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125</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Other</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243</w:t>
            </w:r>
          </w:p>
        </w:tc>
      </w:tr>
      <w:tr w:rsidR="006F02B5" w:rsidRPr="006F02B5" w:rsidTr="006F02B5">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714</w:t>
            </w:r>
          </w:p>
        </w:tc>
        <w:tc>
          <w:tcPr>
            <w:tcW w:w="6917" w:type="dxa"/>
            <w:tcBorders>
              <w:top w:val="single" w:sz="6" w:space="0" w:color="000000"/>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taxes on the use of goods and performance of activities</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674</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2 786</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5 265</w:t>
            </w:r>
          </w:p>
        </w:tc>
        <w:tc>
          <w:tcPr>
            <w:tcW w:w="691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taxation revenue</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5 722</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21 827</w:t>
            </w:r>
          </w:p>
        </w:tc>
      </w:tr>
    </w:tbl>
    <w:p w:rsidR="00180823" w:rsidRDefault="00180823" w:rsidP="006F02B5"/>
    <w:p w:rsidR="00DD5380" w:rsidRDefault="00DD5380">
      <w:r>
        <w:br w:type="page"/>
      </w:r>
    </w:p>
    <w:p w:rsidR="00180823" w:rsidRDefault="00180823" w:rsidP="00180823">
      <w:pPr>
        <w:pStyle w:val="Heading2"/>
      </w:pPr>
      <w:r>
        <w:lastRenderedPageBreak/>
        <w:t>Dividends, income tax equivalent and rate equivalent revenue</w:t>
      </w:r>
    </w:p>
    <w:p w:rsidR="006F02B5" w:rsidRPr="006F02B5" w:rsidRDefault="00180823" w:rsidP="006F02B5">
      <w:pPr>
        <w:pStyle w:val="TableUnits"/>
        <w:rPr>
          <w:bCs/>
          <w:lang w:val="en-US"/>
        </w:rPr>
      </w:pPr>
      <w:r>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2017-18</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published</w:t>
            </w:r>
            <w:r>
              <w:rPr>
                <w:rFonts w:eastAsiaTheme="minorEastAsia" w:cs="Calibri"/>
                <w:iCs/>
                <w:color w:val="FFFFFF"/>
                <w:szCs w:val="18"/>
                <w:lang w:eastAsia="en-AU"/>
              </w:rPr>
              <w:br/>
            </w:r>
            <w:r w:rsidRPr="006F02B5">
              <w:rPr>
                <w:rFonts w:eastAsiaTheme="minorEastAsia" w:cs="Calibri"/>
                <w:iCs/>
                <w:color w:val="FFFFFF"/>
                <w:szCs w:val="18"/>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Dividends from PFC sector</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475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Dividends from PNFC sector</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457</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21</w:t>
            </w:r>
          </w:p>
        </w:tc>
        <w:tc>
          <w:tcPr>
            <w:tcW w:w="6917" w:type="dxa"/>
            <w:tcBorders>
              <w:top w:val="nil"/>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Dividends from non-public sector</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31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Dividends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958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Income tax equivalent revenue from PFC sector</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45</w:t>
            </w:r>
          </w:p>
        </w:tc>
        <w:tc>
          <w:tcPr>
            <w:tcW w:w="6917" w:type="dxa"/>
            <w:tcBorders>
              <w:top w:val="nil"/>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Income tax equivalent revenue from PNFC sector</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47</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Income tax equivalent revenue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201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Local government rate equivalent revenue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12</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78</w:t>
            </w:r>
          </w:p>
        </w:tc>
        <w:tc>
          <w:tcPr>
            <w:tcW w:w="691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dividends, income tax equivalent and rate equivalent revenue</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57</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1 171</w:t>
            </w:r>
          </w:p>
        </w:tc>
      </w:tr>
    </w:tbl>
    <w:p w:rsidR="00180823" w:rsidRDefault="00180823" w:rsidP="006F02B5"/>
    <w:p w:rsidR="00180823" w:rsidRDefault="00180823" w:rsidP="00180823"/>
    <w:p w:rsidR="00180823" w:rsidRDefault="00180823" w:rsidP="00180823">
      <w:pPr>
        <w:pStyle w:val="Heading2"/>
      </w:pPr>
      <w:r>
        <w:t>Sales of goods and services</w:t>
      </w:r>
    </w:p>
    <w:p w:rsidR="006F02B5" w:rsidRPr="006F02B5" w:rsidRDefault="00180823" w:rsidP="006F02B5">
      <w:pPr>
        <w:pStyle w:val="TableUnits"/>
        <w:rPr>
          <w:bCs/>
          <w:lang w:val="en-US"/>
        </w:rPr>
      </w:pPr>
      <w:r>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1814"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2017-18</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published</w:t>
            </w:r>
            <w:r>
              <w:rPr>
                <w:rFonts w:eastAsiaTheme="minorEastAsia" w:cs="Calibri"/>
                <w:iCs/>
                <w:color w:val="FFFFFF"/>
                <w:szCs w:val="18"/>
                <w:lang w:eastAsia="en-AU"/>
              </w:rPr>
              <w:br/>
            </w:r>
            <w:r w:rsidRPr="006F02B5">
              <w:rPr>
                <w:rFonts w:eastAsiaTheme="minorEastAsia" w:cs="Calibri"/>
                <w:iCs/>
                <w:color w:val="FFFFFF"/>
                <w:szCs w:val="18"/>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62</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Motor vehicle regulatory fees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206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136</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 regulatory fees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131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534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22</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Sale of goods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1 000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Provision of services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1 045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4 257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18</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Rental</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Refunds and reimbursements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434</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Inter-sector capital asset charge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494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1 981</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1 672</w:t>
            </w:r>
          </w:p>
        </w:tc>
        <w:tc>
          <w:tcPr>
            <w:tcW w:w="691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sales of goods and services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1 766</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7 187</w:t>
            </w:r>
          </w:p>
        </w:tc>
      </w:tr>
    </w:tbl>
    <w:p w:rsidR="00180823" w:rsidRDefault="00180823" w:rsidP="006F02B5"/>
    <w:p w:rsidR="00180823" w:rsidRDefault="00180823" w:rsidP="00180823"/>
    <w:p w:rsidR="00180823" w:rsidRDefault="00180823" w:rsidP="00180823">
      <w:pPr>
        <w:pStyle w:val="Heading2"/>
      </w:pPr>
      <w:r>
        <w:t>Grant revenue</w:t>
      </w:r>
    </w:p>
    <w:p w:rsidR="006F02B5" w:rsidRPr="006F02B5" w:rsidRDefault="00180823" w:rsidP="006F02B5">
      <w:pPr>
        <w:pStyle w:val="TableUnits"/>
        <w:rPr>
          <w:bCs/>
          <w:lang w:val="en-US"/>
        </w:rPr>
      </w:pPr>
      <w:r>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0D716D" w:rsidRPr="006F02B5" w:rsidRDefault="000D716D" w:rsidP="000D716D">
            <w:pPr>
              <w:autoSpaceDE w:val="0"/>
              <w:autoSpaceDN w:val="0"/>
              <w:adjustRightInd w:val="0"/>
              <w:jc w:val="left"/>
              <w:rPr>
                <w:rFonts w:eastAsiaTheme="minorEastAsia" w:cs="Calibri"/>
                <w:iCs/>
                <w:color w:val="FFFFFF"/>
                <w:lang w:eastAsia="en-AU"/>
              </w:rPr>
            </w:pPr>
          </w:p>
        </w:tc>
        <w:tc>
          <w:tcPr>
            <w:tcW w:w="1814"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2017-18</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published</w:t>
            </w:r>
            <w:r>
              <w:rPr>
                <w:rFonts w:eastAsiaTheme="minorEastAsia" w:cs="Calibri"/>
                <w:iCs/>
                <w:color w:val="FFFFFF"/>
                <w:szCs w:val="18"/>
                <w:lang w:eastAsia="en-AU"/>
              </w:rPr>
              <w:br/>
            </w:r>
            <w:r w:rsidRPr="006F02B5">
              <w:rPr>
                <w:rFonts w:eastAsiaTheme="minorEastAsia" w:cs="Calibri"/>
                <w:iCs/>
                <w:color w:val="FFFFFF"/>
                <w:szCs w:val="18"/>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3 471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General purpose grants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3 691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14 744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855</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Specific purpose grants for on-passing</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851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3 757</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2 361</w:t>
            </w:r>
          </w:p>
        </w:tc>
        <w:tc>
          <w:tcPr>
            <w:tcW w:w="6917" w:type="dxa"/>
            <w:tcBorders>
              <w:top w:val="nil"/>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 specific purpose grants</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2 309</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10 503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6 687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6 851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29 004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 contributions and grants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814</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6 699</w:t>
            </w:r>
          </w:p>
        </w:tc>
        <w:tc>
          <w:tcPr>
            <w:tcW w:w="691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grant revenue</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6 899</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29 818</w:t>
            </w:r>
          </w:p>
        </w:tc>
      </w:tr>
    </w:tbl>
    <w:p w:rsidR="00180823" w:rsidRDefault="00180823" w:rsidP="006F02B5"/>
    <w:p w:rsidR="00180823" w:rsidRDefault="00180823" w:rsidP="00180823"/>
    <w:p w:rsidR="00C570E4" w:rsidRDefault="00C570E4">
      <w:pPr>
        <w:rPr>
          <w:rFonts w:asciiTheme="majorHAnsi" w:eastAsiaTheme="majorEastAsia" w:hAnsiTheme="majorHAnsi" w:cstheme="majorBidi"/>
          <w:b/>
          <w:spacing w:val="-2"/>
          <w:sz w:val="26"/>
          <w:szCs w:val="26"/>
        </w:rPr>
      </w:pPr>
      <w:r>
        <w:br w:type="page"/>
      </w:r>
    </w:p>
    <w:p w:rsidR="00180823" w:rsidRDefault="00180823" w:rsidP="00180823">
      <w:pPr>
        <w:pStyle w:val="Heading2"/>
      </w:pPr>
      <w:r>
        <w:lastRenderedPageBreak/>
        <w:t>Other revenue</w:t>
      </w:r>
    </w:p>
    <w:p w:rsidR="006F02B5" w:rsidRPr="006F02B5" w:rsidRDefault="00180823" w:rsidP="006F02B5">
      <w:pPr>
        <w:pStyle w:val="TableUnits"/>
        <w:rPr>
          <w:bCs/>
          <w:lang w:val="en-US"/>
        </w:rPr>
      </w:pPr>
      <w:r>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2017-18</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published</w:t>
            </w:r>
            <w:r>
              <w:rPr>
                <w:rFonts w:eastAsiaTheme="minorEastAsia" w:cs="Calibri"/>
                <w:iCs/>
                <w:color w:val="FFFFFF"/>
                <w:szCs w:val="18"/>
                <w:lang w:eastAsia="en-AU"/>
              </w:rPr>
              <w:br/>
            </w:r>
            <w:r w:rsidRPr="006F02B5">
              <w:rPr>
                <w:rFonts w:eastAsiaTheme="minorEastAsia" w:cs="Calibri"/>
                <w:iCs/>
                <w:color w:val="FFFFFF"/>
                <w:szCs w:val="18"/>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Fair value of assets received free of charge or for nominal consideration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187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Fines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169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820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Royalties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58</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Donations and gifts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248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 non-property rental</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120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 revenue – Education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152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535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 revenue – Health</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105</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 miscellaneous revenue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116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650</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510</w:t>
            </w:r>
          </w:p>
        </w:tc>
        <w:tc>
          <w:tcPr>
            <w:tcW w:w="691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other revenue</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544</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2 502</w:t>
            </w:r>
          </w:p>
        </w:tc>
      </w:tr>
    </w:tbl>
    <w:p w:rsidR="00180823" w:rsidRDefault="00180823" w:rsidP="006F02B5"/>
    <w:p w:rsidR="00180823" w:rsidRDefault="00180823" w:rsidP="00180823"/>
    <w:p w:rsidR="00180823" w:rsidRDefault="00955520" w:rsidP="00955520">
      <w:pPr>
        <w:pStyle w:val="Heading1"/>
      </w:pPr>
      <w:bookmarkStart w:id="13" w:name="_Toc497376524"/>
      <w:r>
        <w:lastRenderedPageBreak/>
        <w:t>How funds are spent</w:t>
      </w:r>
      <w:bookmarkEnd w:id="13"/>
    </w:p>
    <w:p w:rsidR="00C570E4" w:rsidRDefault="00C570E4" w:rsidP="00180823">
      <w:pPr>
        <w:pStyle w:val="Heading20"/>
        <w:sectPr w:rsidR="00C570E4" w:rsidSect="00CE372B">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lastRenderedPageBreak/>
        <w:t>Introduction</w:t>
      </w:r>
    </w:p>
    <w:p w:rsidR="00DD5380" w:rsidRDefault="00B371AC" w:rsidP="00EA775F">
      <w:r w:rsidRPr="00B371AC">
        <w:t xml:space="preserve">This section accounts for the major components of expenditure incurred by the general government sector towards the operating activities (expenses from transactions) and on capital or infrastructure projects during the </w:t>
      </w:r>
      <w:r w:rsidR="00F21FA9">
        <w:t>period</w:t>
      </w:r>
      <w:r w:rsidRPr="00B371AC">
        <w:t>, as well as any related obligations outstanding as at 30 September 2017.</w:t>
      </w:r>
    </w:p>
    <w:p w:rsidR="00C570E4" w:rsidRDefault="00C570E4" w:rsidP="00C570E4">
      <w:pPr>
        <w:sectPr w:rsidR="00C570E4" w:rsidSect="00CE372B">
          <w:type w:val="continuous"/>
          <w:pgSz w:w="11907" w:h="16839" w:code="9"/>
          <w:pgMar w:top="851" w:right="1134" w:bottom="851" w:left="1134" w:header="624" w:footer="567" w:gutter="0"/>
          <w:cols w:num="2" w:space="567"/>
          <w:docGrid w:linePitch="360"/>
        </w:sectPr>
      </w:pPr>
      <w:r>
        <w:br w:type="column"/>
      </w:r>
    </w:p>
    <w:p w:rsidR="00DD5380" w:rsidRPr="00DD5380" w:rsidRDefault="00180823" w:rsidP="00DD5380">
      <w:pPr>
        <w:pStyle w:val="Heading2"/>
      </w:pPr>
      <w:r w:rsidRPr="00DD5380">
        <w:lastRenderedPageBreak/>
        <w:t>Employee expenses and provision for outstanding employee benefits</w:t>
      </w:r>
    </w:p>
    <w:p w:rsidR="00C570E4" w:rsidRPr="00DD5380" w:rsidRDefault="00C570E4" w:rsidP="00DD5380">
      <w:pPr>
        <w:pStyle w:val="Heading2"/>
        <w:sectPr w:rsidR="00C570E4" w:rsidRPr="00DD5380" w:rsidSect="00CE372B">
          <w:type w:val="continuous"/>
          <w:pgSz w:w="11907" w:h="16839" w:code="9"/>
          <w:pgMar w:top="851" w:right="1134" w:bottom="851" w:left="1134" w:header="624" w:footer="567" w:gutter="0"/>
          <w:cols w:sep="1" w:space="567"/>
          <w:docGrid w:linePitch="360"/>
        </w:sectPr>
      </w:pPr>
    </w:p>
    <w:p w:rsidR="00180823" w:rsidRDefault="00180823" w:rsidP="00180823">
      <w:pPr>
        <w:pStyle w:val="Heading30"/>
      </w:pPr>
      <w:r>
        <w:lastRenderedPageBreak/>
        <w:t>Employee expenses (operating statement)</w:t>
      </w:r>
    </w:p>
    <w:p w:rsidR="00D13887" w:rsidRPr="0004589E" w:rsidRDefault="00D13887" w:rsidP="00EA775F">
      <w:r w:rsidRPr="0004589E">
        <w:t xml:space="preserve">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 </w:t>
      </w:r>
      <w:r w:rsidR="008738B1">
        <w:t xml:space="preserve">Increases in employee expenses are mainly attributable to increased service delivery in the health, education, and community safety sectors as well as salary growth </w:t>
      </w:r>
      <w:r w:rsidR="00E113DB">
        <w:t xml:space="preserve">in line with </w:t>
      </w:r>
      <w:r w:rsidR="008738B1">
        <w:t>wages policy.</w:t>
      </w:r>
    </w:p>
    <w:p w:rsidR="00180823" w:rsidRDefault="00180823" w:rsidP="00180823">
      <w:pPr>
        <w:pStyle w:val="Heading30"/>
      </w:pPr>
      <w:r>
        <w:lastRenderedPageBreak/>
        <w:t>Employee expenses (balance sheet)</w:t>
      </w:r>
    </w:p>
    <w:p w:rsidR="00B371AC" w:rsidRPr="00B371AC" w:rsidRDefault="00B371AC" w:rsidP="00EA775F">
      <w:r w:rsidRPr="00B371AC">
        <w:t>As part of operations, the State provides for benefits accruing to employees but payable in future periods in respect of wages and salaries, annual leave and long</w:t>
      </w:r>
      <w:r w:rsidR="00692CC0">
        <w:t xml:space="preserve"> </w:t>
      </w:r>
      <w:r w:rsidRPr="00B371AC">
        <w:t xml:space="preserve">service leave, and related on-costs for services rendered to the reporting date. </w:t>
      </w:r>
      <w:r w:rsidR="00FC6199" w:rsidRPr="00FC6199">
        <w:t xml:space="preserve">In measuring employee benefits, consideration is given to expected future wage and salary levels, experience of employee departures and periods of service. Expected future payments are discounted to reflect the estimated timing and amount of benefit payment. </w:t>
      </w:r>
      <w:r w:rsidRPr="00B371AC">
        <w:t>The table below shows the key components of this</w:t>
      </w:r>
      <w:r w:rsidR="00DD5380">
        <w:t xml:space="preserve"> provision </w:t>
      </w:r>
      <w:r w:rsidR="00100959">
        <w:t xml:space="preserve">as </w:t>
      </w:r>
      <w:r w:rsidR="00DD5380">
        <w:t>at 30 </w:t>
      </w:r>
      <w:r w:rsidRPr="00B371AC">
        <w:t>September</w:t>
      </w:r>
      <w:r w:rsidR="00F21FA9">
        <w:t xml:space="preserve"> 2017</w:t>
      </w:r>
      <w:r w:rsidRPr="00B371AC">
        <w:t>.</w:t>
      </w:r>
    </w:p>
    <w:p w:rsidR="00DD5380" w:rsidRDefault="00DD5380">
      <w:pPr>
        <w:rPr>
          <w:rFonts w:asciiTheme="majorHAnsi" w:eastAsiaTheme="majorEastAsia" w:hAnsiTheme="majorHAnsi" w:cstheme="majorBidi"/>
          <w:b/>
          <w:spacing w:val="-2"/>
          <w:sz w:val="26"/>
          <w:szCs w:val="26"/>
          <w:highlight w:val="lightGray"/>
        </w:rPr>
      </w:pPr>
    </w:p>
    <w:p w:rsidR="00C570E4" w:rsidRDefault="00C570E4" w:rsidP="00DD5380">
      <w:pPr>
        <w:pStyle w:val="Heading2"/>
        <w:numPr>
          <w:ilvl w:val="0"/>
          <w:numId w:val="0"/>
        </w:numPr>
        <w:sectPr w:rsidR="00C570E4" w:rsidSect="00CE372B">
          <w:type w:val="continuous"/>
          <w:pgSz w:w="11907" w:h="16839" w:code="9"/>
          <w:pgMar w:top="851" w:right="1134" w:bottom="851" w:left="1134" w:header="624" w:footer="567" w:gutter="0"/>
          <w:cols w:num="2" w:space="567"/>
          <w:docGrid w:linePitch="360"/>
        </w:sectPr>
      </w:pPr>
    </w:p>
    <w:p w:rsidR="00180823" w:rsidRDefault="00180823" w:rsidP="00180823">
      <w:pPr>
        <w:pStyle w:val="Heading2"/>
      </w:pPr>
      <w:r>
        <w:lastRenderedPageBreak/>
        <w:t>Employee benefits (balance sheet)</w:t>
      </w:r>
    </w:p>
    <w:p w:rsidR="006F02B5" w:rsidRPr="006F02B5" w:rsidRDefault="00180823" w:rsidP="006F02B5">
      <w:pPr>
        <w:pStyle w:val="TableUnits"/>
        <w:rPr>
          <w:bCs/>
          <w:lang w:val="en-US"/>
        </w:rPr>
      </w:pPr>
      <w:r>
        <w:t>($ million)</w:t>
      </w:r>
    </w:p>
    <w:tbl>
      <w:tblPr>
        <w:tblStyle w:val="DTFTable"/>
        <w:tblW w:w="9637" w:type="dxa"/>
        <w:tblInd w:w="45" w:type="dxa"/>
        <w:tblLayout w:type="fixed"/>
        <w:tblCellMar>
          <w:left w:w="45" w:type="dxa"/>
          <w:right w:w="45" w:type="dxa"/>
        </w:tblCellMar>
        <w:tblLook w:val="0620" w:firstRow="1" w:lastRow="0" w:firstColumn="0" w:lastColumn="0" w:noHBand="1" w:noVBand="1"/>
      </w:tblPr>
      <w:tblGrid>
        <w:gridCol w:w="907"/>
        <w:gridCol w:w="6009"/>
        <w:gridCol w:w="90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2017-18</w:t>
            </w:r>
          </w:p>
        </w:tc>
        <w:tc>
          <w:tcPr>
            <w:tcW w:w="907" w:type="dxa"/>
            <w:tcBorders>
              <w:top w:val="nil"/>
              <w:left w:val="nil"/>
              <w:bottom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opening</w:t>
            </w:r>
            <w:r>
              <w:rPr>
                <w:rFonts w:eastAsiaTheme="minorEastAsia" w:cs="Calibri"/>
                <w:iCs/>
                <w:color w:val="FFFFFF"/>
                <w:szCs w:val="18"/>
                <w:lang w:eastAsia="en-AU"/>
              </w:rPr>
              <w:br/>
            </w:r>
            <w:r w:rsidRPr="006F02B5">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budget</w:t>
            </w:r>
            <w:r>
              <w:rPr>
                <w:rFonts w:eastAsiaTheme="minorEastAsia" w:cs="Calibri"/>
                <w:iCs/>
                <w:color w:val="FFFFFF"/>
                <w:szCs w:val="18"/>
                <w:lang w:eastAsia="en-AU"/>
              </w:rPr>
              <w:br/>
            </w:r>
            <w:r w:rsidRPr="006F02B5">
              <w:rPr>
                <w:rFonts w:eastAsiaTheme="minorEastAsia" w:cs="Calibri"/>
                <w:iCs/>
                <w:color w:val="FFFFFF"/>
                <w:szCs w:val="18"/>
                <w:lang w:eastAsia="en-AU"/>
              </w:rPr>
              <w:t>30 Jun</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Current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294</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Accrued salaries and wages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503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313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516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21</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Other employee benefits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1 439</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Annual leave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1 499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1 507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1 522</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3 538</w:t>
            </w:r>
          </w:p>
        </w:tc>
        <w:tc>
          <w:tcPr>
            <w:tcW w:w="6009" w:type="dxa"/>
            <w:tcBorders>
              <w:top w:val="nil"/>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Long service leave</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3 646</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3 651</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3 777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5 291</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current employee benefits and on-costs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5 715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5 536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5 882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Non-current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806</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Long service leave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791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793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865</w:t>
            </w:r>
          </w:p>
        </w:tc>
      </w:tr>
      <w:tr w:rsidR="006F02B5" w:rsidRPr="006F02B5" w:rsidTr="006F02B5">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Pr>
                <w:rFonts w:eastAsiaTheme="minorEastAsia" w:cs="Arial"/>
                <w:b/>
                <w:bCs/>
                <w:color w:val="000000"/>
                <w:szCs w:val="18"/>
                <w:lang w:eastAsia="en-AU"/>
              </w:rPr>
              <w:t>806</w:t>
            </w:r>
          </w:p>
        </w:tc>
        <w:tc>
          <w:tcPr>
            <w:tcW w:w="6009" w:type="dxa"/>
            <w:tcBorders>
              <w:top w:val="single" w:sz="6" w:space="0" w:color="000000"/>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non-current employee benefits and on-costs</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791</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793</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865</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6 098</w:t>
            </w:r>
          </w:p>
        </w:tc>
        <w:tc>
          <w:tcPr>
            <w:tcW w:w="6009"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employee benefits and on-costs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6 506</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6 329</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6 747</w:t>
            </w:r>
          </w:p>
        </w:tc>
      </w:tr>
    </w:tbl>
    <w:p w:rsidR="00DD5380" w:rsidRDefault="00DD5380" w:rsidP="006F02B5"/>
    <w:p w:rsidR="00DD5380" w:rsidRDefault="00DD5380">
      <w:r>
        <w:br w:type="page"/>
      </w:r>
    </w:p>
    <w:p w:rsidR="00180823" w:rsidRDefault="00180823" w:rsidP="00180823">
      <w:pPr>
        <w:pStyle w:val="Heading2"/>
      </w:pPr>
      <w:r>
        <w:lastRenderedPageBreak/>
        <w:t>Superannuation (operating statement)</w:t>
      </w:r>
    </w:p>
    <w:p w:rsidR="006F02B5" w:rsidRPr="006F02B5" w:rsidRDefault="00180823" w:rsidP="006F02B5">
      <w:pPr>
        <w:pStyle w:val="TableUnits"/>
        <w:rPr>
          <w:bCs/>
          <w:lang w:val="en-US"/>
        </w:rPr>
      </w:pPr>
      <w:r>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1814"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2017-18</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published</w:t>
            </w:r>
            <w:r>
              <w:rPr>
                <w:rFonts w:eastAsiaTheme="minorEastAsia" w:cs="Calibri"/>
                <w:iCs/>
                <w:color w:val="FFFFFF"/>
                <w:szCs w:val="18"/>
                <w:lang w:eastAsia="en-AU"/>
              </w:rPr>
              <w:br/>
            </w:r>
            <w:r w:rsidRPr="006F02B5">
              <w:rPr>
                <w:rFonts w:eastAsiaTheme="minorEastAsia" w:cs="Calibri"/>
                <w:iCs/>
                <w:color w:val="FFFFFF"/>
                <w:szCs w:val="18"/>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 xml:space="preserve">Defined benefit plans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199</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761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 xml:space="preserve">Current service cost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780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Remeasurements: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(221)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 xml:space="preserve">   Expected return on superannuation assets excluding interest income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(231)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(915)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(287)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 xml:space="preserve">   Other actuarial (gain)/loss on superannuation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253</w:t>
            </w:r>
          </w:p>
        </w:tc>
        <w:tc>
          <w:tcPr>
            <w:tcW w:w="6917" w:type="dxa"/>
            <w:tcBorders>
              <w:top w:val="nil"/>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 xml:space="preserve">   Actuarial and other adjustments to unfunded superannuation liability</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(1 118)</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141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expense recognised in respect of defined benefit plans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(870)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626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Defined contribution plans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337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 xml:space="preserve">Employer contributions to defined contribution plans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384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1 502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 (including pensions)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w:t>
            </w:r>
          </w:p>
        </w:tc>
      </w:tr>
      <w:tr w:rsidR="006F02B5" w:rsidRPr="006F02B5" w:rsidTr="006F02B5">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355</w:t>
            </w:r>
          </w:p>
        </w:tc>
        <w:tc>
          <w:tcPr>
            <w:tcW w:w="6917" w:type="dxa"/>
            <w:tcBorders>
              <w:top w:val="single" w:sz="6" w:space="0" w:color="000000"/>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expense recognised in respect of defined contribution plans</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401</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1 567</w:t>
            </w:r>
          </w:p>
        </w:tc>
      </w:tr>
      <w:tr w:rsidR="006F02B5" w:rsidRPr="006F02B5" w:rsidTr="006F02B5">
        <w:tc>
          <w:tcPr>
            <w:tcW w:w="907" w:type="dxa"/>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496</w:t>
            </w:r>
          </w:p>
        </w:tc>
        <w:tc>
          <w:tcPr>
            <w:tcW w:w="6917" w:type="dxa"/>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superannuation (gain)/expense recognised in operating statement</w:t>
            </w:r>
          </w:p>
        </w:tc>
        <w:tc>
          <w:tcPr>
            <w:tcW w:w="907" w:type="dxa"/>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(469)</w:t>
            </w:r>
          </w:p>
        </w:tc>
        <w:tc>
          <w:tcPr>
            <w:tcW w:w="907" w:type="dxa"/>
            <w:tcBorders>
              <w:top w:val="single" w:sz="12"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2 193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Represented by: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199</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761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552</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 superannuation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598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2 347</w:t>
            </w:r>
          </w:p>
        </w:tc>
      </w:tr>
      <w:tr w:rsidR="006F02B5" w:rsidRPr="006F02B5" w:rsidTr="006F02B5">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752</w:t>
            </w:r>
          </w:p>
        </w:tc>
        <w:tc>
          <w:tcPr>
            <w:tcW w:w="6917" w:type="dxa"/>
            <w:tcBorders>
              <w:top w:val="single" w:sz="6" w:space="0" w:color="000000"/>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Superannuation expense from transactions</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790</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3 108</w:t>
            </w:r>
          </w:p>
        </w:tc>
      </w:tr>
      <w:tr w:rsidR="006F02B5" w:rsidRPr="006F02B5" w:rsidTr="006F02B5">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(256)</w:t>
            </w:r>
          </w:p>
        </w:tc>
        <w:tc>
          <w:tcPr>
            <w:tcW w:w="6917" w:type="dxa"/>
            <w:tcBorders>
              <w:top w:val="single" w:sz="6" w:space="0" w:color="000000"/>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proofErr w:type="spellStart"/>
            <w:r w:rsidRPr="006F02B5">
              <w:rPr>
                <w:rFonts w:eastAsiaTheme="minorEastAsia" w:cs="Calibri"/>
                <w:b/>
                <w:bCs/>
                <w:color w:val="000000"/>
                <w:szCs w:val="18"/>
                <w:lang w:eastAsia="en-AU"/>
              </w:rPr>
              <w:t>Remeasurement</w:t>
            </w:r>
            <w:proofErr w:type="spellEnd"/>
            <w:r w:rsidRPr="006F02B5">
              <w:rPr>
                <w:rFonts w:eastAsiaTheme="minorEastAsia" w:cs="Calibri"/>
                <w:b/>
                <w:bCs/>
                <w:color w:val="000000"/>
                <w:szCs w:val="18"/>
                <w:lang w:eastAsia="en-AU"/>
              </w:rPr>
              <w:t xml:space="preserve"> recognised in other comprehensive income</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(1 259)</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(915)</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496</w:t>
            </w:r>
          </w:p>
        </w:tc>
        <w:tc>
          <w:tcPr>
            <w:tcW w:w="691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superannuation costs recognised in operating statement</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(469)</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2 193</w:t>
            </w:r>
          </w:p>
        </w:tc>
      </w:tr>
    </w:tbl>
    <w:p w:rsidR="00180823" w:rsidRDefault="00180823" w:rsidP="006F02B5"/>
    <w:p w:rsidR="00180823" w:rsidRDefault="00180823" w:rsidP="00180823"/>
    <w:p w:rsidR="00C570E4" w:rsidRDefault="00C570E4">
      <w:pPr>
        <w:rPr>
          <w:rFonts w:asciiTheme="majorHAnsi" w:eastAsiaTheme="majorEastAsia" w:hAnsiTheme="majorHAnsi" w:cstheme="majorBidi"/>
          <w:b/>
          <w:spacing w:val="-2"/>
          <w:sz w:val="26"/>
          <w:szCs w:val="26"/>
        </w:rPr>
      </w:pPr>
      <w:r>
        <w:br w:type="page"/>
      </w:r>
    </w:p>
    <w:p w:rsidR="00180823" w:rsidRDefault="00180823" w:rsidP="00180823">
      <w:pPr>
        <w:pStyle w:val="Heading2"/>
      </w:pPr>
      <w:r>
        <w:lastRenderedPageBreak/>
        <w:t>Total operating expenses by government purpose and by department</w:t>
      </w:r>
    </w:p>
    <w:p w:rsidR="006F02B5" w:rsidRPr="006F02B5" w:rsidRDefault="00180823" w:rsidP="006F02B5">
      <w:pPr>
        <w:pStyle w:val="TableHeading"/>
        <w:rPr>
          <w:bCs/>
          <w:lang w:val="en-US"/>
        </w:rPr>
      </w:pPr>
      <w:r>
        <w:t>(a)</w:t>
      </w:r>
      <w:r>
        <w:tab/>
        <w:t>Total expenses by government pur</w:t>
      </w:r>
      <w:r w:rsidR="00D106C3">
        <w:t>pose classification</w:t>
      </w:r>
      <w:r w:rsidR="00D106C3">
        <w:tab/>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2016-17</w:t>
            </w:r>
            <w:r>
              <w:rPr>
                <w:rFonts w:eastAsiaTheme="minorEastAsia" w:cs="Calibri"/>
                <w:iCs/>
                <w:color w:val="FFFFFF"/>
                <w:szCs w:val="20"/>
                <w:lang w:eastAsia="en-AU"/>
              </w:rPr>
              <w:br/>
            </w:r>
            <w:r w:rsidRPr="006F02B5">
              <w:rPr>
                <w:rFonts w:eastAsiaTheme="minorEastAsia" w:cs="Calibri"/>
                <w:iCs/>
                <w:color w:val="FFFFFF"/>
                <w:szCs w:val="20"/>
                <w:lang w:eastAsia="en-AU"/>
              </w:rPr>
              <w:t xml:space="preserve">actual </w:t>
            </w:r>
            <w:r>
              <w:rPr>
                <w:rFonts w:eastAsiaTheme="minorEastAsia" w:cs="Calibri"/>
                <w:iCs/>
                <w:color w:val="FFFFFF"/>
                <w:szCs w:val="20"/>
                <w:lang w:eastAsia="en-AU"/>
              </w:rPr>
              <w:br/>
            </w:r>
            <w:r w:rsidRPr="006F02B5">
              <w:rPr>
                <w:rFonts w:eastAsiaTheme="minorEastAsia" w:cs="Calibri"/>
                <w:iCs/>
                <w:color w:val="FFFFFF"/>
                <w:szCs w:val="20"/>
                <w:lang w:eastAsia="en-AU"/>
              </w:rPr>
              <w:t>30 Sep</w:t>
            </w:r>
          </w:p>
        </w:tc>
        <w:tc>
          <w:tcPr>
            <w:tcW w:w="6917"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szCs w:val="20"/>
                <w:lang w:eastAsia="en-AU"/>
              </w:rPr>
            </w:pPr>
          </w:p>
        </w:tc>
        <w:tc>
          <w:tcPr>
            <w:tcW w:w="1814"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b/>
                <w:bCs/>
                <w:iCs/>
                <w:color w:val="000000"/>
                <w:szCs w:val="20"/>
                <w:lang w:eastAsia="en-AU"/>
              </w:rPr>
            </w:pPr>
            <w:r w:rsidRPr="006F02B5">
              <w:rPr>
                <w:rFonts w:eastAsiaTheme="minorEastAsia" w:cs="Calibri"/>
                <w:iCs/>
                <w:color w:val="FFFFFF"/>
                <w:szCs w:val="20"/>
                <w:lang w:eastAsia="en-AU"/>
              </w:rPr>
              <w:t>2017-18</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bottom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20"/>
                <w:lang w:eastAsia="en-AU"/>
              </w:rPr>
            </w:pPr>
          </w:p>
        </w:tc>
        <w:tc>
          <w:tcPr>
            <w:tcW w:w="6917" w:type="dxa"/>
            <w:vMerge/>
            <w:tcBorders>
              <w:left w:val="nil"/>
              <w:bottom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szCs w:val="20"/>
                <w:lang w:eastAsia="en-AU"/>
              </w:rPr>
            </w:pPr>
          </w:p>
        </w:tc>
        <w:tc>
          <w:tcPr>
            <w:tcW w:w="907" w:type="dxa"/>
            <w:tcBorders>
              <w:top w:val="nil"/>
              <w:left w:val="nil"/>
              <w:bottom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 xml:space="preserve">actual </w:t>
            </w:r>
            <w:r>
              <w:rPr>
                <w:rFonts w:eastAsiaTheme="minorEastAsia" w:cs="Calibri"/>
                <w:iCs/>
                <w:color w:val="FFFFFF"/>
                <w:szCs w:val="20"/>
                <w:lang w:eastAsia="en-AU"/>
              </w:rPr>
              <w:br/>
            </w:r>
            <w:r w:rsidRPr="006F02B5">
              <w:rPr>
                <w:rFonts w:eastAsiaTheme="minorEastAsia" w:cs="Calibri"/>
                <w:iCs/>
                <w:color w:val="FFFFFF"/>
                <w:szCs w:val="20"/>
                <w:lang w:eastAsia="en-AU"/>
              </w:rPr>
              <w:t>30 Sep</w:t>
            </w:r>
          </w:p>
        </w:tc>
        <w:tc>
          <w:tcPr>
            <w:tcW w:w="907" w:type="dxa"/>
            <w:tcBorders>
              <w:top w:val="nil"/>
              <w:left w:val="nil"/>
              <w:bottom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published</w:t>
            </w:r>
            <w:r>
              <w:rPr>
                <w:rFonts w:eastAsiaTheme="minorEastAsia" w:cs="Calibri"/>
                <w:iCs/>
                <w:color w:val="FFFFFF"/>
                <w:szCs w:val="20"/>
                <w:lang w:eastAsia="en-AU"/>
              </w:rPr>
              <w:br/>
            </w:r>
            <w:r w:rsidRPr="006F02B5">
              <w:rPr>
                <w:rFonts w:eastAsiaTheme="minorEastAsia" w:cs="Calibri"/>
                <w:iCs/>
                <w:color w:val="FFFFFF"/>
                <w:szCs w:val="20"/>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608</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 xml:space="preserve">General public services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627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2 290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1 571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Public order and safety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1 728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7 403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3 489</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Education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3 776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15 392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3 973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 xml:space="preserve">Health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4 334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18 153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1 067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Social security and welfare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1 082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4 905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707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Housing and community amenities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676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3 440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206</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Recreation and culture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178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775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22</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Fuel and energy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32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303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74</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Agriculture, forestry, fishing, and hunting</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81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475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1 559</w:t>
            </w:r>
          </w:p>
        </w:tc>
        <w:tc>
          <w:tcPr>
            <w:tcW w:w="6917" w:type="dxa"/>
            <w:tcBorders>
              <w:top w:val="nil"/>
              <w:left w:val="nil"/>
              <w:bottom w:val="nil"/>
              <w:right w:val="nil"/>
            </w:tcBorders>
          </w:tcPr>
          <w:p w:rsidR="006F02B5" w:rsidRPr="000D716D" w:rsidRDefault="006F02B5" w:rsidP="000D716D">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Transport and communications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1 772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7 443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450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Other economic affairs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237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1 047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315</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Other purposes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258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1 197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(130)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 xml:space="preserve">Not allocated by purpose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(139)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(570)</w:t>
            </w:r>
          </w:p>
        </w:tc>
      </w:tr>
      <w:tr w:rsidR="006F02B5" w:rsidRPr="006F02B5" w:rsidTr="006F02B5">
        <w:tc>
          <w:tcPr>
            <w:tcW w:w="90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13 911</w:t>
            </w:r>
          </w:p>
        </w:tc>
        <w:tc>
          <w:tcPr>
            <w:tcW w:w="691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20"/>
                <w:lang w:eastAsia="en-AU"/>
              </w:rPr>
            </w:pPr>
            <w:r w:rsidRPr="006F02B5">
              <w:rPr>
                <w:rFonts w:eastAsiaTheme="minorEastAsia" w:cs="Calibri"/>
                <w:b/>
                <w:bCs/>
                <w:color w:val="000000"/>
                <w:szCs w:val="20"/>
                <w:lang w:eastAsia="en-AU"/>
              </w:rPr>
              <w:t xml:space="preserve">Total expenses from transactions </w:t>
            </w:r>
          </w:p>
        </w:tc>
        <w:tc>
          <w:tcPr>
            <w:tcW w:w="90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14 643</w:t>
            </w:r>
          </w:p>
        </w:tc>
        <w:tc>
          <w:tcPr>
            <w:tcW w:w="90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62 252</w:t>
            </w:r>
          </w:p>
        </w:tc>
      </w:tr>
    </w:tbl>
    <w:p w:rsidR="00180823" w:rsidRPr="00180823" w:rsidRDefault="00180823" w:rsidP="006F02B5"/>
    <w:p w:rsidR="006F02B5" w:rsidRPr="006F02B5" w:rsidRDefault="00180823" w:rsidP="006F02B5">
      <w:pPr>
        <w:pStyle w:val="TableHeading"/>
        <w:rPr>
          <w:bCs/>
          <w:lang w:val="en-US"/>
        </w:rPr>
      </w:pPr>
      <w:r>
        <w:t>(b)</w:t>
      </w:r>
      <w:r>
        <w:tab/>
        <w:t>Total exp</w:t>
      </w:r>
      <w:r w:rsidR="00103FCE">
        <w:t>enses by department</w:t>
      </w:r>
      <w:r w:rsidR="00103FCE">
        <w:tab/>
        <w:t xml:space="preserve">($ million) </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0D716D" w:rsidRPr="006F02B5" w:rsidTr="000D716D">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2016-17</w:t>
            </w:r>
            <w:r>
              <w:rPr>
                <w:rFonts w:eastAsiaTheme="minorEastAsia" w:cs="Calibri"/>
                <w:iCs/>
                <w:color w:val="FFFFFF"/>
                <w:szCs w:val="20"/>
                <w:lang w:eastAsia="en-AU"/>
              </w:rPr>
              <w:br/>
            </w:r>
            <w:r w:rsidRPr="006F02B5">
              <w:rPr>
                <w:rFonts w:eastAsiaTheme="minorEastAsia" w:cs="Calibri"/>
                <w:iCs/>
                <w:color w:val="FFFFFF"/>
                <w:szCs w:val="20"/>
                <w:lang w:eastAsia="en-AU"/>
              </w:rPr>
              <w:t xml:space="preserve">actual </w:t>
            </w:r>
          </w:p>
          <w:p w:rsidR="000D716D" w:rsidRPr="006F02B5" w:rsidRDefault="000D716D" w:rsidP="006F02B5">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30 Sep</w:t>
            </w:r>
          </w:p>
        </w:tc>
        <w:tc>
          <w:tcPr>
            <w:tcW w:w="6917" w:type="dxa"/>
            <w:vMerge w:val="restart"/>
            <w:tcBorders>
              <w:top w:val="nil"/>
              <w:left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szCs w:val="20"/>
                <w:lang w:eastAsia="en-AU"/>
              </w:rPr>
            </w:pPr>
            <w:r w:rsidRPr="006F02B5">
              <w:rPr>
                <w:rFonts w:eastAsiaTheme="minorEastAsia" w:cs="Calibri"/>
                <w:iCs/>
                <w:color w:val="FFFFFF"/>
                <w:szCs w:val="20"/>
                <w:lang w:eastAsia="en-AU"/>
              </w:rPr>
              <w:t xml:space="preserve"> </w:t>
            </w:r>
          </w:p>
        </w:tc>
        <w:tc>
          <w:tcPr>
            <w:tcW w:w="1814" w:type="dxa"/>
            <w:gridSpan w:val="2"/>
            <w:tcBorders>
              <w:top w:val="nil"/>
              <w:left w:val="nil"/>
              <w:bottom w:val="nil"/>
              <w:right w:val="nil"/>
            </w:tcBorders>
            <w:shd w:val="solid" w:color="000000" w:fill="auto"/>
          </w:tcPr>
          <w:p w:rsidR="000D716D" w:rsidRPr="006F02B5" w:rsidRDefault="000D716D" w:rsidP="006F02B5">
            <w:pPr>
              <w:autoSpaceDE w:val="0"/>
              <w:autoSpaceDN w:val="0"/>
              <w:adjustRightInd w:val="0"/>
              <w:jc w:val="center"/>
              <w:rPr>
                <w:rFonts w:eastAsiaTheme="minorEastAsia" w:cs="Calibri"/>
                <w:iCs/>
                <w:color w:val="FFFFFF"/>
                <w:szCs w:val="20"/>
                <w:lang w:eastAsia="en-AU"/>
              </w:rPr>
            </w:pPr>
            <w:r w:rsidRPr="006F02B5">
              <w:rPr>
                <w:rFonts w:eastAsiaTheme="minorEastAsia" w:cs="Calibri"/>
                <w:iCs/>
                <w:color w:val="FFFFFF"/>
                <w:szCs w:val="20"/>
                <w:lang w:eastAsia="en-AU"/>
              </w:rPr>
              <w:t>2017-18</w:t>
            </w:r>
          </w:p>
        </w:tc>
      </w:tr>
      <w:tr w:rsidR="000D716D"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bottom w:val="nil"/>
              <w:right w:val="nil"/>
            </w:tcBorders>
            <w:shd w:val="solid" w:color="000000" w:fill="auto"/>
          </w:tcPr>
          <w:p w:rsidR="000D716D" w:rsidRPr="006F02B5" w:rsidRDefault="000D716D" w:rsidP="006F02B5">
            <w:pPr>
              <w:autoSpaceDE w:val="0"/>
              <w:autoSpaceDN w:val="0"/>
              <w:adjustRightInd w:val="0"/>
              <w:rPr>
                <w:rFonts w:eastAsiaTheme="minorEastAsia" w:cs="Calibri"/>
                <w:iCs/>
                <w:color w:val="FFFFFF"/>
                <w:szCs w:val="20"/>
                <w:lang w:eastAsia="en-AU"/>
              </w:rPr>
            </w:pPr>
          </w:p>
        </w:tc>
        <w:tc>
          <w:tcPr>
            <w:tcW w:w="6917" w:type="dxa"/>
            <w:vMerge/>
            <w:tcBorders>
              <w:left w:val="nil"/>
              <w:bottom w:val="nil"/>
              <w:right w:val="nil"/>
            </w:tcBorders>
            <w:shd w:val="solid" w:color="000000" w:fill="auto"/>
          </w:tcPr>
          <w:p w:rsidR="000D716D" w:rsidRPr="006F02B5" w:rsidRDefault="000D716D" w:rsidP="006F02B5">
            <w:pPr>
              <w:autoSpaceDE w:val="0"/>
              <w:autoSpaceDN w:val="0"/>
              <w:adjustRightInd w:val="0"/>
              <w:jc w:val="left"/>
              <w:rPr>
                <w:rFonts w:eastAsiaTheme="minorEastAsia" w:cs="Calibri"/>
                <w:iCs/>
                <w:color w:val="FFFFFF"/>
                <w:szCs w:val="20"/>
                <w:lang w:eastAsia="en-AU"/>
              </w:rPr>
            </w:pPr>
          </w:p>
        </w:tc>
        <w:tc>
          <w:tcPr>
            <w:tcW w:w="907" w:type="dxa"/>
            <w:tcBorders>
              <w:top w:val="nil"/>
              <w:left w:val="nil"/>
              <w:bottom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actual</w:t>
            </w:r>
            <w:r>
              <w:rPr>
                <w:rFonts w:eastAsiaTheme="minorEastAsia" w:cs="Calibri"/>
                <w:iCs/>
                <w:color w:val="FFFFFF"/>
                <w:szCs w:val="20"/>
                <w:lang w:eastAsia="en-AU"/>
              </w:rPr>
              <w:br/>
            </w:r>
            <w:r w:rsidRPr="006F02B5">
              <w:rPr>
                <w:rFonts w:eastAsiaTheme="minorEastAsia" w:cs="Calibri"/>
                <w:iCs/>
                <w:color w:val="FFFFFF"/>
                <w:szCs w:val="20"/>
                <w:lang w:eastAsia="en-AU"/>
              </w:rPr>
              <w:t>30 Sep</w:t>
            </w:r>
          </w:p>
        </w:tc>
        <w:tc>
          <w:tcPr>
            <w:tcW w:w="907" w:type="dxa"/>
            <w:tcBorders>
              <w:top w:val="nil"/>
              <w:left w:val="nil"/>
              <w:bottom w:val="nil"/>
              <w:right w:val="nil"/>
            </w:tcBorders>
            <w:shd w:val="solid" w:color="000000" w:fill="auto"/>
          </w:tcPr>
          <w:p w:rsidR="000D716D" w:rsidRPr="006F02B5" w:rsidRDefault="000D716D" w:rsidP="000D716D">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published</w:t>
            </w:r>
            <w:r>
              <w:rPr>
                <w:rFonts w:eastAsiaTheme="minorEastAsia" w:cs="Calibri"/>
                <w:iCs/>
                <w:color w:val="FFFFFF"/>
                <w:szCs w:val="20"/>
                <w:lang w:eastAsia="en-AU"/>
              </w:rPr>
              <w:br/>
            </w:r>
            <w:r w:rsidRPr="006F02B5">
              <w:rPr>
                <w:rFonts w:eastAsiaTheme="minorEastAsia" w:cs="Calibri"/>
                <w:iCs/>
                <w:color w:val="FFFFFF"/>
                <w:szCs w:val="20"/>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2 254</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Economic Development, Jobs, Transport and Resources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2 264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9 552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3 891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Education and Training</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4 239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17 145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733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 xml:space="preserve">Environment, Land, Water and Planning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713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3 294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5 541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Health and Human Services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5 864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25 048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1 500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Justice and Regulation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1 748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6 879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103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Premier and Cabinet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112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667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1 650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 xml:space="preserve">Treasury and Finance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1 668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7 116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44</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Parliament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47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222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131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Courts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138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573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506</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vertAlign w:val="superscript"/>
                <w:lang w:eastAsia="en-AU"/>
              </w:rPr>
            </w:pPr>
            <w:r w:rsidRPr="006F02B5">
              <w:rPr>
                <w:rFonts w:eastAsiaTheme="minorEastAsia" w:cs="Calibri"/>
                <w:color w:val="000000"/>
                <w:szCs w:val="20"/>
                <w:lang w:eastAsia="en-AU"/>
              </w:rPr>
              <w:t xml:space="preserve">Regulatory bodies and other part funded agencies </w:t>
            </w:r>
            <w:r w:rsidRPr="006F02B5">
              <w:rPr>
                <w:rFonts w:eastAsiaTheme="minorEastAsia" w:cs="Calibri"/>
                <w:color w:val="000000"/>
                <w:szCs w:val="20"/>
                <w:vertAlign w:val="superscript"/>
                <w:lang w:eastAsia="en-AU"/>
              </w:rPr>
              <w:t>(a)</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549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2 172</w:t>
            </w:r>
          </w:p>
        </w:tc>
      </w:tr>
      <w:tr w:rsidR="006F02B5" w:rsidRPr="006F02B5" w:rsidTr="006F02B5">
        <w:tc>
          <w:tcPr>
            <w:tcW w:w="907" w:type="dxa"/>
            <w:tcBorders>
              <w:top w:val="single" w:sz="6" w:space="0" w:color="auto"/>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16 353</w:t>
            </w:r>
          </w:p>
        </w:tc>
        <w:tc>
          <w:tcPr>
            <w:tcW w:w="6917" w:type="dxa"/>
            <w:tcBorders>
              <w:top w:val="single" w:sz="6" w:space="0" w:color="auto"/>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20"/>
                <w:lang w:eastAsia="en-AU"/>
              </w:rPr>
            </w:pPr>
            <w:r w:rsidRPr="006F02B5">
              <w:rPr>
                <w:rFonts w:eastAsiaTheme="minorEastAsia" w:cs="Calibri"/>
                <w:b/>
                <w:bCs/>
                <w:color w:val="000000"/>
                <w:szCs w:val="20"/>
                <w:lang w:eastAsia="en-AU"/>
              </w:rPr>
              <w:t xml:space="preserve">Total expenses by department </w:t>
            </w:r>
          </w:p>
        </w:tc>
        <w:tc>
          <w:tcPr>
            <w:tcW w:w="907" w:type="dxa"/>
            <w:tcBorders>
              <w:top w:val="single" w:sz="6" w:space="0" w:color="auto"/>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17 342</w:t>
            </w:r>
          </w:p>
        </w:tc>
        <w:tc>
          <w:tcPr>
            <w:tcW w:w="907" w:type="dxa"/>
            <w:tcBorders>
              <w:top w:val="single" w:sz="6" w:space="0" w:color="auto"/>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72 669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(2 442)</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i/>
                <w:iCs/>
                <w:color w:val="000000"/>
                <w:szCs w:val="20"/>
                <w:lang w:eastAsia="en-AU"/>
              </w:rPr>
            </w:pPr>
            <w:r w:rsidRPr="006F02B5">
              <w:rPr>
                <w:rFonts w:eastAsiaTheme="minorEastAsia" w:cs="Calibri"/>
                <w:i/>
                <w:iCs/>
                <w:color w:val="000000"/>
                <w:szCs w:val="20"/>
                <w:lang w:eastAsia="en-AU"/>
              </w:rPr>
              <w:t>Less eliminations and adjustments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(2 699)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(10 418)</w:t>
            </w:r>
          </w:p>
        </w:tc>
      </w:tr>
      <w:tr w:rsidR="006F02B5" w:rsidRPr="006F02B5" w:rsidTr="006F02B5">
        <w:tc>
          <w:tcPr>
            <w:tcW w:w="90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13 911</w:t>
            </w:r>
          </w:p>
        </w:tc>
        <w:tc>
          <w:tcPr>
            <w:tcW w:w="691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20"/>
                <w:lang w:eastAsia="en-AU"/>
              </w:rPr>
            </w:pPr>
            <w:r w:rsidRPr="006F02B5">
              <w:rPr>
                <w:rFonts w:eastAsiaTheme="minorEastAsia" w:cs="Calibri"/>
                <w:b/>
                <w:bCs/>
                <w:color w:val="000000"/>
                <w:szCs w:val="20"/>
                <w:lang w:eastAsia="en-AU"/>
              </w:rPr>
              <w:t>Total expenses from transactions</w:t>
            </w:r>
          </w:p>
        </w:tc>
        <w:tc>
          <w:tcPr>
            <w:tcW w:w="90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14 643</w:t>
            </w:r>
          </w:p>
        </w:tc>
        <w:tc>
          <w:tcPr>
            <w:tcW w:w="90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62 252</w:t>
            </w:r>
          </w:p>
        </w:tc>
      </w:tr>
    </w:tbl>
    <w:p w:rsidR="00614C89" w:rsidRDefault="00614C89" w:rsidP="006F02B5">
      <w:pPr>
        <w:pStyle w:val="Note"/>
      </w:pPr>
      <w:r>
        <w:t>Note:</w:t>
      </w:r>
    </w:p>
    <w:p w:rsidR="00614C89" w:rsidRDefault="00614C89" w:rsidP="00614C89">
      <w:pPr>
        <w:pStyle w:val="Note"/>
      </w:pPr>
      <w:r w:rsidRPr="00232500">
        <w:t>(a)</w:t>
      </w:r>
      <w:r w:rsidRPr="00232500">
        <w:tab/>
        <w:t>Other general government sector agencies not allocated to departmental portfolios.</w:t>
      </w:r>
    </w:p>
    <w:p w:rsidR="00180823" w:rsidRPr="00180823" w:rsidRDefault="00180823" w:rsidP="00180823"/>
    <w:p w:rsidR="00C570E4" w:rsidRDefault="00C570E4">
      <w:pPr>
        <w:rPr>
          <w:rFonts w:asciiTheme="majorHAnsi" w:eastAsiaTheme="majorEastAsia" w:hAnsiTheme="majorHAnsi" w:cstheme="majorBidi"/>
          <w:b/>
          <w:spacing w:val="-2"/>
          <w:sz w:val="26"/>
          <w:szCs w:val="26"/>
        </w:rPr>
      </w:pPr>
      <w:r>
        <w:br w:type="page"/>
      </w:r>
    </w:p>
    <w:p w:rsidR="005B4BA6" w:rsidRDefault="00180823" w:rsidP="005B4BA6">
      <w:pPr>
        <w:pStyle w:val="Heading2"/>
      </w:pPr>
      <w:r>
        <w:lastRenderedPageBreak/>
        <w:t>Purchases of non-financial assets</w:t>
      </w:r>
      <w:r w:rsidR="009F3849">
        <w:t xml:space="preserve"> by </w:t>
      </w:r>
      <w:r>
        <w:t>department</w:t>
      </w:r>
    </w:p>
    <w:p w:rsidR="006F02B5" w:rsidRPr="006F02B5" w:rsidRDefault="00D106C3" w:rsidP="006F02B5">
      <w:pPr>
        <w:pStyle w:val="TableUnits"/>
        <w:rPr>
          <w:bCs/>
          <w:lang w:val="en-US"/>
        </w:rPr>
      </w:pPr>
      <w:r>
        <w:t xml:space="preserve">($ </w:t>
      </w:r>
      <w:r w:rsidRPr="00B21E8E">
        <w:t>million</w:t>
      </w:r>
      <w:r>
        <w:t>)</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200802"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2016-17</w:t>
            </w:r>
            <w:r>
              <w:rPr>
                <w:rFonts w:eastAsiaTheme="minorEastAsia" w:cs="Calibri"/>
                <w:iCs/>
                <w:color w:val="FFFFFF"/>
                <w:szCs w:val="20"/>
                <w:lang w:eastAsia="en-AU"/>
              </w:rPr>
              <w:br/>
            </w:r>
            <w:r w:rsidRPr="006F02B5">
              <w:rPr>
                <w:rFonts w:eastAsiaTheme="minorEastAsia" w:cs="Calibri"/>
                <w:iCs/>
                <w:color w:val="FFFFFF"/>
                <w:szCs w:val="20"/>
                <w:lang w:eastAsia="en-AU"/>
              </w:rPr>
              <w:t xml:space="preserve">actual </w:t>
            </w:r>
          </w:p>
          <w:p w:rsidR="00200802" w:rsidRPr="006F02B5" w:rsidRDefault="00200802" w:rsidP="006F02B5">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30 Sep</w:t>
            </w:r>
          </w:p>
        </w:tc>
        <w:tc>
          <w:tcPr>
            <w:tcW w:w="6917" w:type="dxa"/>
            <w:vMerge w:val="restart"/>
            <w:tcBorders>
              <w:top w:val="nil"/>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color w:val="FFFFFF"/>
                <w:szCs w:val="20"/>
                <w:lang w:eastAsia="en-AU"/>
              </w:rPr>
            </w:pPr>
          </w:p>
        </w:tc>
        <w:tc>
          <w:tcPr>
            <w:tcW w:w="1814" w:type="dxa"/>
            <w:gridSpan w:val="2"/>
            <w:tcBorders>
              <w:top w:val="nil"/>
              <w:left w:val="nil"/>
              <w:bottom w:val="nil"/>
              <w:right w:val="nil"/>
            </w:tcBorders>
            <w:shd w:val="solid" w:color="000000" w:fill="auto"/>
          </w:tcPr>
          <w:p w:rsidR="00200802" w:rsidRPr="006F02B5" w:rsidRDefault="00200802" w:rsidP="006F02B5">
            <w:pPr>
              <w:autoSpaceDE w:val="0"/>
              <w:autoSpaceDN w:val="0"/>
              <w:adjustRightInd w:val="0"/>
              <w:jc w:val="center"/>
              <w:rPr>
                <w:rFonts w:eastAsiaTheme="minorEastAsia" w:cs="Calibri"/>
                <w:b/>
                <w:bCs/>
                <w:iCs/>
                <w:color w:val="FFFFFF"/>
                <w:szCs w:val="20"/>
                <w:lang w:eastAsia="en-AU"/>
              </w:rPr>
            </w:pPr>
            <w:r w:rsidRPr="006F02B5">
              <w:rPr>
                <w:rFonts w:eastAsiaTheme="minorEastAsia" w:cs="Calibri"/>
                <w:iCs/>
                <w:color w:val="FFFFFF"/>
                <w:szCs w:val="20"/>
                <w:lang w:eastAsia="en-AU"/>
              </w:rPr>
              <w:t>2017-18</w:t>
            </w:r>
          </w:p>
        </w:tc>
      </w:tr>
      <w:tr w:rsidR="00200802"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20"/>
                <w:lang w:eastAsia="en-AU"/>
              </w:rPr>
            </w:pPr>
          </w:p>
        </w:tc>
        <w:tc>
          <w:tcPr>
            <w:tcW w:w="6917" w:type="dxa"/>
            <w:vMerge/>
            <w:tcBorders>
              <w:left w:val="nil"/>
              <w:bottom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szCs w:val="20"/>
                <w:lang w:eastAsia="en-AU"/>
              </w:rPr>
            </w:pPr>
          </w:p>
        </w:tc>
        <w:tc>
          <w:tcPr>
            <w:tcW w:w="907" w:type="dxa"/>
            <w:tcBorders>
              <w:top w:val="nil"/>
              <w:left w:val="nil"/>
              <w:bottom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actual</w:t>
            </w:r>
            <w:r>
              <w:rPr>
                <w:rFonts w:eastAsiaTheme="minorEastAsia" w:cs="Calibri"/>
                <w:iCs/>
                <w:color w:val="FFFFFF"/>
                <w:szCs w:val="20"/>
                <w:lang w:eastAsia="en-AU"/>
              </w:rPr>
              <w:br/>
            </w:r>
            <w:r w:rsidRPr="006F02B5">
              <w:rPr>
                <w:rFonts w:eastAsiaTheme="minorEastAsia" w:cs="Calibri"/>
                <w:iCs/>
                <w:color w:val="FFFFFF"/>
                <w:szCs w:val="20"/>
                <w:lang w:eastAsia="en-AU"/>
              </w:rPr>
              <w:t>30 Sep</w:t>
            </w:r>
          </w:p>
        </w:tc>
        <w:tc>
          <w:tcPr>
            <w:tcW w:w="907" w:type="dxa"/>
            <w:tcBorders>
              <w:top w:val="nil"/>
              <w:left w:val="nil"/>
              <w:bottom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20"/>
                <w:lang w:eastAsia="en-AU"/>
              </w:rPr>
            </w:pPr>
            <w:r w:rsidRPr="006F02B5">
              <w:rPr>
                <w:rFonts w:eastAsiaTheme="minorEastAsia" w:cs="Calibri"/>
                <w:iCs/>
                <w:color w:val="FFFFFF"/>
                <w:szCs w:val="20"/>
                <w:lang w:eastAsia="en-AU"/>
              </w:rPr>
              <w:t>published</w:t>
            </w:r>
            <w:r>
              <w:rPr>
                <w:rFonts w:eastAsiaTheme="minorEastAsia" w:cs="Calibri"/>
                <w:iCs/>
                <w:color w:val="FFFFFF"/>
                <w:szCs w:val="20"/>
                <w:lang w:eastAsia="en-AU"/>
              </w:rPr>
              <w:br/>
            </w:r>
            <w:r w:rsidRPr="006F02B5">
              <w:rPr>
                <w:rFonts w:eastAsiaTheme="minorEastAsia" w:cs="Calibri"/>
                <w:iCs/>
                <w:color w:val="FFFFFF"/>
                <w:szCs w:val="20"/>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1 063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Economic Development, Jobs, Transport and Resources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1 220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5 601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152</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Education and Training</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270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1 040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9</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 xml:space="preserve">Environment, Land, Water and Planning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30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130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192</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Health and Human Services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187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sidRPr="006F02B5">
              <w:rPr>
                <w:rFonts w:eastAsiaTheme="minorEastAsia" w:cs="Calibri"/>
                <w:color w:val="000000"/>
                <w:szCs w:val="20"/>
                <w:lang w:eastAsia="en-AU"/>
              </w:rPr>
              <w:t>1 073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71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Justice and Regulation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74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847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5</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Premier and Cabinet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12</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 xml:space="preserve">Treasury and Finance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4</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Parliament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5</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lang w:eastAsia="en-AU"/>
              </w:rPr>
            </w:pPr>
            <w:r w:rsidRPr="006F02B5">
              <w:rPr>
                <w:rFonts w:eastAsiaTheme="minorEastAsia" w:cs="Calibri"/>
                <w:color w:val="000000"/>
                <w:szCs w:val="20"/>
                <w:lang w:eastAsia="en-AU"/>
              </w:rPr>
              <w:t>Courts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11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67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28</w:t>
            </w:r>
          </w:p>
        </w:tc>
        <w:tc>
          <w:tcPr>
            <w:tcW w:w="6917" w:type="dxa"/>
            <w:tcBorders>
              <w:top w:val="nil"/>
              <w:left w:val="nil"/>
              <w:bottom w:val="single" w:sz="6" w:space="0" w:color="auto"/>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20"/>
                <w:vertAlign w:val="superscript"/>
                <w:lang w:eastAsia="en-AU"/>
              </w:rPr>
            </w:pPr>
            <w:r w:rsidRPr="006F02B5">
              <w:rPr>
                <w:rFonts w:eastAsiaTheme="minorEastAsia" w:cs="Calibri"/>
                <w:color w:val="000000"/>
                <w:szCs w:val="20"/>
                <w:lang w:eastAsia="en-AU"/>
              </w:rPr>
              <w:t xml:space="preserve">Regulatory bodies and other part funded agencies </w:t>
            </w:r>
            <w:r w:rsidRPr="006F02B5">
              <w:rPr>
                <w:rFonts w:eastAsiaTheme="minorEastAsia" w:cs="Calibri"/>
                <w:color w:val="000000"/>
                <w:szCs w:val="20"/>
                <w:vertAlign w:val="superscript"/>
                <w:lang w:eastAsia="en-AU"/>
              </w:rPr>
              <w:t>(a)</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44</w:t>
            </w:r>
          </w:p>
        </w:tc>
        <w:tc>
          <w:tcPr>
            <w:tcW w:w="907" w:type="dxa"/>
            <w:tcBorders>
              <w:top w:val="nil"/>
              <w:left w:val="nil"/>
              <w:bottom w:val="single" w:sz="6" w:space="0" w:color="auto"/>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281</w:t>
            </w:r>
          </w:p>
        </w:tc>
      </w:tr>
      <w:tr w:rsidR="006F02B5" w:rsidRPr="006F02B5" w:rsidTr="006F02B5">
        <w:tc>
          <w:tcPr>
            <w:tcW w:w="907" w:type="dxa"/>
            <w:tcBorders>
              <w:top w:val="single" w:sz="6" w:space="0" w:color="auto"/>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1 542</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20"/>
                <w:lang w:eastAsia="en-AU"/>
              </w:rPr>
            </w:pPr>
            <w:r w:rsidRPr="006F02B5">
              <w:rPr>
                <w:rFonts w:eastAsiaTheme="minorEastAsia" w:cs="Calibri"/>
                <w:b/>
                <w:bCs/>
                <w:color w:val="000000"/>
                <w:szCs w:val="20"/>
                <w:lang w:eastAsia="en-AU"/>
              </w:rPr>
              <w:t>Total purchases of non-financial assets by department</w:t>
            </w:r>
          </w:p>
        </w:tc>
        <w:tc>
          <w:tcPr>
            <w:tcW w:w="907" w:type="dxa"/>
            <w:tcBorders>
              <w:top w:val="single" w:sz="6" w:space="0" w:color="auto"/>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1 858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9 102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i/>
                <w:iCs/>
                <w:color w:val="000000"/>
                <w:szCs w:val="20"/>
                <w:vertAlign w:val="superscript"/>
                <w:lang w:eastAsia="en-AU"/>
              </w:rPr>
            </w:pPr>
            <w:r w:rsidRPr="006F02B5">
              <w:rPr>
                <w:rFonts w:eastAsiaTheme="minorEastAsia" w:cs="Calibri"/>
                <w:i/>
                <w:iCs/>
                <w:color w:val="000000"/>
                <w:szCs w:val="20"/>
                <w:lang w:eastAsia="en-AU"/>
              </w:rPr>
              <w:t xml:space="preserve">Less eliminations and adjustments </w:t>
            </w:r>
            <w:r w:rsidRPr="006F02B5">
              <w:rPr>
                <w:rFonts w:eastAsiaTheme="minorEastAsia" w:cs="Calibri"/>
                <w:i/>
                <w:iCs/>
                <w:color w:val="000000"/>
                <w:szCs w:val="20"/>
                <w:vertAlign w:val="superscript"/>
                <w:lang w:eastAsia="en-AU"/>
              </w:rPr>
              <w:t>(b)</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(322)</w:t>
            </w:r>
          </w:p>
        </w:tc>
      </w:tr>
      <w:tr w:rsidR="006F02B5" w:rsidRPr="006F02B5" w:rsidTr="006F02B5">
        <w:tc>
          <w:tcPr>
            <w:tcW w:w="90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1 564</w:t>
            </w:r>
          </w:p>
        </w:tc>
        <w:tc>
          <w:tcPr>
            <w:tcW w:w="691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20"/>
                <w:lang w:eastAsia="en-AU"/>
              </w:rPr>
            </w:pPr>
            <w:r w:rsidRPr="006F02B5">
              <w:rPr>
                <w:rFonts w:eastAsiaTheme="minorEastAsia" w:cs="Calibri"/>
                <w:b/>
                <w:bCs/>
                <w:color w:val="000000"/>
                <w:szCs w:val="20"/>
                <w:lang w:eastAsia="en-AU"/>
              </w:rPr>
              <w:t xml:space="preserve">Total purchases of non-financial assets </w:t>
            </w:r>
          </w:p>
        </w:tc>
        <w:tc>
          <w:tcPr>
            <w:tcW w:w="90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1 881</w:t>
            </w:r>
          </w:p>
        </w:tc>
        <w:tc>
          <w:tcPr>
            <w:tcW w:w="907" w:type="dxa"/>
            <w:tcBorders>
              <w:top w:val="single" w:sz="6" w:space="0" w:color="auto"/>
              <w:left w:val="nil"/>
              <w:bottom w:val="single" w:sz="12" w:space="0" w:color="auto"/>
              <w:right w:val="nil"/>
            </w:tcBorders>
          </w:tcPr>
          <w:p w:rsidR="006F02B5" w:rsidRPr="006F02B5" w:rsidRDefault="006F02B5" w:rsidP="006F02B5">
            <w:pPr>
              <w:autoSpaceDE w:val="0"/>
              <w:autoSpaceDN w:val="0"/>
              <w:adjustRightInd w:val="0"/>
              <w:rPr>
                <w:rFonts w:eastAsiaTheme="minorEastAsia" w:cs="Calibri"/>
                <w:b/>
                <w:bCs/>
                <w:color w:val="000000"/>
                <w:szCs w:val="20"/>
                <w:lang w:eastAsia="en-AU"/>
              </w:rPr>
            </w:pPr>
            <w:r w:rsidRPr="006F02B5">
              <w:rPr>
                <w:rFonts w:eastAsiaTheme="minorEastAsia" w:cs="Calibri"/>
                <w:b/>
                <w:bCs/>
                <w:color w:val="000000"/>
                <w:szCs w:val="20"/>
                <w:lang w:eastAsia="en-AU"/>
              </w:rPr>
              <w:t>8 780</w:t>
            </w:r>
          </w:p>
        </w:tc>
      </w:tr>
    </w:tbl>
    <w:p w:rsidR="00D106C3" w:rsidRDefault="00D106C3" w:rsidP="006F02B5">
      <w:pPr>
        <w:pStyle w:val="Note"/>
      </w:pPr>
      <w:r>
        <w:t>Notes:</w:t>
      </w:r>
    </w:p>
    <w:p w:rsidR="00D106C3" w:rsidRDefault="00D106C3" w:rsidP="00D106C3">
      <w:pPr>
        <w:pStyle w:val="Note"/>
      </w:pPr>
      <w:r w:rsidRPr="00232500">
        <w:t>(a)</w:t>
      </w:r>
      <w:r w:rsidRPr="00232500">
        <w:tab/>
        <w:t>Other general government sector agencies not allocated to departmental portfolios.</w:t>
      </w:r>
    </w:p>
    <w:p w:rsidR="00EB22C5" w:rsidRPr="00D106C3" w:rsidRDefault="00D106C3" w:rsidP="00D106C3">
      <w:pPr>
        <w:pStyle w:val="Note"/>
      </w:pPr>
      <w:r>
        <w:t>(b)</w:t>
      </w:r>
      <w:r>
        <w:tab/>
        <w:t>Budget includes contingencies not allocated to departments and estimated departmental underspend.</w:t>
      </w:r>
    </w:p>
    <w:p w:rsidR="00EB22C5" w:rsidRDefault="00EB22C5" w:rsidP="00EB22C5"/>
    <w:p w:rsidR="007C0AFE" w:rsidRPr="00EB22C5" w:rsidRDefault="007C0AFE" w:rsidP="00EB22C5"/>
    <w:p w:rsidR="005B4BA6" w:rsidRDefault="00180823" w:rsidP="005B4BA6">
      <w:pPr>
        <w:pStyle w:val="Heading2"/>
      </w:pPr>
      <w:r>
        <w:t>Net acquisition of non-fin</w:t>
      </w:r>
      <w:r w:rsidR="005B4BA6">
        <w:t>ancial assets from transactions</w:t>
      </w:r>
    </w:p>
    <w:p w:rsidR="006F02B5" w:rsidRPr="006F02B5" w:rsidRDefault="00180823" w:rsidP="006F02B5">
      <w:pPr>
        <w:pStyle w:val="TableUnits"/>
        <w:rPr>
          <w:bCs/>
          <w:lang w:val="en-US"/>
        </w:rPr>
      </w:pPr>
      <w:r>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200802"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200802" w:rsidRPr="006F02B5" w:rsidRDefault="00200802"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2017-18</w:t>
            </w:r>
          </w:p>
        </w:tc>
      </w:tr>
      <w:tr w:rsidR="00200802"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published</w:t>
            </w:r>
            <w:r>
              <w:rPr>
                <w:rFonts w:eastAsiaTheme="minorEastAsia" w:cs="Calibri"/>
                <w:iCs/>
                <w:color w:val="FFFFFF"/>
                <w:szCs w:val="18"/>
                <w:lang w:eastAsia="en-AU"/>
              </w:rPr>
              <w:br/>
            </w:r>
            <w:r w:rsidRPr="006F02B5">
              <w:rPr>
                <w:rFonts w:eastAsiaTheme="minorEastAsia" w:cs="Calibri"/>
                <w:iCs/>
                <w:color w:val="FFFFFF"/>
                <w:szCs w:val="18"/>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1 564</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Purchases of non-financial assets (including change in inventories)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1 884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8 747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(24)</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Less: Sales of non-financial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(503)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(627)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Less: Depreciation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(2 788)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(905)</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Plus: Other movements in non-financial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(901)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(3 643)</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8</w:t>
            </w:r>
          </w:p>
        </w:tc>
        <w:tc>
          <w:tcPr>
            <w:tcW w:w="691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net acquisition of non-financial assets from transactions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283</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1 813</w:t>
            </w:r>
          </w:p>
        </w:tc>
      </w:tr>
    </w:tbl>
    <w:p w:rsidR="00180823" w:rsidRDefault="00955520" w:rsidP="006F02B5">
      <w:pPr>
        <w:pStyle w:val="Heading1"/>
      </w:pPr>
      <w:bookmarkStart w:id="14" w:name="_Toc497376525"/>
      <w:r>
        <w:lastRenderedPageBreak/>
        <w:t>Major assets and investments</w:t>
      </w:r>
      <w:bookmarkEnd w:id="14"/>
    </w:p>
    <w:p w:rsidR="00C570E4" w:rsidRDefault="00C570E4" w:rsidP="005B4BA6">
      <w:pPr>
        <w:pStyle w:val="Heading20"/>
        <w:sectPr w:rsidR="00C570E4" w:rsidSect="00CE372B">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lastRenderedPageBreak/>
        <w:t>Introduction</w:t>
      </w:r>
    </w:p>
    <w:p w:rsidR="00B371AC" w:rsidRDefault="00B371AC" w:rsidP="00EA775F">
      <w:r w:rsidRPr="00B371AC">
        <w:t>This sec</w:t>
      </w:r>
      <w:r w:rsidR="00C43968">
        <w:t xml:space="preserve">tion outlines those assets </w:t>
      </w:r>
      <w:r w:rsidRPr="00B371AC">
        <w:t xml:space="preserve">the general government sector controls, reflecting investing activities in the current </w:t>
      </w:r>
      <w:r w:rsidR="00D3317C">
        <w:t xml:space="preserve">period </w:t>
      </w:r>
      <w:r w:rsidRPr="00B371AC">
        <w:t>and prior years.</w:t>
      </w:r>
    </w:p>
    <w:p w:rsidR="00733171" w:rsidRPr="00B371AC" w:rsidRDefault="00733171" w:rsidP="00EA775F"/>
    <w:p w:rsidR="00C570E4" w:rsidRDefault="00C570E4" w:rsidP="00B371AC">
      <w:pPr>
        <w:sectPr w:rsidR="00C570E4" w:rsidSect="00CE372B">
          <w:type w:val="continuous"/>
          <w:pgSz w:w="11907" w:h="16839" w:code="9"/>
          <w:pgMar w:top="851" w:right="1134" w:bottom="851" w:left="1134" w:header="624" w:footer="567" w:gutter="0"/>
          <w:cols w:num="2" w:space="567"/>
          <w:docGrid w:linePitch="360"/>
        </w:sectPr>
      </w:pPr>
    </w:p>
    <w:p w:rsidR="005B4BA6" w:rsidRDefault="00180823" w:rsidP="005B4BA6">
      <w:pPr>
        <w:pStyle w:val="Heading2"/>
      </w:pPr>
      <w:r>
        <w:lastRenderedPageBreak/>
        <w:t>Total land, buildings, infrastructure, plant and equipment</w:t>
      </w:r>
    </w:p>
    <w:p w:rsidR="006F02B5" w:rsidRPr="006F02B5" w:rsidRDefault="00180823" w:rsidP="006F02B5">
      <w:pPr>
        <w:pStyle w:val="TableUnits"/>
        <w:rPr>
          <w:bCs/>
          <w:lang w:val="en-US"/>
        </w:rPr>
      </w:pPr>
      <w:r>
        <w:t>($ million)</w:t>
      </w:r>
    </w:p>
    <w:tbl>
      <w:tblPr>
        <w:tblStyle w:val="DTFTable"/>
        <w:tblW w:w="9637" w:type="dxa"/>
        <w:tblInd w:w="45" w:type="dxa"/>
        <w:tblLayout w:type="fixed"/>
        <w:tblCellMar>
          <w:left w:w="45" w:type="dxa"/>
          <w:right w:w="45" w:type="dxa"/>
        </w:tblCellMar>
        <w:tblLook w:val="0620" w:firstRow="1" w:lastRow="0" w:firstColumn="0" w:lastColumn="0" w:noHBand="1" w:noVBand="1"/>
      </w:tblPr>
      <w:tblGrid>
        <w:gridCol w:w="907"/>
        <w:gridCol w:w="6009"/>
        <w:gridCol w:w="907"/>
        <w:gridCol w:w="907"/>
        <w:gridCol w:w="907"/>
      </w:tblGrid>
      <w:tr w:rsidR="00200802"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2017-18</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r>
      <w:tr w:rsidR="00200802"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opening</w:t>
            </w:r>
            <w:r>
              <w:rPr>
                <w:rFonts w:eastAsiaTheme="minorEastAsia" w:cs="Calibri"/>
                <w:iCs/>
                <w:color w:val="FFFFFF"/>
                <w:szCs w:val="18"/>
                <w:lang w:eastAsia="en-AU"/>
              </w:rPr>
              <w:br/>
            </w:r>
            <w:r w:rsidRPr="006F02B5">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budget</w:t>
            </w:r>
            <w:r>
              <w:rPr>
                <w:rFonts w:eastAsiaTheme="minorEastAsia" w:cs="Calibri"/>
                <w:iCs/>
                <w:color w:val="FFFFFF"/>
                <w:szCs w:val="18"/>
                <w:lang w:eastAsia="en-AU"/>
              </w:rPr>
              <w:br/>
            </w:r>
            <w:r w:rsidRPr="006F02B5">
              <w:rPr>
                <w:rFonts w:eastAsiaTheme="minorEastAsia" w:cs="Calibri"/>
                <w:iCs/>
                <w:color w:val="FFFFFF"/>
                <w:szCs w:val="18"/>
                <w:lang w:eastAsia="en-AU"/>
              </w:rPr>
              <w:t>30 Jun</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27 561</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 xml:space="preserve">Buildings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28 039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28 152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28 642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44 737</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Land and national parks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50 554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50 556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50 528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4 005</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Leased buildings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4 711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4 657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5 557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1 333</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Infrastructure systems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1 343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1 369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1 335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2 205</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Plant, equipment and vehicles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2 362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2 363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2 343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162</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Leased plant, equipment and vehicles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184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168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20 032</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Roads and road infrastructure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20 440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20 596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23 408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573</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Leased roads and road infrastructure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565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563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628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7 913</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Earthworks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7 961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7 961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9 229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5 488</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Cultural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5 617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5 622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5 610</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114 009</w:t>
            </w:r>
          </w:p>
        </w:tc>
        <w:tc>
          <w:tcPr>
            <w:tcW w:w="6009"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land, buildings, infrastructure, plant and equipment</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121 776</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122 018</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127 449</w:t>
            </w:r>
          </w:p>
        </w:tc>
      </w:tr>
    </w:tbl>
    <w:p w:rsidR="005B4BA6" w:rsidRDefault="005B4BA6" w:rsidP="006F02B5"/>
    <w:p w:rsidR="00EB22C5" w:rsidRPr="005B4BA6" w:rsidRDefault="00EB22C5" w:rsidP="005B4BA6"/>
    <w:p w:rsidR="005B4BA6" w:rsidRDefault="00180823" w:rsidP="005B4BA6">
      <w:pPr>
        <w:pStyle w:val="Heading2"/>
      </w:pPr>
      <w:r>
        <w:t>Depreciation</w:t>
      </w:r>
    </w:p>
    <w:p w:rsidR="006F02B5" w:rsidRPr="006F02B5" w:rsidRDefault="00180823" w:rsidP="006F02B5">
      <w:pPr>
        <w:pStyle w:val="TableUnits"/>
        <w:rPr>
          <w:bCs/>
          <w:lang w:val="en-US"/>
        </w:rPr>
      </w:pPr>
      <w:r>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200802"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200802" w:rsidRPr="006F02B5" w:rsidRDefault="00200802"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2017-18</w:t>
            </w:r>
          </w:p>
        </w:tc>
      </w:tr>
      <w:tr w:rsidR="00200802"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published</w:t>
            </w:r>
            <w:r>
              <w:rPr>
                <w:rFonts w:eastAsiaTheme="minorEastAsia" w:cs="Calibri"/>
                <w:iCs/>
                <w:color w:val="FFFFFF"/>
                <w:szCs w:val="18"/>
                <w:lang w:eastAsia="en-AU"/>
              </w:rPr>
              <w:br/>
            </w:r>
            <w:r w:rsidRPr="006F02B5">
              <w:rPr>
                <w:rFonts w:eastAsiaTheme="minorEastAsia" w:cs="Calibri"/>
                <w:iCs/>
                <w:color w:val="FFFFFF"/>
                <w:szCs w:val="18"/>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270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Buildings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283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1 141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Leased buildings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Infrastructure systems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128</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Plant, equipment and vehicles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128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595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Leased plant, equipment and vehicles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153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Roads and road infrastructure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152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650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Leased roads and road infrastructure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Cultural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20</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Intangible produced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143</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627</w:t>
            </w:r>
          </w:p>
        </w:tc>
        <w:tc>
          <w:tcPr>
            <w:tcW w:w="691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depreciation</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655</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2 788</w:t>
            </w:r>
          </w:p>
        </w:tc>
      </w:tr>
    </w:tbl>
    <w:p w:rsidR="005B4BA6" w:rsidRDefault="005B4BA6" w:rsidP="006F02B5"/>
    <w:p w:rsidR="00733171" w:rsidRDefault="00733171">
      <w:pPr>
        <w:rPr>
          <w:rFonts w:asciiTheme="majorHAnsi" w:eastAsiaTheme="majorEastAsia" w:hAnsiTheme="majorHAnsi" w:cstheme="majorBidi"/>
          <w:b/>
          <w:spacing w:val="-2"/>
          <w:sz w:val="26"/>
          <w:szCs w:val="26"/>
        </w:rPr>
      </w:pPr>
      <w:r>
        <w:br w:type="page"/>
      </w:r>
    </w:p>
    <w:p w:rsidR="005B4BA6" w:rsidRDefault="00180823" w:rsidP="005B4BA6">
      <w:pPr>
        <w:pStyle w:val="Heading2"/>
      </w:pPr>
      <w:r>
        <w:lastRenderedPageBreak/>
        <w:t>Land and buildings</w:t>
      </w:r>
    </w:p>
    <w:p w:rsidR="006F02B5" w:rsidRPr="006F02B5" w:rsidRDefault="00180823" w:rsidP="006F02B5">
      <w:pPr>
        <w:pStyle w:val="TableUnits"/>
        <w:rPr>
          <w:bCs/>
          <w:lang w:val="en-US"/>
        </w:rPr>
      </w:pPr>
      <w:r>
        <w:t>($ million)</w:t>
      </w:r>
    </w:p>
    <w:tbl>
      <w:tblPr>
        <w:tblStyle w:val="DTFTable"/>
        <w:tblW w:w="9637" w:type="dxa"/>
        <w:tblInd w:w="45" w:type="dxa"/>
        <w:tblLayout w:type="fixed"/>
        <w:tblCellMar>
          <w:left w:w="45" w:type="dxa"/>
          <w:right w:w="45" w:type="dxa"/>
        </w:tblCellMar>
        <w:tblLook w:val="0620" w:firstRow="1" w:lastRow="0" w:firstColumn="0" w:lastColumn="0" w:noHBand="1" w:noVBand="1"/>
      </w:tblPr>
      <w:tblGrid>
        <w:gridCol w:w="907"/>
        <w:gridCol w:w="6009"/>
        <w:gridCol w:w="907"/>
        <w:gridCol w:w="907"/>
        <w:gridCol w:w="907"/>
      </w:tblGrid>
      <w:tr w:rsidR="00200802"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2017-18</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r>
      <w:tr w:rsidR="00200802"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opening</w:t>
            </w:r>
            <w:r>
              <w:rPr>
                <w:rFonts w:eastAsiaTheme="minorEastAsia" w:cs="Calibri"/>
                <w:iCs/>
                <w:color w:val="FFFFFF"/>
                <w:szCs w:val="18"/>
                <w:lang w:eastAsia="en-AU"/>
              </w:rPr>
              <w:br/>
            </w:r>
            <w:r w:rsidRPr="006F02B5">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budget</w:t>
            </w:r>
            <w:r>
              <w:rPr>
                <w:rFonts w:eastAsiaTheme="minorEastAsia" w:cs="Calibri"/>
                <w:iCs/>
                <w:color w:val="FFFFFF"/>
                <w:szCs w:val="18"/>
                <w:lang w:eastAsia="en-AU"/>
              </w:rPr>
              <w:br/>
            </w:r>
            <w:r w:rsidRPr="006F02B5">
              <w:rPr>
                <w:rFonts w:eastAsiaTheme="minorEastAsia" w:cs="Calibri"/>
                <w:iCs/>
                <w:color w:val="FFFFFF"/>
                <w:szCs w:val="18"/>
                <w:lang w:eastAsia="en-AU"/>
              </w:rPr>
              <w:t>30 Jun</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29 601</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Buildings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30 762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31 104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32 576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(2 040)</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Accumulated depreciation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(2 723)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(2 952)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(3 934)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27 561</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 xml:space="preserve">Buildings (net carrying amount)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28 039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28 152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28 642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4 501</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Leased buildings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5 319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5 306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6 341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(496)</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Leased buildings accumulated depreciation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(609)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(649)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(784)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4 005</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 xml:space="preserve">Leased buildings (net carrying amount)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4 711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4 657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5 557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43 700</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Land</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49 504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49 507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49 488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1 036</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 xml:space="preserve">National parks and other </w:t>
            </w:r>
            <w:r w:rsidR="000D716D">
              <w:rPr>
                <w:rFonts w:eastAsiaTheme="minorEastAsia" w:cs="Arial"/>
                <w:color w:val="000000"/>
                <w:szCs w:val="18"/>
                <w:lang w:eastAsia="en-AU"/>
              </w:rPr>
              <w:t>‘</w:t>
            </w:r>
            <w:r w:rsidRPr="006F02B5">
              <w:rPr>
                <w:rFonts w:eastAsiaTheme="minorEastAsia" w:cs="Arial"/>
                <w:color w:val="000000"/>
                <w:szCs w:val="18"/>
                <w:lang w:eastAsia="en-AU"/>
              </w:rPr>
              <w:t>land only</w:t>
            </w:r>
            <w:r w:rsidR="000D716D">
              <w:rPr>
                <w:rFonts w:eastAsiaTheme="minorEastAsia" w:cs="Arial"/>
                <w:color w:val="000000"/>
                <w:szCs w:val="18"/>
                <w:lang w:eastAsia="en-AU"/>
              </w:rPr>
              <w:t>’</w:t>
            </w:r>
            <w:r w:rsidRPr="006F02B5">
              <w:rPr>
                <w:rFonts w:eastAsiaTheme="minorEastAsia" w:cs="Arial"/>
                <w:color w:val="000000"/>
                <w:szCs w:val="18"/>
                <w:lang w:eastAsia="en-AU"/>
              </w:rPr>
              <w:t xml:space="preserve"> holdings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1 050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1 049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1 040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44 737</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Land and national parks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50 554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50 556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50 528</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76 303</w:t>
            </w:r>
          </w:p>
        </w:tc>
        <w:tc>
          <w:tcPr>
            <w:tcW w:w="6009"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land and buildings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83 303</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83 366</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84 727</w:t>
            </w:r>
          </w:p>
        </w:tc>
      </w:tr>
    </w:tbl>
    <w:p w:rsidR="005B4BA6" w:rsidRDefault="005B4BA6" w:rsidP="006F02B5"/>
    <w:p w:rsidR="00EB22C5" w:rsidRPr="005B4BA6" w:rsidRDefault="00EB22C5" w:rsidP="005B4BA6"/>
    <w:p w:rsidR="005B4BA6" w:rsidRDefault="00180823" w:rsidP="005B4BA6">
      <w:pPr>
        <w:pStyle w:val="Heading2"/>
      </w:pPr>
      <w:r>
        <w:t>Plant, equipment, vehicles, and infrastructure systems</w:t>
      </w:r>
    </w:p>
    <w:p w:rsidR="006F02B5" w:rsidRPr="006F02B5" w:rsidRDefault="00180823" w:rsidP="006F02B5">
      <w:pPr>
        <w:pStyle w:val="TableUnits"/>
        <w:rPr>
          <w:bCs/>
          <w:lang w:val="en-US"/>
        </w:rPr>
      </w:pPr>
      <w:r>
        <w:t>($ million)</w:t>
      </w:r>
    </w:p>
    <w:tbl>
      <w:tblPr>
        <w:tblStyle w:val="DTFTable"/>
        <w:tblW w:w="9637" w:type="dxa"/>
        <w:tblInd w:w="45" w:type="dxa"/>
        <w:tblLayout w:type="fixed"/>
        <w:tblCellMar>
          <w:left w:w="45" w:type="dxa"/>
          <w:right w:w="45" w:type="dxa"/>
        </w:tblCellMar>
        <w:tblLook w:val="0620" w:firstRow="1" w:lastRow="0" w:firstColumn="0" w:lastColumn="0" w:noHBand="1" w:noVBand="1"/>
      </w:tblPr>
      <w:tblGrid>
        <w:gridCol w:w="907"/>
        <w:gridCol w:w="6009"/>
        <w:gridCol w:w="907"/>
        <w:gridCol w:w="907"/>
        <w:gridCol w:w="907"/>
      </w:tblGrid>
      <w:tr w:rsidR="00200802"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2017-18</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r>
      <w:tr w:rsidR="00200802"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opening</w:t>
            </w:r>
            <w:r>
              <w:rPr>
                <w:rFonts w:eastAsiaTheme="minorEastAsia" w:cs="Calibri"/>
                <w:iCs/>
                <w:color w:val="FFFFFF"/>
                <w:szCs w:val="18"/>
                <w:lang w:eastAsia="en-AU"/>
              </w:rPr>
              <w:br/>
            </w:r>
            <w:r w:rsidRPr="006F02B5">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budget</w:t>
            </w:r>
            <w:r>
              <w:rPr>
                <w:rFonts w:eastAsiaTheme="minorEastAsia" w:cs="Calibri"/>
                <w:iCs/>
                <w:color w:val="FFFFFF"/>
                <w:szCs w:val="18"/>
                <w:lang w:eastAsia="en-AU"/>
              </w:rPr>
              <w:br/>
            </w:r>
            <w:r w:rsidRPr="006F02B5">
              <w:rPr>
                <w:rFonts w:eastAsiaTheme="minorEastAsia" w:cs="Calibri"/>
                <w:iCs/>
                <w:color w:val="FFFFFF"/>
                <w:szCs w:val="18"/>
                <w:lang w:eastAsia="en-AU"/>
              </w:rPr>
              <w:t>30 Jun</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1 779</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Infrastructure systems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1 834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1 869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1 859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(446)</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Accumulated depreciation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(492)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(500)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(524)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1 333</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Infrastructure systems (net carrying amount)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1 343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1 369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1 335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5 811</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Plant, equipment and vehicles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6 126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6 232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6 609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(3 607)</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Accumulated depreciation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(3 764)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(3 869)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(4 266)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407</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Leased plant, equipment and vehicles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441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441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441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(245)</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Accumulated depreciation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(257)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(263)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(273)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2 367</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Plant, equipment and vehicles (net carrying amount)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2 546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2 541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2 511</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3 700</w:t>
            </w:r>
          </w:p>
        </w:tc>
        <w:tc>
          <w:tcPr>
            <w:tcW w:w="6009"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plant, equipment and vehicles, and infrastructure systems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3 889</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3 910</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3 846</w:t>
            </w:r>
          </w:p>
        </w:tc>
      </w:tr>
    </w:tbl>
    <w:p w:rsidR="005B4BA6" w:rsidRDefault="005B4BA6" w:rsidP="006F02B5"/>
    <w:p w:rsidR="00EB22C5" w:rsidRPr="005B4BA6" w:rsidRDefault="00EB22C5" w:rsidP="005B4BA6"/>
    <w:p w:rsidR="005B4BA6" w:rsidRDefault="00180823" w:rsidP="005B4BA6">
      <w:pPr>
        <w:pStyle w:val="Heading2"/>
      </w:pPr>
      <w:r>
        <w:t>Roads, road infrastructure and earthworks</w:t>
      </w:r>
    </w:p>
    <w:p w:rsidR="006F02B5" w:rsidRPr="006F02B5" w:rsidRDefault="00180823" w:rsidP="006F02B5">
      <w:pPr>
        <w:pStyle w:val="TableUnits"/>
        <w:rPr>
          <w:bCs/>
          <w:lang w:val="en-US"/>
        </w:rPr>
      </w:pPr>
      <w:r>
        <w:t>($ million)</w:t>
      </w:r>
    </w:p>
    <w:tbl>
      <w:tblPr>
        <w:tblStyle w:val="DTFTable"/>
        <w:tblW w:w="9637" w:type="dxa"/>
        <w:tblInd w:w="45" w:type="dxa"/>
        <w:tblLayout w:type="fixed"/>
        <w:tblCellMar>
          <w:left w:w="45" w:type="dxa"/>
          <w:right w:w="45" w:type="dxa"/>
        </w:tblCellMar>
        <w:tblLook w:val="0620" w:firstRow="1" w:lastRow="0" w:firstColumn="0" w:lastColumn="0" w:noHBand="1" w:noVBand="1"/>
      </w:tblPr>
      <w:tblGrid>
        <w:gridCol w:w="907"/>
        <w:gridCol w:w="6009"/>
        <w:gridCol w:w="907"/>
        <w:gridCol w:w="907"/>
        <w:gridCol w:w="907"/>
      </w:tblGrid>
      <w:tr w:rsidR="00200802"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2017-18</w:t>
            </w:r>
          </w:p>
        </w:tc>
        <w:tc>
          <w:tcPr>
            <w:tcW w:w="907" w:type="dxa"/>
            <w:tcBorders>
              <w:top w:val="nil"/>
              <w:left w:val="nil"/>
              <w:bottom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r>
      <w:tr w:rsidR="00200802"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200802" w:rsidRPr="006F02B5" w:rsidRDefault="00200802" w:rsidP="006F02B5">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200802" w:rsidRPr="006F02B5" w:rsidRDefault="00200802"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opening</w:t>
            </w:r>
            <w:r>
              <w:rPr>
                <w:rFonts w:eastAsiaTheme="minorEastAsia" w:cs="Calibri"/>
                <w:iCs/>
                <w:color w:val="FFFFFF"/>
                <w:szCs w:val="18"/>
                <w:lang w:eastAsia="en-AU"/>
              </w:rPr>
              <w:br/>
            </w:r>
            <w:r w:rsidRPr="006F02B5">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200802" w:rsidRPr="006F02B5" w:rsidRDefault="00200802" w:rsidP="00200802">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budget</w:t>
            </w:r>
            <w:r>
              <w:rPr>
                <w:rFonts w:eastAsiaTheme="minorEastAsia" w:cs="Calibri"/>
                <w:iCs/>
                <w:color w:val="FFFFFF"/>
                <w:szCs w:val="18"/>
                <w:lang w:eastAsia="en-AU"/>
              </w:rPr>
              <w:br/>
            </w:r>
            <w:r w:rsidRPr="006F02B5">
              <w:rPr>
                <w:rFonts w:eastAsiaTheme="minorEastAsia" w:cs="Calibri"/>
                <w:iCs/>
                <w:color w:val="FFFFFF"/>
                <w:szCs w:val="18"/>
                <w:lang w:eastAsia="en-AU"/>
              </w:rPr>
              <w:t>30 Jun</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38 857</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Roads and roads infrastructure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39 781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40 089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45 986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(18 825)</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Accumulated depreciation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(19 341)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(19 493)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(22 578)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20 032</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Roads and road infrastructure (net carrying amount)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20 440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20 596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23 408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584</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Leased road and road infrastructure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584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584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660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(12)</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Accumulated depreciation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Pr>
                <w:rFonts w:eastAsiaTheme="minorEastAsia" w:cs="Arial"/>
                <w:b/>
                <w:bCs/>
                <w:color w:val="000000"/>
                <w:szCs w:val="18"/>
                <w:lang w:eastAsia="en-AU"/>
              </w:rPr>
              <w:t>573</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Leased road and road infrastructure (net carrying amount)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565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563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628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7 913</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Earthworks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7 961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7 961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9 229</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28 517</w:t>
            </w:r>
          </w:p>
        </w:tc>
        <w:tc>
          <w:tcPr>
            <w:tcW w:w="6009"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roads, road infrastructure and earthworks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28 967</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29 120</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33 266</w:t>
            </w:r>
          </w:p>
        </w:tc>
      </w:tr>
    </w:tbl>
    <w:p w:rsidR="005B4BA6" w:rsidRDefault="005B4BA6" w:rsidP="006F02B5"/>
    <w:p w:rsidR="00EB22C5" w:rsidRPr="005B4BA6" w:rsidRDefault="00EB22C5" w:rsidP="005B4BA6"/>
    <w:p w:rsidR="00CE372B" w:rsidRDefault="00CE372B">
      <w:pPr>
        <w:rPr>
          <w:rFonts w:asciiTheme="majorHAnsi" w:eastAsiaTheme="majorEastAsia" w:hAnsiTheme="majorHAnsi" w:cstheme="majorBidi"/>
          <w:b/>
          <w:spacing w:val="-2"/>
          <w:sz w:val="26"/>
          <w:szCs w:val="26"/>
        </w:rPr>
      </w:pPr>
      <w:r>
        <w:br w:type="page"/>
      </w:r>
    </w:p>
    <w:p w:rsidR="005B4BA6" w:rsidRDefault="005B4BA6" w:rsidP="005B4BA6">
      <w:pPr>
        <w:pStyle w:val="Heading2"/>
      </w:pPr>
      <w:r>
        <w:lastRenderedPageBreak/>
        <w:t>Cultural assets</w:t>
      </w:r>
    </w:p>
    <w:p w:rsidR="006F02B5" w:rsidRPr="006F02B5" w:rsidRDefault="00180823" w:rsidP="006F02B5">
      <w:pPr>
        <w:pStyle w:val="TableUnits"/>
        <w:rPr>
          <w:bCs/>
          <w:lang w:val="en-US"/>
        </w:rPr>
      </w:pPr>
      <w:r>
        <w:t>($ million)</w:t>
      </w:r>
    </w:p>
    <w:tbl>
      <w:tblPr>
        <w:tblStyle w:val="DTFTable"/>
        <w:tblW w:w="9637" w:type="dxa"/>
        <w:tblInd w:w="45" w:type="dxa"/>
        <w:tblLayout w:type="fixed"/>
        <w:tblCellMar>
          <w:left w:w="45" w:type="dxa"/>
          <w:right w:w="45" w:type="dxa"/>
        </w:tblCellMar>
        <w:tblLook w:val="0620" w:firstRow="1" w:lastRow="0" w:firstColumn="0" w:lastColumn="0" w:noHBand="1" w:noVBand="1"/>
      </w:tblPr>
      <w:tblGrid>
        <w:gridCol w:w="907"/>
        <w:gridCol w:w="6009"/>
        <w:gridCol w:w="907"/>
        <w:gridCol w:w="907"/>
        <w:gridCol w:w="907"/>
      </w:tblGrid>
      <w:tr w:rsidR="00921AE6"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2017-18</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r>
      <w:tr w:rsidR="00921AE6"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opening</w:t>
            </w:r>
            <w:r>
              <w:rPr>
                <w:rFonts w:eastAsiaTheme="minorEastAsia" w:cs="Calibri"/>
                <w:iCs/>
                <w:color w:val="FFFFFF"/>
                <w:szCs w:val="18"/>
                <w:lang w:eastAsia="en-AU"/>
              </w:rPr>
              <w:br/>
            </w:r>
            <w:r w:rsidRPr="006F02B5">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budget</w:t>
            </w:r>
            <w:r>
              <w:rPr>
                <w:rFonts w:eastAsiaTheme="minorEastAsia" w:cs="Calibri"/>
                <w:iCs/>
                <w:color w:val="FFFFFF"/>
                <w:szCs w:val="18"/>
                <w:lang w:eastAsia="en-AU"/>
              </w:rPr>
              <w:br/>
            </w:r>
            <w:r w:rsidRPr="006F02B5">
              <w:rPr>
                <w:rFonts w:eastAsiaTheme="minorEastAsia" w:cs="Calibri"/>
                <w:iCs/>
                <w:color w:val="FFFFFF"/>
                <w:szCs w:val="18"/>
                <w:lang w:eastAsia="en-AU"/>
              </w:rPr>
              <w:t>30 Jun</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5 697</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Cultural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5 770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5 780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5 788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(209)</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Accumulated depreciation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(154)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(158)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(178)</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5 488</w:t>
            </w:r>
          </w:p>
        </w:tc>
        <w:tc>
          <w:tcPr>
            <w:tcW w:w="6009"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cultural assets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5 617</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5 622</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5 610</w:t>
            </w:r>
          </w:p>
        </w:tc>
      </w:tr>
    </w:tbl>
    <w:p w:rsidR="005B4BA6" w:rsidRDefault="005B4BA6" w:rsidP="006F02B5"/>
    <w:p w:rsidR="00C570E4" w:rsidRPr="005B4BA6" w:rsidRDefault="00C570E4" w:rsidP="005B4BA6"/>
    <w:p w:rsidR="005B4BA6" w:rsidRDefault="005B4BA6" w:rsidP="005B4BA6">
      <w:pPr>
        <w:pStyle w:val="Heading2"/>
      </w:pPr>
      <w:r>
        <w:t>Other non-financial assets</w:t>
      </w:r>
    </w:p>
    <w:p w:rsidR="006F02B5" w:rsidRPr="006F02B5" w:rsidRDefault="009854A4" w:rsidP="006F02B5">
      <w:pPr>
        <w:pStyle w:val="TableUnits"/>
        <w:rPr>
          <w:bCs/>
          <w:lang w:val="en-US"/>
        </w:rPr>
      </w:pPr>
      <w:r>
        <w:t>($ million)</w:t>
      </w:r>
    </w:p>
    <w:tbl>
      <w:tblPr>
        <w:tblStyle w:val="DTFTable"/>
        <w:tblW w:w="9637" w:type="dxa"/>
        <w:tblInd w:w="45" w:type="dxa"/>
        <w:tblLayout w:type="fixed"/>
        <w:tblCellMar>
          <w:left w:w="45" w:type="dxa"/>
          <w:right w:w="45" w:type="dxa"/>
        </w:tblCellMar>
        <w:tblLook w:val="0620" w:firstRow="1" w:lastRow="0" w:firstColumn="0" w:lastColumn="0" w:noHBand="1" w:noVBand="1"/>
      </w:tblPr>
      <w:tblGrid>
        <w:gridCol w:w="907"/>
        <w:gridCol w:w="6009"/>
        <w:gridCol w:w="907"/>
        <w:gridCol w:w="907"/>
        <w:gridCol w:w="907"/>
      </w:tblGrid>
      <w:tr w:rsidR="00921AE6"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2017-18</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r>
      <w:tr w:rsidR="00921AE6" w:rsidRPr="006F02B5" w:rsidTr="008C5D0F">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opening</w:t>
            </w:r>
            <w:r>
              <w:rPr>
                <w:rFonts w:eastAsiaTheme="minorEastAsia" w:cs="Calibri"/>
                <w:iCs/>
                <w:color w:val="FFFFFF"/>
                <w:szCs w:val="18"/>
                <w:lang w:eastAsia="en-AU"/>
              </w:rPr>
              <w:br/>
            </w:r>
            <w:r w:rsidRPr="006F02B5">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budget</w:t>
            </w:r>
            <w:r>
              <w:rPr>
                <w:rFonts w:eastAsiaTheme="minorEastAsia" w:cs="Calibri"/>
                <w:iCs/>
                <w:color w:val="FFFFFF"/>
                <w:szCs w:val="18"/>
                <w:lang w:eastAsia="en-AU"/>
              </w:rPr>
              <w:br/>
            </w:r>
            <w:r w:rsidRPr="006F02B5">
              <w:rPr>
                <w:rFonts w:eastAsiaTheme="minorEastAsia" w:cs="Calibri"/>
                <w:iCs/>
                <w:color w:val="FFFFFF"/>
                <w:szCs w:val="18"/>
                <w:lang w:eastAsia="en-AU"/>
              </w:rPr>
              <w:t>30 Jun</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1 538</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vertAlign w:val="superscript"/>
                <w:lang w:eastAsia="en-AU"/>
              </w:rPr>
            </w:pPr>
            <w:r w:rsidRPr="006F02B5">
              <w:rPr>
                <w:rFonts w:eastAsiaTheme="minorEastAsia" w:cs="Arial"/>
                <w:color w:val="000000"/>
                <w:szCs w:val="18"/>
                <w:lang w:eastAsia="en-AU"/>
              </w:rPr>
              <w:t xml:space="preserve">Intangible produced assets </w:t>
            </w:r>
            <w:r w:rsidRPr="006F02B5">
              <w:rPr>
                <w:rFonts w:eastAsiaTheme="minorEastAsia" w:cs="Arial"/>
                <w:color w:val="000000"/>
                <w:szCs w:val="18"/>
                <w:vertAlign w:val="superscript"/>
                <w:lang w:eastAsia="en-AU"/>
              </w:rPr>
              <w:t>(a)</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1 685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1 710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1 748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(799)</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Accumulated depreciation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(872)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(903)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(985)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110</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 xml:space="preserve">Intangible non-produced assets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117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118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105</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(37)</w:t>
            </w:r>
          </w:p>
        </w:tc>
        <w:tc>
          <w:tcPr>
            <w:tcW w:w="6009" w:type="dxa"/>
            <w:tcBorders>
              <w:top w:val="nil"/>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Accumulated amortisation</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(32)</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Pr>
                <w:rFonts w:eastAsiaTheme="minorEastAsia" w:cs="Arial"/>
                <w:b/>
                <w:bCs/>
                <w:color w:val="000000"/>
                <w:szCs w:val="18"/>
                <w:lang w:eastAsia="en-AU"/>
              </w:rPr>
              <w:t>812</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vertAlign w:val="superscript"/>
                <w:lang w:eastAsia="en-AU"/>
              </w:rPr>
            </w:pPr>
            <w:r w:rsidRPr="006F02B5">
              <w:rPr>
                <w:rFonts w:eastAsiaTheme="minorEastAsia" w:cs="Arial"/>
                <w:b/>
                <w:bCs/>
                <w:color w:val="000000"/>
                <w:szCs w:val="18"/>
                <w:lang w:eastAsia="en-AU"/>
              </w:rPr>
              <w:t xml:space="preserve">Total intangibles </w:t>
            </w:r>
            <w:r w:rsidRPr="006F02B5">
              <w:rPr>
                <w:rFonts w:eastAsiaTheme="minorEastAsia" w:cs="Arial"/>
                <w:b/>
                <w:bCs/>
                <w:color w:val="000000"/>
                <w:szCs w:val="18"/>
                <w:vertAlign w:val="superscript"/>
                <w:lang w:eastAsia="en-AU"/>
              </w:rPr>
              <w:t>(a)</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898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891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823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151</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Investment properties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177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183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2</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Biological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654</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Other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414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873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484</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1 619</w:t>
            </w:r>
          </w:p>
        </w:tc>
        <w:tc>
          <w:tcPr>
            <w:tcW w:w="6009"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vertAlign w:val="superscript"/>
                <w:lang w:eastAsia="en-AU"/>
              </w:rPr>
            </w:pPr>
            <w:r w:rsidRPr="006F02B5">
              <w:rPr>
                <w:rFonts w:eastAsiaTheme="minorEastAsia" w:cs="Arial"/>
                <w:b/>
                <w:bCs/>
                <w:color w:val="000000"/>
                <w:szCs w:val="18"/>
                <w:lang w:eastAsia="en-AU"/>
              </w:rPr>
              <w:t xml:space="preserve">Total other non-financial assets </w:t>
            </w:r>
            <w:r w:rsidRPr="006F02B5">
              <w:rPr>
                <w:rFonts w:eastAsiaTheme="minorEastAsia" w:cs="Arial"/>
                <w:b/>
                <w:bCs/>
                <w:color w:val="000000"/>
                <w:szCs w:val="18"/>
                <w:vertAlign w:val="superscript"/>
                <w:lang w:eastAsia="en-AU"/>
              </w:rPr>
              <w:t>(a)</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1 494</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1 944</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1 495</w:t>
            </w:r>
          </w:p>
        </w:tc>
      </w:tr>
    </w:tbl>
    <w:p w:rsidR="00E369C4" w:rsidRDefault="00E369C4" w:rsidP="006F02B5">
      <w:pPr>
        <w:pStyle w:val="Note"/>
      </w:pPr>
      <w:r>
        <w:t>Note:</w:t>
      </w:r>
    </w:p>
    <w:p w:rsidR="005B4BA6" w:rsidRDefault="00E369C4" w:rsidP="00E369C4">
      <w:pPr>
        <w:pStyle w:val="Note"/>
      </w:pPr>
      <w:r>
        <w:t>(a)</w:t>
      </w:r>
      <w:r>
        <w:tab/>
        <w:t>September</w:t>
      </w:r>
      <w:r w:rsidR="005C3106">
        <w:t xml:space="preserve"> </w:t>
      </w:r>
      <w:r>
        <w:t xml:space="preserve">2016 comparative figures </w:t>
      </w:r>
      <w:r w:rsidR="00466E7D">
        <w:t>have been restated to reflect a subsequent</w:t>
      </w:r>
      <w:r>
        <w:t xml:space="preserve"> adjustment to the Department of Environment, Land, Water and Planning</w:t>
      </w:r>
      <w:r w:rsidR="000D716D">
        <w:t>’</w:t>
      </w:r>
      <w:r>
        <w:t xml:space="preserve">s intangible produced assets due to the first-time recognition of </w:t>
      </w:r>
      <w:r w:rsidR="00466E7D">
        <w:t>Renewable Energy Certificates in 2016-17.</w:t>
      </w:r>
    </w:p>
    <w:p w:rsidR="00C570E4" w:rsidRDefault="00C570E4" w:rsidP="00C570E4"/>
    <w:p w:rsidR="00C570E4" w:rsidRPr="00E369C4" w:rsidRDefault="00C570E4" w:rsidP="00C570E4"/>
    <w:p w:rsidR="005B4BA6" w:rsidRDefault="00180823" w:rsidP="005B4BA6">
      <w:pPr>
        <w:pStyle w:val="Heading2"/>
      </w:pPr>
      <w:r>
        <w:t>Total assets by govern</w:t>
      </w:r>
      <w:r w:rsidR="005B4BA6">
        <w:t>ment purpose classification</w:t>
      </w:r>
    </w:p>
    <w:p w:rsidR="00025107" w:rsidRPr="00025107" w:rsidRDefault="00F63115" w:rsidP="00025107">
      <w:pPr>
        <w:pStyle w:val="TableUnits"/>
        <w:rPr>
          <w:bCs/>
          <w:lang w:val="en-US"/>
        </w:rPr>
      </w:pPr>
      <w:r>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921AE6" w:rsidRPr="00025107"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921AE6" w:rsidRPr="00025107" w:rsidRDefault="00921AE6" w:rsidP="00921AE6">
            <w:pPr>
              <w:autoSpaceDE w:val="0"/>
              <w:autoSpaceDN w:val="0"/>
              <w:adjustRightInd w:val="0"/>
              <w:rPr>
                <w:rFonts w:eastAsiaTheme="minorEastAsia" w:cs="Calibri"/>
                <w:iCs/>
                <w:color w:val="FFFFFF"/>
                <w:szCs w:val="20"/>
                <w:lang w:eastAsia="en-AU"/>
              </w:rPr>
            </w:pPr>
            <w:r w:rsidRPr="00025107">
              <w:rPr>
                <w:rFonts w:eastAsiaTheme="minorEastAsia" w:cs="Calibri"/>
                <w:iCs/>
                <w:color w:val="FFFFFF"/>
                <w:szCs w:val="20"/>
                <w:lang w:eastAsia="en-AU"/>
              </w:rPr>
              <w:t>2016-17</w:t>
            </w:r>
            <w:r>
              <w:rPr>
                <w:rFonts w:eastAsiaTheme="minorEastAsia" w:cs="Calibri"/>
                <w:iCs/>
                <w:color w:val="FFFFFF"/>
                <w:szCs w:val="20"/>
                <w:lang w:eastAsia="en-AU"/>
              </w:rPr>
              <w:br/>
            </w:r>
            <w:r w:rsidRPr="00025107">
              <w:rPr>
                <w:rFonts w:eastAsiaTheme="minorEastAsia" w:cs="Calibri"/>
                <w:iCs/>
                <w:color w:val="FFFFFF"/>
                <w:szCs w:val="20"/>
                <w:lang w:eastAsia="en-AU"/>
              </w:rPr>
              <w:t xml:space="preserve">actual </w:t>
            </w:r>
            <w:r>
              <w:rPr>
                <w:rFonts w:eastAsiaTheme="minorEastAsia" w:cs="Calibri"/>
                <w:iCs/>
                <w:color w:val="FFFFFF"/>
                <w:szCs w:val="20"/>
                <w:lang w:eastAsia="en-AU"/>
              </w:rPr>
              <w:br/>
            </w:r>
            <w:r w:rsidRPr="00025107">
              <w:rPr>
                <w:rFonts w:eastAsiaTheme="minorEastAsia" w:cs="Calibri"/>
                <w:iCs/>
                <w:color w:val="FFFFFF"/>
                <w:szCs w:val="20"/>
                <w:lang w:eastAsia="en-AU"/>
              </w:rPr>
              <w:t>30 Sep</w:t>
            </w:r>
          </w:p>
        </w:tc>
        <w:tc>
          <w:tcPr>
            <w:tcW w:w="6917" w:type="dxa"/>
            <w:vMerge w:val="restart"/>
            <w:tcBorders>
              <w:top w:val="nil"/>
              <w:left w:val="nil"/>
              <w:right w:val="nil"/>
            </w:tcBorders>
            <w:shd w:val="solid" w:color="000000" w:fill="auto"/>
          </w:tcPr>
          <w:p w:rsidR="00921AE6" w:rsidRPr="00025107" w:rsidRDefault="00921AE6" w:rsidP="00025107">
            <w:pPr>
              <w:autoSpaceDE w:val="0"/>
              <w:autoSpaceDN w:val="0"/>
              <w:adjustRightInd w:val="0"/>
              <w:jc w:val="left"/>
              <w:rPr>
                <w:rFonts w:eastAsiaTheme="minorEastAsia" w:cs="Calibri"/>
                <w:iCs/>
                <w:color w:val="FFFFFF"/>
                <w:szCs w:val="20"/>
                <w:lang w:eastAsia="en-AU"/>
              </w:rPr>
            </w:pPr>
          </w:p>
        </w:tc>
        <w:tc>
          <w:tcPr>
            <w:tcW w:w="1814" w:type="dxa"/>
            <w:gridSpan w:val="2"/>
            <w:tcBorders>
              <w:top w:val="nil"/>
              <w:left w:val="nil"/>
              <w:bottom w:val="nil"/>
              <w:right w:val="nil"/>
            </w:tcBorders>
            <w:shd w:val="solid" w:color="000000" w:fill="auto"/>
          </w:tcPr>
          <w:p w:rsidR="00921AE6" w:rsidRPr="00025107" w:rsidRDefault="00921AE6" w:rsidP="00025107">
            <w:pPr>
              <w:autoSpaceDE w:val="0"/>
              <w:autoSpaceDN w:val="0"/>
              <w:adjustRightInd w:val="0"/>
              <w:jc w:val="center"/>
              <w:rPr>
                <w:rFonts w:eastAsiaTheme="minorEastAsia" w:cs="Calibri"/>
                <w:iCs/>
                <w:color w:val="FFFFFF"/>
                <w:szCs w:val="20"/>
                <w:lang w:eastAsia="en-AU"/>
              </w:rPr>
            </w:pPr>
            <w:r w:rsidRPr="00025107">
              <w:rPr>
                <w:rFonts w:eastAsiaTheme="minorEastAsia" w:cs="Calibri"/>
                <w:iCs/>
                <w:color w:val="FFFFFF"/>
                <w:szCs w:val="20"/>
                <w:lang w:eastAsia="en-AU"/>
              </w:rPr>
              <w:t>2017-18</w:t>
            </w:r>
          </w:p>
        </w:tc>
      </w:tr>
      <w:tr w:rsidR="00921AE6" w:rsidRPr="00025107" w:rsidTr="008041B0">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bottom w:val="nil"/>
              <w:right w:val="nil"/>
            </w:tcBorders>
            <w:shd w:val="solid" w:color="000000" w:fill="auto"/>
          </w:tcPr>
          <w:p w:rsidR="00921AE6" w:rsidRPr="00025107" w:rsidRDefault="00921AE6" w:rsidP="00025107">
            <w:pPr>
              <w:autoSpaceDE w:val="0"/>
              <w:autoSpaceDN w:val="0"/>
              <w:adjustRightInd w:val="0"/>
              <w:rPr>
                <w:rFonts w:eastAsiaTheme="minorEastAsia" w:cs="Calibri"/>
                <w:iCs/>
                <w:color w:val="FFFFFF"/>
                <w:szCs w:val="20"/>
                <w:lang w:eastAsia="en-AU"/>
              </w:rPr>
            </w:pPr>
          </w:p>
        </w:tc>
        <w:tc>
          <w:tcPr>
            <w:tcW w:w="6917" w:type="dxa"/>
            <w:vMerge/>
            <w:tcBorders>
              <w:left w:val="nil"/>
              <w:bottom w:val="nil"/>
              <w:right w:val="nil"/>
            </w:tcBorders>
            <w:shd w:val="solid" w:color="000000" w:fill="auto"/>
          </w:tcPr>
          <w:p w:rsidR="00921AE6" w:rsidRPr="00025107" w:rsidRDefault="00921AE6" w:rsidP="00025107">
            <w:pPr>
              <w:autoSpaceDE w:val="0"/>
              <w:autoSpaceDN w:val="0"/>
              <w:adjustRightInd w:val="0"/>
              <w:jc w:val="left"/>
              <w:rPr>
                <w:rFonts w:eastAsiaTheme="minorEastAsia" w:cs="Calibri"/>
                <w:iCs/>
                <w:color w:val="FFFFFF"/>
                <w:szCs w:val="20"/>
                <w:lang w:eastAsia="en-AU"/>
              </w:rPr>
            </w:pPr>
          </w:p>
        </w:tc>
        <w:tc>
          <w:tcPr>
            <w:tcW w:w="907" w:type="dxa"/>
            <w:tcBorders>
              <w:top w:val="nil"/>
              <w:left w:val="nil"/>
              <w:bottom w:val="nil"/>
              <w:right w:val="nil"/>
            </w:tcBorders>
            <w:shd w:val="solid" w:color="000000" w:fill="auto"/>
          </w:tcPr>
          <w:p w:rsidR="00921AE6" w:rsidRPr="00025107" w:rsidRDefault="00921AE6" w:rsidP="00025107">
            <w:pPr>
              <w:autoSpaceDE w:val="0"/>
              <w:autoSpaceDN w:val="0"/>
              <w:adjustRightInd w:val="0"/>
              <w:rPr>
                <w:rFonts w:eastAsiaTheme="minorEastAsia" w:cs="Calibri"/>
                <w:iCs/>
                <w:color w:val="FFFFFF"/>
                <w:szCs w:val="20"/>
                <w:lang w:eastAsia="en-AU"/>
              </w:rPr>
            </w:pPr>
            <w:r w:rsidRPr="00025107">
              <w:rPr>
                <w:rFonts w:eastAsiaTheme="minorEastAsia" w:cs="Calibri"/>
                <w:iCs/>
                <w:color w:val="FFFFFF"/>
                <w:szCs w:val="20"/>
                <w:lang w:eastAsia="en-AU"/>
              </w:rPr>
              <w:t xml:space="preserve">actual </w:t>
            </w:r>
          </w:p>
          <w:p w:rsidR="00921AE6" w:rsidRPr="00025107" w:rsidRDefault="00921AE6" w:rsidP="00025107">
            <w:pPr>
              <w:autoSpaceDE w:val="0"/>
              <w:autoSpaceDN w:val="0"/>
              <w:adjustRightInd w:val="0"/>
              <w:rPr>
                <w:rFonts w:eastAsiaTheme="minorEastAsia" w:cs="Calibri"/>
                <w:iCs/>
                <w:color w:val="FFFFFF"/>
                <w:szCs w:val="20"/>
                <w:lang w:eastAsia="en-AU"/>
              </w:rPr>
            </w:pPr>
            <w:r w:rsidRPr="00025107">
              <w:rPr>
                <w:rFonts w:eastAsiaTheme="minorEastAsia" w:cs="Calibri"/>
                <w:iCs/>
                <w:color w:val="FFFFFF"/>
                <w:szCs w:val="20"/>
                <w:lang w:eastAsia="en-AU"/>
              </w:rPr>
              <w:t>30 Sep</w:t>
            </w:r>
          </w:p>
        </w:tc>
        <w:tc>
          <w:tcPr>
            <w:tcW w:w="907" w:type="dxa"/>
            <w:tcBorders>
              <w:top w:val="nil"/>
              <w:left w:val="nil"/>
              <w:bottom w:val="nil"/>
              <w:right w:val="nil"/>
            </w:tcBorders>
            <w:shd w:val="solid" w:color="000000" w:fill="auto"/>
          </w:tcPr>
          <w:p w:rsidR="00921AE6" w:rsidRPr="00025107" w:rsidRDefault="00921AE6" w:rsidP="00025107">
            <w:pPr>
              <w:autoSpaceDE w:val="0"/>
              <w:autoSpaceDN w:val="0"/>
              <w:adjustRightInd w:val="0"/>
              <w:rPr>
                <w:rFonts w:eastAsiaTheme="minorEastAsia" w:cs="Calibri"/>
                <w:iCs/>
                <w:color w:val="FFFFFF"/>
                <w:szCs w:val="20"/>
                <w:lang w:eastAsia="en-AU"/>
              </w:rPr>
            </w:pPr>
            <w:r w:rsidRPr="00025107">
              <w:rPr>
                <w:rFonts w:eastAsiaTheme="minorEastAsia" w:cs="Calibri"/>
                <w:iCs/>
                <w:color w:val="FFFFFF"/>
                <w:szCs w:val="20"/>
                <w:lang w:eastAsia="en-AU"/>
              </w:rPr>
              <w:t xml:space="preserve">budget  </w:t>
            </w:r>
          </w:p>
          <w:p w:rsidR="00921AE6" w:rsidRPr="00025107" w:rsidRDefault="00921AE6" w:rsidP="00025107">
            <w:pPr>
              <w:autoSpaceDE w:val="0"/>
              <w:autoSpaceDN w:val="0"/>
              <w:adjustRightInd w:val="0"/>
              <w:rPr>
                <w:rFonts w:eastAsiaTheme="minorEastAsia" w:cs="Calibri"/>
                <w:iCs/>
                <w:color w:val="FFFFFF"/>
                <w:szCs w:val="20"/>
                <w:lang w:eastAsia="en-AU"/>
              </w:rPr>
            </w:pPr>
            <w:r w:rsidRPr="00025107">
              <w:rPr>
                <w:rFonts w:eastAsiaTheme="minorEastAsia" w:cs="Calibri"/>
                <w:iCs/>
                <w:color w:val="FFFFFF"/>
                <w:szCs w:val="20"/>
                <w:lang w:eastAsia="en-AU"/>
              </w:rPr>
              <w:t>30 Jun</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1 613</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General public services</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2 215</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2 032</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8 179</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vertAlign w:val="superscript"/>
                <w:lang w:eastAsia="en-AU"/>
              </w:rPr>
            </w:pPr>
            <w:r w:rsidRPr="00025107">
              <w:rPr>
                <w:rFonts w:eastAsiaTheme="minorEastAsia" w:cs="Calibri"/>
                <w:color w:val="000000"/>
                <w:szCs w:val="20"/>
                <w:lang w:eastAsia="en-AU"/>
              </w:rPr>
              <w:t xml:space="preserve">Public order and safety </w:t>
            </w:r>
            <w:r w:rsidRPr="00025107">
              <w:rPr>
                <w:rFonts w:eastAsiaTheme="minorEastAsia" w:cs="Calibri"/>
                <w:color w:val="000000"/>
                <w:szCs w:val="20"/>
                <w:vertAlign w:val="superscript"/>
                <w:lang w:eastAsia="en-AU"/>
              </w:rPr>
              <w:t>(a)</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8 349</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9 684</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22 075</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Education</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22 810</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23 460</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13 998</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Health</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14 789</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14 804</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2 075</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 xml:space="preserve">Social security and welfare </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2 195</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2 183</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9 495</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vertAlign w:val="superscript"/>
                <w:lang w:eastAsia="en-AU"/>
              </w:rPr>
            </w:pPr>
            <w:r w:rsidRPr="00025107">
              <w:rPr>
                <w:rFonts w:eastAsiaTheme="minorEastAsia" w:cs="Calibri"/>
                <w:color w:val="000000"/>
                <w:szCs w:val="20"/>
                <w:lang w:eastAsia="en-AU"/>
              </w:rPr>
              <w:t xml:space="preserve">Housing and community amenities </w:t>
            </w:r>
            <w:r w:rsidRPr="00025107">
              <w:rPr>
                <w:rFonts w:eastAsiaTheme="minorEastAsia" w:cs="Calibri"/>
                <w:color w:val="000000"/>
                <w:szCs w:val="20"/>
                <w:vertAlign w:val="superscript"/>
                <w:lang w:eastAsia="en-AU"/>
              </w:rPr>
              <w:t>(a)(b)</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9 744</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9 897</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8 806</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Recreation and culture</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9 540</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9 545</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25</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Fuel and energy</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38</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25</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601</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Agriculture, forestry, fishing, and hunting</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450</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504</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48 872</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Transport and communications</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54 092</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58 327</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534</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Other economic affairs</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518</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532</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2</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 xml:space="preserve">Other purposes </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6</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6</w:t>
            </w:r>
          </w:p>
        </w:tc>
      </w:tr>
      <w:tr w:rsidR="00025107" w:rsidRPr="00025107" w:rsidTr="00025107">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112 832</w:t>
            </w:r>
          </w:p>
        </w:tc>
        <w:tc>
          <w:tcPr>
            <w:tcW w:w="6917" w:type="dxa"/>
            <w:tcBorders>
              <w:top w:val="nil"/>
              <w:left w:val="nil"/>
              <w:bottom w:val="nil"/>
              <w:right w:val="nil"/>
            </w:tcBorders>
          </w:tcPr>
          <w:p w:rsidR="00025107" w:rsidRPr="00025107" w:rsidRDefault="00025107" w:rsidP="00025107">
            <w:pPr>
              <w:autoSpaceDE w:val="0"/>
              <w:autoSpaceDN w:val="0"/>
              <w:adjustRightInd w:val="0"/>
              <w:ind w:left="227" w:hanging="113"/>
              <w:jc w:val="left"/>
              <w:rPr>
                <w:rFonts w:eastAsiaTheme="minorEastAsia" w:cs="Calibri"/>
                <w:color w:val="000000"/>
                <w:szCs w:val="20"/>
                <w:lang w:eastAsia="en-AU"/>
              </w:rPr>
            </w:pPr>
            <w:r w:rsidRPr="00025107">
              <w:rPr>
                <w:rFonts w:eastAsiaTheme="minorEastAsia" w:cs="Calibri"/>
                <w:color w:val="000000"/>
                <w:szCs w:val="20"/>
                <w:lang w:eastAsia="en-AU"/>
              </w:rPr>
              <w:t xml:space="preserve">Not allocated by purpose </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119 828</w:t>
            </w:r>
          </w:p>
        </w:tc>
        <w:tc>
          <w:tcPr>
            <w:tcW w:w="907" w:type="dxa"/>
            <w:tcBorders>
              <w:top w:val="nil"/>
              <w:left w:val="nil"/>
              <w:bottom w:val="nil"/>
              <w:right w:val="nil"/>
            </w:tcBorders>
          </w:tcPr>
          <w:p w:rsidR="00025107" w:rsidRPr="00025107" w:rsidRDefault="00025107" w:rsidP="00025107">
            <w:pPr>
              <w:autoSpaceDE w:val="0"/>
              <w:autoSpaceDN w:val="0"/>
              <w:adjustRightInd w:val="0"/>
              <w:rPr>
                <w:rFonts w:eastAsiaTheme="minorEastAsia" w:cs="Calibri"/>
                <w:color w:val="000000"/>
                <w:szCs w:val="20"/>
                <w:lang w:eastAsia="en-AU"/>
              </w:rPr>
            </w:pPr>
            <w:r w:rsidRPr="00025107">
              <w:rPr>
                <w:rFonts w:eastAsiaTheme="minorEastAsia" w:cs="Calibri"/>
                <w:color w:val="000000"/>
                <w:szCs w:val="20"/>
                <w:lang w:eastAsia="en-AU"/>
              </w:rPr>
              <w:t>119 854</w:t>
            </w:r>
          </w:p>
        </w:tc>
      </w:tr>
      <w:tr w:rsidR="00025107" w:rsidRPr="00025107" w:rsidTr="00025107">
        <w:tc>
          <w:tcPr>
            <w:tcW w:w="907" w:type="dxa"/>
            <w:tcBorders>
              <w:top w:val="single" w:sz="6" w:space="0" w:color="auto"/>
              <w:left w:val="nil"/>
              <w:bottom w:val="single" w:sz="12" w:space="0" w:color="auto"/>
              <w:right w:val="nil"/>
            </w:tcBorders>
          </w:tcPr>
          <w:p w:rsidR="00025107" w:rsidRPr="00025107" w:rsidRDefault="00025107" w:rsidP="00025107">
            <w:pPr>
              <w:autoSpaceDE w:val="0"/>
              <w:autoSpaceDN w:val="0"/>
              <w:adjustRightInd w:val="0"/>
              <w:rPr>
                <w:rFonts w:eastAsiaTheme="minorEastAsia" w:cs="Calibri"/>
                <w:b/>
                <w:bCs/>
                <w:color w:val="000000"/>
                <w:szCs w:val="20"/>
                <w:lang w:eastAsia="en-AU"/>
              </w:rPr>
            </w:pPr>
            <w:r w:rsidRPr="00025107">
              <w:rPr>
                <w:rFonts w:eastAsiaTheme="minorEastAsia" w:cs="Calibri"/>
                <w:b/>
                <w:bCs/>
                <w:color w:val="000000"/>
                <w:szCs w:val="20"/>
                <w:lang w:eastAsia="en-AU"/>
              </w:rPr>
              <w:t>229 106</w:t>
            </w:r>
          </w:p>
        </w:tc>
        <w:tc>
          <w:tcPr>
            <w:tcW w:w="6917" w:type="dxa"/>
            <w:tcBorders>
              <w:top w:val="single" w:sz="6" w:space="0" w:color="auto"/>
              <w:left w:val="nil"/>
              <w:bottom w:val="single" w:sz="12" w:space="0" w:color="auto"/>
              <w:right w:val="nil"/>
            </w:tcBorders>
          </w:tcPr>
          <w:p w:rsidR="00025107" w:rsidRPr="00025107" w:rsidRDefault="00025107" w:rsidP="00025107">
            <w:pPr>
              <w:autoSpaceDE w:val="0"/>
              <w:autoSpaceDN w:val="0"/>
              <w:adjustRightInd w:val="0"/>
              <w:ind w:left="227" w:hanging="113"/>
              <w:jc w:val="left"/>
              <w:rPr>
                <w:rFonts w:eastAsiaTheme="minorEastAsia" w:cs="Calibri"/>
                <w:b/>
                <w:bCs/>
                <w:color w:val="000000"/>
                <w:szCs w:val="20"/>
                <w:vertAlign w:val="superscript"/>
                <w:lang w:eastAsia="en-AU"/>
              </w:rPr>
            </w:pPr>
            <w:r w:rsidRPr="00025107">
              <w:rPr>
                <w:rFonts w:eastAsiaTheme="minorEastAsia" w:cs="Calibri"/>
                <w:b/>
                <w:bCs/>
                <w:color w:val="000000"/>
                <w:szCs w:val="20"/>
                <w:lang w:eastAsia="en-AU"/>
              </w:rPr>
              <w:t xml:space="preserve">Total assets </w:t>
            </w:r>
            <w:r w:rsidRPr="00025107">
              <w:rPr>
                <w:rFonts w:eastAsiaTheme="minorEastAsia" w:cs="Calibri"/>
                <w:b/>
                <w:bCs/>
                <w:color w:val="000000"/>
                <w:szCs w:val="20"/>
                <w:vertAlign w:val="superscript"/>
                <w:lang w:eastAsia="en-AU"/>
              </w:rPr>
              <w:t>(b)</w:t>
            </w:r>
          </w:p>
        </w:tc>
        <w:tc>
          <w:tcPr>
            <w:tcW w:w="907" w:type="dxa"/>
            <w:tcBorders>
              <w:top w:val="single" w:sz="6" w:space="0" w:color="auto"/>
              <w:left w:val="nil"/>
              <w:bottom w:val="single" w:sz="12" w:space="0" w:color="auto"/>
              <w:right w:val="nil"/>
            </w:tcBorders>
          </w:tcPr>
          <w:p w:rsidR="00025107" w:rsidRPr="00025107" w:rsidRDefault="00025107" w:rsidP="00025107">
            <w:pPr>
              <w:autoSpaceDE w:val="0"/>
              <w:autoSpaceDN w:val="0"/>
              <w:adjustRightInd w:val="0"/>
              <w:rPr>
                <w:rFonts w:eastAsiaTheme="minorEastAsia" w:cs="Calibri"/>
                <w:b/>
                <w:bCs/>
                <w:color w:val="000000"/>
                <w:szCs w:val="20"/>
                <w:lang w:eastAsia="en-AU"/>
              </w:rPr>
            </w:pPr>
            <w:r w:rsidRPr="00025107">
              <w:rPr>
                <w:rFonts w:eastAsiaTheme="minorEastAsia" w:cs="Calibri"/>
                <w:b/>
                <w:bCs/>
                <w:color w:val="000000"/>
                <w:szCs w:val="20"/>
                <w:lang w:eastAsia="en-AU"/>
              </w:rPr>
              <w:t>244 573</w:t>
            </w:r>
          </w:p>
        </w:tc>
        <w:tc>
          <w:tcPr>
            <w:tcW w:w="907" w:type="dxa"/>
            <w:tcBorders>
              <w:top w:val="single" w:sz="6" w:space="0" w:color="auto"/>
              <w:left w:val="nil"/>
              <w:bottom w:val="single" w:sz="12" w:space="0" w:color="auto"/>
              <w:right w:val="nil"/>
            </w:tcBorders>
          </w:tcPr>
          <w:p w:rsidR="00025107" w:rsidRPr="00025107" w:rsidRDefault="00025107" w:rsidP="00025107">
            <w:pPr>
              <w:autoSpaceDE w:val="0"/>
              <w:autoSpaceDN w:val="0"/>
              <w:adjustRightInd w:val="0"/>
              <w:rPr>
                <w:rFonts w:eastAsiaTheme="minorEastAsia" w:cs="Calibri"/>
                <w:b/>
                <w:bCs/>
                <w:color w:val="000000"/>
                <w:szCs w:val="20"/>
                <w:lang w:eastAsia="en-AU"/>
              </w:rPr>
            </w:pPr>
            <w:r w:rsidRPr="00025107">
              <w:rPr>
                <w:rFonts w:eastAsiaTheme="minorEastAsia" w:cs="Calibri"/>
                <w:b/>
                <w:bCs/>
                <w:color w:val="000000"/>
                <w:szCs w:val="20"/>
                <w:lang w:eastAsia="en-AU"/>
              </w:rPr>
              <w:t>250 854</w:t>
            </w:r>
          </w:p>
        </w:tc>
      </w:tr>
    </w:tbl>
    <w:p w:rsidR="002D0ADC" w:rsidRDefault="002D0ADC" w:rsidP="00025107">
      <w:pPr>
        <w:pStyle w:val="Note"/>
      </w:pPr>
      <w:r>
        <w:t>Note</w:t>
      </w:r>
      <w:r w:rsidR="0036376A">
        <w:t>s</w:t>
      </w:r>
      <w:r>
        <w:t>:</w:t>
      </w:r>
    </w:p>
    <w:p w:rsidR="0036376A" w:rsidRDefault="0036376A" w:rsidP="0036376A">
      <w:pPr>
        <w:pStyle w:val="Note"/>
      </w:pPr>
      <w:r>
        <w:t>(a)</w:t>
      </w:r>
      <w:r>
        <w:tab/>
        <w:t>September 2016 comparative figures for</w:t>
      </w:r>
      <w:r w:rsidR="00F619DB">
        <w:t xml:space="preserve"> total assets have been reclassified</w:t>
      </w:r>
      <w:r>
        <w:t xml:space="preserve"> to reflect more current information. </w:t>
      </w:r>
    </w:p>
    <w:p w:rsidR="005B4BA6" w:rsidRPr="002D0ADC" w:rsidRDefault="00466E7D" w:rsidP="002D0ADC">
      <w:pPr>
        <w:pStyle w:val="Note"/>
      </w:pPr>
      <w:r>
        <w:t>(b</w:t>
      </w:r>
      <w:r w:rsidR="002D0ADC">
        <w:t>)</w:t>
      </w:r>
      <w:r w:rsidR="002D0ADC">
        <w:tab/>
      </w:r>
      <w:r w:rsidR="00ED6855">
        <w:t xml:space="preserve">September </w:t>
      </w:r>
      <w:r w:rsidR="002D0ADC">
        <w:t xml:space="preserve">2016 comparative figures </w:t>
      </w:r>
      <w:r w:rsidR="0036376A">
        <w:t xml:space="preserve">have </w:t>
      </w:r>
      <w:r>
        <w:t>been restated to reflect a subsequent</w:t>
      </w:r>
      <w:r w:rsidR="002D0ADC">
        <w:t xml:space="preserve"> adjustment to the Department of Environment, Land, Water and Planning</w:t>
      </w:r>
      <w:r w:rsidR="000D716D">
        <w:t>’</w:t>
      </w:r>
      <w:r w:rsidR="002D0ADC">
        <w:t>s intangible produced assets due to the first-time recognition o</w:t>
      </w:r>
      <w:r>
        <w:t>f Renewable Energy Certificates in 2016-17.</w:t>
      </w:r>
      <w:r w:rsidR="002D0ADC">
        <w:t xml:space="preserve">  </w:t>
      </w:r>
    </w:p>
    <w:p w:rsidR="00EB22C5" w:rsidRPr="005B4BA6" w:rsidRDefault="00EB22C5" w:rsidP="005B4BA6"/>
    <w:p w:rsidR="00180823" w:rsidRDefault="00955520" w:rsidP="00955520">
      <w:pPr>
        <w:pStyle w:val="Heading1"/>
      </w:pPr>
      <w:bookmarkStart w:id="15" w:name="_Toc497376526"/>
      <w:r>
        <w:lastRenderedPageBreak/>
        <w:t>Other assets and liabilities</w:t>
      </w:r>
      <w:bookmarkEnd w:id="15"/>
    </w:p>
    <w:p w:rsidR="00C570E4" w:rsidRDefault="00C570E4" w:rsidP="005B4BA6">
      <w:pPr>
        <w:pStyle w:val="Heading20"/>
        <w:sectPr w:rsidR="00C570E4" w:rsidSect="00CE372B">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lastRenderedPageBreak/>
        <w:t>Introduction</w:t>
      </w:r>
    </w:p>
    <w:p w:rsidR="00B371AC" w:rsidRDefault="00B371AC" w:rsidP="00921AE6">
      <w:pPr>
        <w:ind w:right="-142"/>
      </w:pPr>
      <w:r w:rsidRPr="00B371AC">
        <w:t>This section sets out other assets and liabilities that arise from the general government sector</w:t>
      </w:r>
      <w:r w:rsidR="000D716D">
        <w:t>’</w:t>
      </w:r>
      <w:r w:rsidRPr="00B371AC">
        <w:t>s operations.</w:t>
      </w:r>
    </w:p>
    <w:p w:rsidR="00733171" w:rsidRPr="00B371AC" w:rsidRDefault="00733171" w:rsidP="00EA775F"/>
    <w:p w:rsidR="00C570E4" w:rsidRDefault="00C570E4" w:rsidP="00180823">
      <w:pPr>
        <w:sectPr w:rsidR="00C570E4" w:rsidSect="00CE372B">
          <w:type w:val="continuous"/>
          <w:pgSz w:w="11907" w:h="16839" w:code="9"/>
          <w:pgMar w:top="851" w:right="1134" w:bottom="851" w:left="1134" w:header="624" w:footer="567" w:gutter="0"/>
          <w:cols w:num="2" w:space="567"/>
          <w:docGrid w:linePitch="360"/>
        </w:sectPr>
      </w:pPr>
    </w:p>
    <w:p w:rsidR="005B4BA6" w:rsidRDefault="00180823" w:rsidP="005B4BA6">
      <w:pPr>
        <w:pStyle w:val="Heading2"/>
      </w:pPr>
      <w:r>
        <w:lastRenderedPageBreak/>
        <w:t>Receivables</w:t>
      </w:r>
    </w:p>
    <w:p w:rsidR="006F02B5" w:rsidRPr="006F02B5" w:rsidRDefault="00501E92" w:rsidP="006F02B5">
      <w:pPr>
        <w:pStyle w:val="TableUnits"/>
        <w:rPr>
          <w:bCs/>
          <w:lang w:val="en-US"/>
        </w:rPr>
      </w:pPr>
      <w:r>
        <w:t>($ million)</w:t>
      </w:r>
    </w:p>
    <w:tbl>
      <w:tblPr>
        <w:tblStyle w:val="DTFTable"/>
        <w:tblW w:w="9637" w:type="dxa"/>
        <w:tblInd w:w="45" w:type="dxa"/>
        <w:tblLayout w:type="fixed"/>
        <w:tblCellMar>
          <w:left w:w="45" w:type="dxa"/>
          <w:right w:w="45" w:type="dxa"/>
        </w:tblCellMar>
        <w:tblLook w:val="0620" w:firstRow="1" w:lastRow="0" w:firstColumn="0" w:lastColumn="0" w:noHBand="1" w:noVBand="1"/>
      </w:tblPr>
      <w:tblGrid>
        <w:gridCol w:w="907"/>
        <w:gridCol w:w="6009"/>
        <w:gridCol w:w="907"/>
        <w:gridCol w:w="907"/>
        <w:gridCol w:w="907"/>
      </w:tblGrid>
      <w:tr w:rsidR="00921AE6"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Helvetica"/>
                <w:iCs/>
                <w:color w:val="FFFFFF"/>
                <w:szCs w:val="18"/>
                <w:lang w:eastAsia="en-AU"/>
              </w:rPr>
            </w:pPr>
            <w:r w:rsidRPr="006F02B5">
              <w:rPr>
                <w:rFonts w:eastAsiaTheme="minorEastAsia" w:cs="Helvetica"/>
                <w:iCs/>
                <w:color w:val="FFFFFF"/>
                <w:szCs w:val="18"/>
                <w:lang w:eastAsia="en-AU"/>
              </w:rPr>
              <w:t>2016-17</w:t>
            </w:r>
            <w:r>
              <w:rPr>
                <w:rFonts w:eastAsiaTheme="minorEastAsia" w:cs="Helvetica"/>
                <w:iCs/>
                <w:color w:val="FFFFFF"/>
                <w:szCs w:val="18"/>
                <w:lang w:eastAsia="en-AU"/>
              </w:rPr>
              <w:br/>
            </w:r>
            <w:r w:rsidRPr="006F02B5">
              <w:rPr>
                <w:rFonts w:eastAsiaTheme="minorEastAsia" w:cs="Helvetica"/>
                <w:iCs/>
                <w:color w:val="FFFFFF"/>
                <w:szCs w:val="18"/>
                <w:lang w:eastAsia="en-AU"/>
              </w:rPr>
              <w:t>actual</w:t>
            </w:r>
            <w:r>
              <w:rPr>
                <w:rFonts w:eastAsiaTheme="minorEastAsia" w:cs="Helvetica"/>
                <w:iCs/>
                <w:color w:val="FFFFFF"/>
                <w:szCs w:val="18"/>
                <w:lang w:eastAsia="en-AU"/>
              </w:rPr>
              <w:br/>
            </w:r>
            <w:r w:rsidRPr="006F02B5">
              <w:rPr>
                <w:rFonts w:eastAsiaTheme="minorEastAsia" w:cs="Helvetica"/>
                <w:iCs/>
                <w:color w:val="FFFFFF"/>
                <w:szCs w:val="18"/>
                <w:lang w:eastAsia="en-AU"/>
              </w:rPr>
              <w:t>30 Sep</w:t>
            </w:r>
          </w:p>
        </w:tc>
        <w:tc>
          <w:tcPr>
            <w:tcW w:w="6009" w:type="dxa"/>
            <w:vMerge w:val="restart"/>
            <w:tcBorders>
              <w:top w:val="nil"/>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Helvetica"/>
                <w:iCs/>
                <w:color w:val="FFFFFF"/>
                <w:szCs w:val="18"/>
                <w:lang w:eastAsia="en-AU"/>
              </w:rPr>
            </w:pPr>
            <w:r w:rsidRPr="006F02B5">
              <w:rPr>
                <w:rFonts w:eastAsiaTheme="minorEastAsia" w:cs="Helvetica"/>
                <w:iCs/>
                <w:color w:val="FFFFFF"/>
                <w:szCs w:val="18"/>
                <w:lang w:eastAsia="en-AU"/>
              </w:rPr>
              <w:t>2017-18</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r>
      <w:tr w:rsidR="00921AE6" w:rsidRPr="006F02B5" w:rsidTr="008041B0">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921AE6" w:rsidRPr="006F02B5" w:rsidRDefault="00921AE6" w:rsidP="006F02B5">
            <w:pPr>
              <w:autoSpaceDE w:val="0"/>
              <w:autoSpaceDN w:val="0"/>
              <w:adjustRightInd w:val="0"/>
              <w:rPr>
                <w:rFonts w:eastAsiaTheme="minorEastAsia" w:cs="Helvetica"/>
                <w:iCs/>
                <w:color w:val="FFFFFF"/>
                <w:szCs w:val="18"/>
                <w:lang w:eastAsia="en-AU"/>
              </w:rPr>
            </w:pPr>
          </w:p>
        </w:tc>
        <w:tc>
          <w:tcPr>
            <w:tcW w:w="6009" w:type="dxa"/>
            <w:vMerge/>
            <w:tcBorders>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Helvetica"/>
                <w:iCs/>
                <w:color w:val="FFFFFF"/>
                <w:szCs w:val="18"/>
                <w:lang w:eastAsia="en-AU"/>
              </w:rPr>
            </w:pPr>
            <w:r w:rsidRPr="006F02B5">
              <w:rPr>
                <w:rFonts w:eastAsiaTheme="minorEastAsia" w:cs="Helvetica"/>
                <w:iCs/>
                <w:color w:val="FFFFFF"/>
                <w:szCs w:val="18"/>
                <w:lang w:eastAsia="en-AU"/>
              </w:rPr>
              <w:t>opening</w:t>
            </w:r>
            <w:r>
              <w:rPr>
                <w:rFonts w:eastAsiaTheme="minorEastAsia" w:cs="Helvetica"/>
                <w:iCs/>
                <w:color w:val="FFFFFF"/>
                <w:szCs w:val="18"/>
                <w:lang w:eastAsia="en-AU"/>
              </w:rPr>
              <w:br/>
            </w:r>
            <w:r w:rsidRPr="006F02B5">
              <w:rPr>
                <w:rFonts w:eastAsiaTheme="minorEastAsia" w:cs="Helvetica"/>
                <w:iCs/>
                <w:color w:val="FFFFFF"/>
                <w:szCs w:val="18"/>
                <w:lang w:eastAsia="en-AU"/>
              </w:rPr>
              <w:t>1 Jul</w:t>
            </w: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Helvetica"/>
                <w:iCs/>
                <w:color w:val="FFFFFF"/>
                <w:szCs w:val="18"/>
                <w:lang w:eastAsia="en-AU"/>
              </w:rPr>
            </w:pPr>
            <w:r w:rsidRPr="006F02B5">
              <w:rPr>
                <w:rFonts w:eastAsiaTheme="minorEastAsia" w:cs="Helvetica"/>
                <w:iCs/>
                <w:color w:val="FFFFFF"/>
                <w:szCs w:val="18"/>
                <w:lang w:eastAsia="en-AU"/>
              </w:rPr>
              <w:t>actual</w:t>
            </w:r>
            <w:r>
              <w:rPr>
                <w:rFonts w:eastAsiaTheme="minorEastAsia" w:cs="Helvetica"/>
                <w:iCs/>
                <w:color w:val="FFFFFF"/>
                <w:szCs w:val="18"/>
                <w:lang w:eastAsia="en-AU"/>
              </w:rPr>
              <w:br/>
            </w:r>
            <w:r w:rsidRPr="006F02B5">
              <w:rPr>
                <w:rFonts w:eastAsiaTheme="minorEastAsia" w:cs="Helvetica"/>
                <w:iCs/>
                <w:color w:val="FFFFFF"/>
                <w:szCs w:val="18"/>
                <w:lang w:eastAsia="en-AU"/>
              </w:rPr>
              <w:t>30 Sep</w:t>
            </w: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Helvetica"/>
                <w:iCs/>
                <w:color w:val="FFFFFF"/>
                <w:szCs w:val="18"/>
                <w:lang w:eastAsia="en-AU"/>
              </w:rPr>
            </w:pPr>
            <w:r w:rsidRPr="006F02B5">
              <w:rPr>
                <w:rFonts w:eastAsiaTheme="minorEastAsia" w:cs="Helvetica"/>
                <w:iCs/>
                <w:color w:val="FFFFFF"/>
                <w:szCs w:val="18"/>
                <w:lang w:eastAsia="en-AU"/>
              </w:rPr>
              <w:t>budget</w:t>
            </w:r>
            <w:r>
              <w:rPr>
                <w:rFonts w:eastAsiaTheme="minorEastAsia" w:cs="Helvetica"/>
                <w:iCs/>
                <w:color w:val="FFFFFF"/>
                <w:szCs w:val="18"/>
                <w:lang w:eastAsia="en-AU"/>
              </w:rPr>
              <w:br/>
            </w:r>
            <w:r w:rsidRPr="006F02B5">
              <w:rPr>
                <w:rFonts w:eastAsiaTheme="minorEastAsia" w:cs="Helvetica"/>
                <w:iCs/>
                <w:color w:val="FFFFFF"/>
                <w:szCs w:val="18"/>
                <w:lang w:eastAsia="en-AU"/>
              </w:rPr>
              <w:t>30 Jun</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Contractual</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843</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Sales of goods and services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598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736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605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16</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Accrued investment income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19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18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19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1 101</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Other receivables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1 169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1 138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1 148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(96)</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Provision for doubtful contractual receivables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(97)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(97)</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(97)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Statutory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5</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Sales of goods and services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2 646</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Taxes receivable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2 676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2 869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2 664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1 961</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Fines and regulatory fees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2 052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2 106</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2 337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253</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GST input tax credits recoverable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352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349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353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(864)</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Provision for doubtful statutory receivables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(838)</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(841)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(1 004)</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5 866</w:t>
            </w:r>
          </w:p>
        </w:tc>
        <w:tc>
          <w:tcPr>
            <w:tcW w:w="6009"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receivables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Helvetica"/>
                <w:b/>
                <w:bCs/>
                <w:color w:val="000000"/>
                <w:szCs w:val="18"/>
                <w:lang w:eastAsia="en-AU"/>
              </w:rPr>
            </w:pPr>
            <w:r w:rsidRPr="006F02B5">
              <w:rPr>
                <w:rFonts w:eastAsiaTheme="minorEastAsia" w:cs="Helvetica"/>
                <w:b/>
                <w:bCs/>
                <w:color w:val="000000"/>
                <w:szCs w:val="18"/>
                <w:lang w:eastAsia="en-AU"/>
              </w:rPr>
              <w:t>5 931</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Helvetica"/>
                <w:b/>
                <w:bCs/>
                <w:color w:val="000000"/>
                <w:szCs w:val="18"/>
                <w:lang w:eastAsia="en-AU"/>
              </w:rPr>
            </w:pPr>
            <w:r w:rsidRPr="006F02B5">
              <w:rPr>
                <w:rFonts w:eastAsiaTheme="minorEastAsia" w:cs="Helvetica"/>
                <w:b/>
                <w:bCs/>
                <w:color w:val="000000"/>
                <w:szCs w:val="18"/>
                <w:lang w:eastAsia="en-AU"/>
              </w:rPr>
              <w:t>6 281</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Helvetica"/>
                <w:b/>
                <w:bCs/>
                <w:color w:val="000000"/>
                <w:szCs w:val="18"/>
                <w:lang w:eastAsia="en-AU"/>
              </w:rPr>
            </w:pPr>
            <w:r w:rsidRPr="006F02B5">
              <w:rPr>
                <w:rFonts w:eastAsiaTheme="minorEastAsia" w:cs="Helvetica"/>
                <w:b/>
                <w:bCs/>
                <w:color w:val="000000"/>
                <w:szCs w:val="18"/>
                <w:lang w:eastAsia="en-AU"/>
              </w:rPr>
              <w:t>6 026</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Represented by: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5 125</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Current receivables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5 103</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5 462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sidRPr="006F02B5">
              <w:rPr>
                <w:rFonts w:eastAsiaTheme="minorEastAsia" w:cs="Helvetica"/>
                <w:color w:val="000000"/>
                <w:szCs w:val="18"/>
                <w:lang w:eastAsia="en-AU"/>
              </w:rPr>
              <w:t>5 201</w:t>
            </w:r>
          </w:p>
        </w:tc>
      </w:tr>
      <w:tr w:rsidR="006F02B5" w:rsidRPr="006F02B5" w:rsidTr="006F02B5">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741</w:t>
            </w:r>
          </w:p>
        </w:tc>
        <w:tc>
          <w:tcPr>
            <w:tcW w:w="6009" w:type="dxa"/>
            <w:tcBorders>
              <w:top w:val="nil"/>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Non-current receivables</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828</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819</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Helvetica"/>
                <w:color w:val="000000"/>
                <w:szCs w:val="18"/>
                <w:lang w:eastAsia="en-AU"/>
              </w:rPr>
            </w:pPr>
            <w:r>
              <w:rPr>
                <w:rFonts w:eastAsiaTheme="minorEastAsia" w:cs="Helvetica"/>
                <w:color w:val="000000"/>
                <w:szCs w:val="18"/>
                <w:lang w:eastAsia="en-AU"/>
              </w:rPr>
              <w:t>825</w:t>
            </w:r>
          </w:p>
        </w:tc>
      </w:tr>
    </w:tbl>
    <w:p w:rsidR="005B4BA6" w:rsidRDefault="005B4BA6" w:rsidP="006F02B5"/>
    <w:p w:rsidR="005B4BA6" w:rsidRDefault="005B4BA6" w:rsidP="005B4BA6">
      <w:pPr>
        <w:pStyle w:val="Heading2"/>
      </w:pPr>
      <w:r>
        <w:t>Payables</w:t>
      </w:r>
    </w:p>
    <w:p w:rsidR="006F02B5" w:rsidRPr="006F02B5" w:rsidRDefault="005B4BA6" w:rsidP="006F02B5">
      <w:pPr>
        <w:pStyle w:val="TableUnits"/>
        <w:rPr>
          <w:bCs/>
          <w:lang w:val="en-US"/>
        </w:rPr>
      </w:pPr>
      <w:r>
        <w:t>(</w:t>
      </w:r>
      <w:r w:rsidR="00501E92">
        <w:t>$ million)</w:t>
      </w:r>
    </w:p>
    <w:tbl>
      <w:tblPr>
        <w:tblStyle w:val="DTFTable"/>
        <w:tblW w:w="9637" w:type="dxa"/>
        <w:tblInd w:w="45" w:type="dxa"/>
        <w:tblLayout w:type="fixed"/>
        <w:tblCellMar>
          <w:left w:w="45" w:type="dxa"/>
          <w:right w:w="45" w:type="dxa"/>
        </w:tblCellMar>
        <w:tblLook w:val="0620" w:firstRow="1" w:lastRow="0" w:firstColumn="0" w:lastColumn="0" w:noHBand="1" w:noVBand="1"/>
      </w:tblPr>
      <w:tblGrid>
        <w:gridCol w:w="907"/>
        <w:gridCol w:w="6009"/>
        <w:gridCol w:w="907"/>
        <w:gridCol w:w="907"/>
        <w:gridCol w:w="907"/>
      </w:tblGrid>
      <w:tr w:rsidR="00921AE6"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009" w:type="dxa"/>
            <w:vMerge w:val="restart"/>
            <w:tcBorders>
              <w:top w:val="nil"/>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2017-18</w:t>
            </w:r>
          </w:p>
        </w:tc>
        <w:tc>
          <w:tcPr>
            <w:tcW w:w="907" w:type="dxa"/>
            <w:tcBorders>
              <w:top w:val="nil"/>
              <w:left w:val="nil"/>
              <w:bottom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 xml:space="preserve"> </w:t>
            </w:r>
          </w:p>
        </w:tc>
      </w:tr>
      <w:tr w:rsidR="00921AE6" w:rsidRPr="006F02B5" w:rsidTr="008041B0">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szCs w:val="18"/>
                <w:lang w:eastAsia="en-AU"/>
              </w:rPr>
            </w:pPr>
          </w:p>
        </w:tc>
        <w:tc>
          <w:tcPr>
            <w:tcW w:w="6009" w:type="dxa"/>
            <w:vMerge/>
            <w:tcBorders>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opening</w:t>
            </w:r>
            <w:r>
              <w:rPr>
                <w:rFonts w:eastAsiaTheme="minorEastAsia" w:cs="Calibri"/>
                <w:iCs/>
                <w:color w:val="FFFFFF"/>
                <w:szCs w:val="18"/>
                <w:lang w:eastAsia="en-AU"/>
              </w:rPr>
              <w:br/>
            </w:r>
            <w:r w:rsidRPr="006F02B5">
              <w:rPr>
                <w:rFonts w:eastAsiaTheme="minorEastAsia" w:cs="Calibri"/>
                <w:iCs/>
                <w:color w:val="FFFFFF"/>
                <w:szCs w:val="18"/>
                <w:lang w:eastAsia="en-AU"/>
              </w:rPr>
              <w:t>1 Jul</w:t>
            </w: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budget</w:t>
            </w:r>
            <w:r>
              <w:rPr>
                <w:rFonts w:eastAsiaTheme="minorEastAsia" w:cs="Calibri"/>
                <w:iCs/>
                <w:color w:val="FFFFFF"/>
                <w:szCs w:val="18"/>
                <w:lang w:eastAsia="en-AU"/>
              </w:rPr>
              <w:br/>
            </w:r>
            <w:r w:rsidRPr="006F02B5">
              <w:rPr>
                <w:rFonts w:eastAsiaTheme="minorEastAsia" w:cs="Calibri"/>
                <w:iCs/>
                <w:color w:val="FFFFFF"/>
                <w:szCs w:val="18"/>
                <w:lang w:eastAsia="en-AU"/>
              </w:rPr>
              <w:t>30 Jun</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Contractual</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1 019</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Accounts payable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1 402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1 239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1 364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2 076</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Accrued expenses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2 239</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2 155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2 233</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2 349</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Unearned income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2 130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2 285</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2 200</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Statutory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Pr>
                <w:rFonts w:eastAsiaTheme="minorEastAsia" w:cs="Arial"/>
                <w:color w:val="000000"/>
                <w:szCs w:val="18"/>
                <w:lang w:eastAsia="en-AU"/>
              </w:rPr>
              <w:t>37</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Accrued taxes payable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44</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8"/>
                <w:lang w:eastAsia="en-AU"/>
              </w:rPr>
            </w:pPr>
            <w:r w:rsidRPr="006F02B5">
              <w:rPr>
                <w:rFonts w:eastAsiaTheme="minorEastAsia" w:cs="Arial"/>
                <w:b/>
                <w:bCs/>
                <w:color w:val="000000"/>
                <w:szCs w:val="18"/>
                <w:lang w:eastAsia="en-AU"/>
              </w:rPr>
              <w:t>5 481</w:t>
            </w:r>
          </w:p>
        </w:tc>
        <w:tc>
          <w:tcPr>
            <w:tcW w:w="6009"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Total payables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5 815</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5 722</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5 841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b/>
                <w:bCs/>
                <w:color w:val="000000"/>
                <w:szCs w:val="18"/>
                <w:lang w:eastAsia="en-AU"/>
              </w:rPr>
            </w:pPr>
            <w:r w:rsidRPr="006F02B5">
              <w:rPr>
                <w:rFonts w:eastAsiaTheme="minorEastAsia" w:cs="Arial"/>
                <w:b/>
                <w:bCs/>
                <w:color w:val="000000"/>
                <w:szCs w:val="18"/>
                <w:lang w:eastAsia="en-AU"/>
              </w:rPr>
              <w:t>Represented by:</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3 753</w:t>
            </w:r>
          </w:p>
        </w:tc>
        <w:tc>
          <w:tcPr>
            <w:tcW w:w="6009"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Current payables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4 134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4 070</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4 027</w:t>
            </w:r>
          </w:p>
        </w:tc>
      </w:tr>
      <w:tr w:rsidR="006F02B5" w:rsidRPr="006F02B5" w:rsidTr="006F02B5">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color w:val="000000"/>
                <w:szCs w:val="18"/>
                <w:lang w:eastAsia="en-AU"/>
              </w:rPr>
            </w:pPr>
            <w:r w:rsidRPr="006F02B5">
              <w:rPr>
                <w:rFonts w:eastAsiaTheme="minorEastAsia" w:cs="Arial"/>
                <w:color w:val="000000"/>
                <w:szCs w:val="18"/>
                <w:lang w:eastAsia="en-AU"/>
              </w:rPr>
              <w:t>1 728</w:t>
            </w:r>
          </w:p>
        </w:tc>
        <w:tc>
          <w:tcPr>
            <w:tcW w:w="6009" w:type="dxa"/>
            <w:tcBorders>
              <w:top w:val="nil"/>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Arial"/>
                <w:color w:val="000000"/>
                <w:szCs w:val="18"/>
                <w:lang w:eastAsia="en-AU"/>
              </w:rPr>
            </w:pPr>
            <w:r w:rsidRPr="006F02B5">
              <w:rPr>
                <w:rFonts w:eastAsiaTheme="minorEastAsia" w:cs="Arial"/>
                <w:color w:val="000000"/>
                <w:szCs w:val="18"/>
                <w:lang w:eastAsia="en-AU"/>
              </w:rPr>
              <w:t>Non-current payables</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1 681</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1 652</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1 813</w:t>
            </w:r>
          </w:p>
        </w:tc>
      </w:tr>
    </w:tbl>
    <w:p w:rsidR="005B4BA6" w:rsidRDefault="005B4BA6" w:rsidP="006F02B5"/>
    <w:p w:rsidR="005B4BA6" w:rsidRPr="005B4BA6" w:rsidRDefault="005B4BA6" w:rsidP="005B4BA6"/>
    <w:p w:rsidR="00733171" w:rsidRDefault="00955520" w:rsidP="00733171">
      <w:pPr>
        <w:pStyle w:val="Heading1"/>
      </w:pPr>
      <w:bookmarkStart w:id="16" w:name="_Toc497376527"/>
      <w:r>
        <w:lastRenderedPageBreak/>
        <w:t>Public account</w:t>
      </w:r>
      <w:bookmarkEnd w:id="16"/>
    </w:p>
    <w:p w:rsidR="00733171" w:rsidRPr="00733171" w:rsidRDefault="00733171" w:rsidP="00733171">
      <w:pPr>
        <w:sectPr w:rsidR="00733171" w:rsidRPr="00733171" w:rsidSect="00CE372B">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lastRenderedPageBreak/>
        <w:t>Introduction</w:t>
      </w:r>
    </w:p>
    <w:p w:rsidR="00E34AC7" w:rsidRDefault="00B371AC" w:rsidP="00921AE6">
      <w:pPr>
        <w:ind w:right="-142"/>
      </w:pPr>
      <w:r w:rsidRPr="00B371AC">
        <w:t xml:space="preserve">This section </w:t>
      </w:r>
      <w:r w:rsidR="008C0CFA">
        <w:t>discloses</w:t>
      </w:r>
      <w:r w:rsidRPr="00B371AC">
        <w:t xml:space="preserve"> information in respect of the Public Account, in accordance with the requirements of the </w:t>
      </w:r>
      <w:r w:rsidRPr="00B371AC">
        <w:rPr>
          <w:i/>
        </w:rPr>
        <w:t>Financial Management Act, No.</w:t>
      </w:r>
      <w:r w:rsidR="00410BF0">
        <w:rPr>
          <w:i/>
        </w:rPr>
        <w:t> </w:t>
      </w:r>
      <w:r w:rsidRPr="00B371AC">
        <w:rPr>
          <w:i/>
        </w:rPr>
        <w:t>18 of 1994</w:t>
      </w:r>
      <w:r w:rsidRPr="00B371AC">
        <w:t xml:space="preserve"> (FMA).</w:t>
      </w:r>
    </w:p>
    <w:p w:rsidR="00C570E4" w:rsidRDefault="00C570E4" w:rsidP="00180823">
      <w:pPr>
        <w:sectPr w:rsidR="00C570E4" w:rsidSect="00CE372B">
          <w:type w:val="continuous"/>
          <w:pgSz w:w="11907" w:h="16839" w:code="9"/>
          <w:pgMar w:top="851" w:right="1134" w:bottom="851" w:left="1134" w:header="624" w:footer="567" w:gutter="0"/>
          <w:cols w:num="2" w:space="567"/>
          <w:docGrid w:linePitch="360"/>
        </w:sectPr>
      </w:pPr>
      <w:r>
        <w:br w:type="column"/>
      </w:r>
    </w:p>
    <w:p w:rsidR="005B4BA6" w:rsidRDefault="00180823" w:rsidP="005B4BA6">
      <w:pPr>
        <w:pStyle w:val="Heading2"/>
      </w:pPr>
      <w:r>
        <w:lastRenderedPageBreak/>
        <w:t>Consolidated fund receipts and payments</w:t>
      </w:r>
    </w:p>
    <w:p w:rsidR="005D11FA" w:rsidRPr="005D11FA" w:rsidRDefault="00180823" w:rsidP="005D11FA">
      <w:pPr>
        <w:pStyle w:val="TableUnits"/>
        <w:rPr>
          <w:bCs/>
          <w:lang w:val="en-US"/>
        </w:rPr>
      </w:pPr>
      <w:r>
        <w:t>($ million)</w:t>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907"/>
        <w:gridCol w:w="6917"/>
        <w:gridCol w:w="907"/>
        <w:gridCol w:w="907"/>
      </w:tblGrid>
      <w:tr w:rsidR="00921AE6" w:rsidRPr="005D11FA" w:rsidTr="008C5D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vMerge w:val="restart"/>
            <w:tcBorders>
              <w:top w:val="nil"/>
              <w:left w:val="nil"/>
              <w:right w:val="nil"/>
            </w:tcBorders>
            <w:shd w:val="solid" w:color="000000" w:fill="auto"/>
          </w:tcPr>
          <w:p w:rsidR="00921AE6" w:rsidRPr="005D11FA" w:rsidRDefault="00921AE6" w:rsidP="00921AE6">
            <w:pPr>
              <w:autoSpaceDE w:val="0"/>
              <w:autoSpaceDN w:val="0"/>
              <w:adjustRightInd w:val="0"/>
              <w:jc w:val="right"/>
              <w:rPr>
                <w:rFonts w:eastAsiaTheme="minorEastAsia" w:cs="Calibri"/>
                <w:iCs/>
                <w:color w:val="FFFFFF"/>
                <w:lang w:eastAsia="en-AU"/>
              </w:rPr>
            </w:pPr>
            <w:r w:rsidRPr="005D11FA">
              <w:rPr>
                <w:rFonts w:eastAsiaTheme="minorEastAsia" w:cs="Calibri"/>
                <w:iCs/>
                <w:color w:val="FFFFFF"/>
                <w:lang w:eastAsia="en-AU"/>
              </w:rPr>
              <w:t>2016-17</w:t>
            </w:r>
            <w:r>
              <w:rPr>
                <w:rFonts w:eastAsiaTheme="minorEastAsia" w:cs="Calibri"/>
                <w:iCs/>
                <w:color w:val="FFFFFF"/>
                <w:lang w:eastAsia="en-AU"/>
              </w:rPr>
              <w:br/>
            </w:r>
            <w:r w:rsidRPr="005D11FA">
              <w:rPr>
                <w:rFonts w:eastAsiaTheme="minorEastAsia" w:cs="Calibri"/>
                <w:iCs/>
                <w:color w:val="FFFFFF"/>
                <w:lang w:eastAsia="en-AU"/>
              </w:rPr>
              <w:t xml:space="preserve">actual </w:t>
            </w:r>
            <w:r>
              <w:rPr>
                <w:rFonts w:eastAsiaTheme="minorEastAsia" w:cs="Calibri"/>
                <w:iCs/>
                <w:color w:val="FFFFFF"/>
                <w:lang w:eastAsia="en-AU"/>
              </w:rPr>
              <w:br/>
            </w:r>
            <w:r w:rsidRPr="005D11FA">
              <w:rPr>
                <w:rFonts w:eastAsiaTheme="minorEastAsia" w:cs="Calibri"/>
                <w:iCs/>
                <w:color w:val="FFFFFF"/>
                <w:lang w:eastAsia="en-AU"/>
              </w:rPr>
              <w:t>to Sep</w:t>
            </w:r>
          </w:p>
        </w:tc>
        <w:tc>
          <w:tcPr>
            <w:tcW w:w="6917" w:type="dxa"/>
            <w:vMerge w:val="restart"/>
            <w:tcBorders>
              <w:top w:val="nil"/>
              <w:left w:val="nil"/>
              <w:right w:val="nil"/>
            </w:tcBorders>
            <w:shd w:val="solid" w:color="000000" w:fill="auto"/>
          </w:tcPr>
          <w:p w:rsidR="00921AE6" w:rsidRPr="005D11FA" w:rsidRDefault="00921AE6" w:rsidP="005D11FA">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color w:val="FFFFFF"/>
                <w:lang w:eastAsia="en-AU"/>
              </w:rPr>
            </w:pPr>
            <w:r w:rsidRPr="005D11FA">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921AE6" w:rsidRPr="005D11FA" w:rsidRDefault="00921AE6" w:rsidP="005D11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2017-18</w:t>
            </w:r>
          </w:p>
        </w:tc>
      </w:tr>
      <w:tr w:rsidR="00921AE6" w:rsidRPr="005D11FA" w:rsidTr="008041B0">
        <w:trPr>
          <w:cnfStyle w:val="100000000000" w:firstRow="1" w:lastRow="0" w:firstColumn="0" w:lastColumn="0" w:oddVBand="0" w:evenVBand="0" w:oddHBand="0" w:evenHBand="0" w:firstRowFirstColumn="0" w:firstRowLastColumn="0" w:lastRowFirstColumn="0" w:lastRowLastColumn="0"/>
          <w:trHeight w:val="63"/>
          <w:tblHeader/>
        </w:trPr>
        <w:tc>
          <w:tcPr>
            <w:cnfStyle w:val="001000000000" w:firstRow="0" w:lastRow="0" w:firstColumn="1" w:lastColumn="0" w:oddVBand="0" w:evenVBand="0" w:oddHBand="0" w:evenHBand="0" w:firstRowFirstColumn="0" w:firstRowLastColumn="0" w:lastRowFirstColumn="0" w:lastRowLastColumn="0"/>
            <w:tcW w:w="907" w:type="dxa"/>
            <w:vMerge/>
            <w:tcBorders>
              <w:left w:val="nil"/>
              <w:right w:val="nil"/>
            </w:tcBorders>
            <w:shd w:val="solid" w:color="000000" w:fill="auto"/>
          </w:tcPr>
          <w:p w:rsidR="00921AE6" w:rsidRPr="005D11FA" w:rsidRDefault="00921AE6" w:rsidP="005D11FA">
            <w:pPr>
              <w:autoSpaceDE w:val="0"/>
              <w:autoSpaceDN w:val="0"/>
              <w:adjustRightInd w:val="0"/>
              <w:jc w:val="right"/>
              <w:rPr>
                <w:rFonts w:eastAsiaTheme="minorEastAsia" w:cs="Calibri"/>
                <w:iCs/>
                <w:color w:val="FFFFFF"/>
                <w:lang w:eastAsia="en-AU"/>
              </w:rPr>
            </w:pPr>
          </w:p>
        </w:tc>
        <w:tc>
          <w:tcPr>
            <w:tcW w:w="6917" w:type="dxa"/>
            <w:vMerge/>
            <w:tcBorders>
              <w:left w:val="nil"/>
              <w:right w:val="nil"/>
            </w:tcBorders>
            <w:shd w:val="solid" w:color="000000" w:fill="auto"/>
          </w:tcPr>
          <w:p w:rsidR="00921AE6" w:rsidRPr="005D11FA" w:rsidRDefault="00921AE6" w:rsidP="005D11FA">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tcW w:w="907" w:type="dxa"/>
            <w:tcBorders>
              <w:top w:val="nil"/>
              <w:left w:val="nil"/>
              <w:right w:val="nil"/>
            </w:tcBorders>
            <w:shd w:val="solid" w:color="000000" w:fill="auto"/>
          </w:tcPr>
          <w:p w:rsidR="00921AE6" w:rsidRPr="005D11FA" w:rsidRDefault="00921AE6" w:rsidP="00921A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actual</w:t>
            </w:r>
            <w:r>
              <w:rPr>
                <w:rFonts w:eastAsiaTheme="minorEastAsia" w:cs="Calibri"/>
                <w:iCs/>
                <w:color w:val="FFFFFF"/>
                <w:lang w:eastAsia="en-AU"/>
              </w:rPr>
              <w:br/>
            </w:r>
            <w:r w:rsidRPr="005D11FA">
              <w:rPr>
                <w:rFonts w:eastAsiaTheme="minorEastAsia" w:cs="Calibri"/>
                <w:iCs/>
                <w:color w:val="FFFFFF"/>
                <w:lang w:eastAsia="en-AU"/>
              </w:rPr>
              <w:t>to Sep</w:t>
            </w:r>
          </w:p>
        </w:tc>
        <w:tc>
          <w:tcPr>
            <w:tcW w:w="907" w:type="dxa"/>
            <w:tcBorders>
              <w:top w:val="nil"/>
              <w:left w:val="nil"/>
              <w:right w:val="nil"/>
            </w:tcBorders>
            <w:shd w:val="solid" w:color="000000" w:fill="auto"/>
          </w:tcPr>
          <w:p w:rsidR="00921AE6" w:rsidRPr="005D11FA" w:rsidRDefault="00921AE6" w:rsidP="00921A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published</w:t>
            </w:r>
            <w:r>
              <w:rPr>
                <w:rFonts w:eastAsiaTheme="minorEastAsia" w:cs="Calibri"/>
                <w:iCs/>
                <w:color w:val="FFFFFF"/>
                <w:lang w:eastAsia="en-AU"/>
              </w:rPr>
              <w:br/>
            </w:r>
            <w:r w:rsidRPr="005D11FA">
              <w:rPr>
                <w:rFonts w:eastAsiaTheme="minorEastAsia" w:cs="Calibri"/>
                <w:iCs/>
                <w:color w:val="FFFFFF"/>
                <w:lang w:eastAsia="en-AU"/>
              </w:rPr>
              <w:t>budget</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i/>
                <w:iCs/>
                <w:color w:val="FFFFFF"/>
                <w:lang w:eastAsia="en-AU"/>
              </w:rPr>
            </w:pPr>
            <w:r w:rsidRPr="005D11FA">
              <w:rPr>
                <w:rFonts w:eastAsiaTheme="minorEastAsia" w:cs="Calibri"/>
                <w:i/>
                <w:iCs/>
                <w:color w:val="FFFFFF"/>
                <w:lang w:eastAsia="en-AU"/>
              </w:rPr>
              <w:t xml:space="preserve"> </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Receipts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lang w:eastAsia="en-AU"/>
              </w:rPr>
            </w:pPr>
            <w:r w:rsidRPr="005D11FA">
              <w:rPr>
                <w:rFonts w:eastAsiaTheme="minorEastAsia" w:cs="Calibri"/>
                <w:i/>
                <w:iCs/>
                <w:color w:val="FFFFFF"/>
                <w:lang w:eastAsia="en-AU"/>
              </w:rPr>
              <w:t xml:space="preserve">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lang w:eastAsia="en-AU"/>
              </w:rPr>
            </w:pPr>
            <w:r w:rsidRPr="005D11FA">
              <w:rPr>
                <w:rFonts w:eastAsiaTheme="minorEastAsia" w:cs="Calibri"/>
                <w:i/>
                <w:iCs/>
                <w:color w:val="FFFFFF"/>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5 019</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Taxation</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5 491</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21 989</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212</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Fines and regulatory fees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189</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917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4 290</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Grants received</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4 453</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19 632</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1 475</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Sales of goods and services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1 677</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6 582</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114</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Interest received</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115</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85</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Public authority receipts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48</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1 148</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single" w:sz="6" w:space="0" w:color="auto"/>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12</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Other receipts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31</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587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b/>
                <w:bCs/>
                <w:color w:val="000000"/>
                <w:lang w:eastAsia="en-AU"/>
              </w:rPr>
            </w:pPr>
            <w:r w:rsidRPr="005D11FA">
              <w:rPr>
                <w:rFonts w:eastAsiaTheme="minorEastAsia" w:cs="Calibri"/>
                <w:b/>
                <w:bCs/>
                <w:color w:val="000000"/>
                <w:lang w:eastAsia="en-AU"/>
              </w:rPr>
              <w:t>11 206</w:t>
            </w:r>
          </w:p>
        </w:tc>
        <w:tc>
          <w:tcPr>
            <w:tcW w:w="6917" w:type="dxa"/>
            <w:tcBorders>
              <w:top w:val="single" w:sz="6" w:space="0" w:color="auto"/>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Total operating activities</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12 003</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51 362</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single" w:sz="6" w:space="0" w:color="auto"/>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13</w:t>
            </w:r>
          </w:p>
        </w:tc>
        <w:tc>
          <w:tcPr>
            <w:tcW w:w="6917" w:type="dxa"/>
            <w:tcBorders>
              <w:top w:val="nil"/>
              <w:left w:val="nil"/>
              <w:bottom w:val="single" w:sz="6" w:space="0" w:color="auto"/>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Total inflows/(outflows) from investing and financing</w:t>
            </w:r>
          </w:p>
        </w:tc>
        <w:tc>
          <w:tcPr>
            <w:tcW w:w="907" w:type="dxa"/>
            <w:tcBorders>
              <w:top w:val="nil"/>
              <w:left w:val="nil"/>
              <w:bottom w:val="single" w:sz="6" w:space="0" w:color="auto"/>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310</w:t>
            </w:r>
          </w:p>
        </w:tc>
        <w:tc>
          <w:tcPr>
            <w:tcW w:w="907" w:type="dxa"/>
            <w:tcBorders>
              <w:top w:val="nil"/>
              <w:left w:val="nil"/>
              <w:bottom w:val="single" w:sz="6" w:space="0" w:color="auto"/>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3 447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b/>
                <w:bCs/>
                <w:color w:val="000000"/>
                <w:lang w:eastAsia="en-AU"/>
              </w:rPr>
            </w:pPr>
            <w:r w:rsidRPr="005D11FA">
              <w:rPr>
                <w:rFonts w:eastAsiaTheme="minorEastAsia" w:cs="Calibri"/>
                <w:b/>
                <w:bCs/>
                <w:color w:val="000000"/>
                <w:lang w:eastAsia="en-AU"/>
              </w:rPr>
              <w:t>11 218</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Total receipts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12 314</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54 810</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szCs w:val="20"/>
                <w:lang w:eastAsia="en-AU"/>
              </w:rPr>
            </w:pPr>
            <w:r w:rsidRPr="005D11FA">
              <w:rPr>
                <w:rFonts w:eastAsiaTheme="minorEastAsia" w:cs="Calibri"/>
                <w:color w:val="000000"/>
                <w:szCs w:val="20"/>
                <w:lang w:eastAsia="en-AU"/>
              </w:rPr>
              <w:t xml:space="preserve"> </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Payments to departments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D11FA">
              <w:rPr>
                <w:rFonts w:eastAsiaTheme="minorEastAsia" w:cs="Calibri"/>
                <w:color w:val="000000"/>
                <w:szCs w:val="20"/>
                <w:lang w:eastAsia="en-AU"/>
              </w:rPr>
              <w:t xml:space="preserve">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D11FA">
              <w:rPr>
                <w:rFonts w:eastAsiaTheme="minorEastAsia" w:cs="Calibri"/>
                <w:color w:val="000000"/>
                <w:szCs w:val="2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2 397</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Economic Development, Jobs, Transport and Resources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2 680</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10 751</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3 081</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Education and Training</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3 655</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13 227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578</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Environment, Land, Water and Planning</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606</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2 317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4 340</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Health and Human Services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4 630</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16 443</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1 607</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Justice and Regulation</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1 846</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7 367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101</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Premier and Cabinet</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125</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640</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844</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Treasury and Finance</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2 067</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9 997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48</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Parliament</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61</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228</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128</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Courts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144</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595</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5D11FA" w:rsidRPr="005D11FA" w:rsidRDefault="005D11FA" w:rsidP="005D11FA">
            <w:pPr>
              <w:autoSpaceDE w:val="0"/>
              <w:autoSpaceDN w:val="0"/>
              <w:adjustRightInd w:val="0"/>
              <w:jc w:val="right"/>
              <w:rPr>
                <w:rFonts w:eastAsiaTheme="minorEastAsia" w:cs="Calibri"/>
                <w:b/>
                <w:bCs/>
                <w:color w:val="000000"/>
                <w:lang w:eastAsia="en-AU"/>
              </w:rPr>
            </w:pPr>
            <w:r w:rsidRPr="005D11FA">
              <w:rPr>
                <w:rFonts w:eastAsiaTheme="minorEastAsia" w:cs="Calibri"/>
                <w:b/>
                <w:bCs/>
                <w:color w:val="000000"/>
                <w:lang w:eastAsia="en-AU"/>
              </w:rPr>
              <w:t>13 124</w:t>
            </w:r>
          </w:p>
        </w:tc>
        <w:tc>
          <w:tcPr>
            <w:tcW w:w="6917" w:type="dxa"/>
            <w:tcBorders>
              <w:top w:val="single" w:sz="6" w:space="0" w:color="auto"/>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 xml:space="preserve">Total payments </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15 814</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61 564</w:t>
            </w:r>
          </w:p>
        </w:tc>
      </w:tr>
      <w:tr w:rsidR="005D11FA" w:rsidRPr="005D11FA" w:rsidTr="005D11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bottom w:val="single" w:sz="12" w:space="0" w:color="auto"/>
            </w:tcBorders>
          </w:tcPr>
          <w:p w:rsidR="005D11FA" w:rsidRPr="005D11FA" w:rsidRDefault="005D11FA" w:rsidP="005D11FA">
            <w:pPr>
              <w:autoSpaceDE w:val="0"/>
              <w:autoSpaceDN w:val="0"/>
              <w:adjustRightInd w:val="0"/>
              <w:jc w:val="right"/>
              <w:rPr>
                <w:rFonts w:eastAsiaTheme="minorEastAsia" w:cs="Calibri"/>
                <w:bCs/>
                <w:color w:val="000000"/>
                <w:lang w:eastAsia="en-AU"/>
              </w:rPr>
            </w:pPr>
            <w:r>
              <w:rPr>
                <w:rFonts w:eastAsiaTheme="minorEastAsia" w:cs="Calibri"/>
                <w:bCs/>
                <w:color w:val="000000"/>
                <w:lang w:eastAsia="en-AU"/>
              </w:rPr>
              <w:t>(1 905</w:t>
            </w:r>
            <w:r w:rsidRPr="005D11FA">
              <w:rPr>
                <w:rFonts w:eastAsiaTheme="minorEastAsia" w:cs="Calibri"/>
                <w:bCs/>
                <w:color w:val="000000"/>
                <w:lang w:eastAsia="en-AU"/>
              </w:rPr>
              <w:t>)</w:t>
            </w:r>
          </w:p>
        </w:tc>
        <w:tc>
          <w:tcPr>
            <w:tcW w:w="6917" w:type="dxa"/>
            <w:tcBorders>
              <w:top w:val="single" w:sz="6" w:space="0" w:color="auto"/>
              <w:bottom w:val="single" w:sz="12" w:space="0" w:color="auto"/>
            </w:tcBorders>
          </w:tcPr>
          <w:p w:rsidR="005D11FA" w:rsidRPr="005D11FA" w:rsidRDefault="005D11FA" w:rsidP="005D11FA">
            <w:pPr>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5D11FA">
              <w:rPr>
                <w:rFonts w:eastAsiaTheme="minorEastAsia" w:cs="Calibri"/>
                <w:bCs/>
                <w:color w:val="000000"/>
                <w:lang w:eastAsia="en-AU"/>
              </w:rPr>
              <w:t xml:space="preserve">Net receipts/(payments) </w:t>
            </w:r>
          </w:p>
        </w:tc>
        <w:tc>
          <w:tcPr>
            <w:tcW w:w="907" w:type="dxa"/>
            <w:tcBorders>
              <w:top w:val="single" w:sz="6" w:space="0" w:color="auto"/>
              <w:bottom w:val="single" w:sz="12" w:space="0" w:color="auto"/>
            </w:tcBorders>
          </w:tcPr>
          <w:p w:rsidR="005D11FA" w:rsidRPr="005D11FA" w:rsidRDefault="005D11FA" w:rsidP="005D11FA">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5D11FA">
              <w:rPr>
                <w:rFonts w:eastAsiaTheme="minorEastAsia" w:cs="Calibri"/>
                <w:bCs/>
                <w:color w:val="000000"/>
                <w:lang w:eastAsia="en-AU"/>
              </w:rPr>
              <w:t>(3 500)</w:t>
            </w:r>
          </w:p>
        </w:tc>
        <w:tc>
          <w:tcPr>
            <w:tcW w:w="907" w:type="dxa"/>
            <w:tcBorders>
              <w:top w:val="single" w:sz="6" w:space="0" w:color="auto"/>
              <w:bottom w:val="single" w:sz="12" w:space="0" w:color="auto"/>
            </w:tcBorders>
          </w:tcPr>
          <w:p w:rsidR="005D11FA" w:rsidRPr="005D11FA" w:rsidRDefault="005D11FA" w:rsidP="005D11FA">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5D11FA">
              <w:rPr>
                <w:rFonts w:eastAsiaTheme="minorEastAsia" w:cs="Calibri"/>
                <w:bCs/>
                <w:color w:val="000000"/>
                <w:lang w:eastAsia="en-AU"/>
              </w:rPr>
              <w:t>(6 754)</w:t>
            </w:r>
          </w:p>
        </w:tc>
      </w:tr>
    </w:tbl>
    <w:p w:rsidR="005B4BA6" w:rsidRPr="005C0A64" w:rsidRDefault="005B4BA6" w:rsidP="005D11FA">
      <w:pPr>
        <w:rPr>
          <w:lang w:val="en-US"/>
        </w:rPr>
      </w:pPr>
    </w:p>
    <w:p w:rsidR="005B4BA6" w:rsidRDefault="005B4BA6" w:rsidP="00180823"/>
    <w:p w:rsidR="00C570E4" w:rsidRDefault="00C570E4">
      <w:pPr>
        <w:rPr>
          <w:rFonts w:asciiTheme="majorHAnsi" w:eastAsiaTheme="majorEastAsia" w:hAnsiTheme="majorHAnsi" w:cstheme="majorBidi"/>
          <w:b/>
          <w:spacing w:val="-2"/>
          <w:sz w:val="26"/>
          <w:szCs w:val="26"/>
        </w:rPr>
      </w:pPr>
      <w:r>
        <w:br w:type="page"/>
      </w:r>
    </w:p>
    <w:p w:rsidR="005B4BA6" w:rsidRDefault="00180823" w:rsidP="005B4BA6">
      <w:pPr>
        <w:pStyle w:val="Heading2"/>
      </w:pPr>
      <w:r>
        <w:lastRenderedPageBreak/>
        <w:t>Trust fund cash flow statement</w:t>
      </w:r>
    </w:p>
    <w:p w:rsidR="005D11FA" w:rsidRPr="005D11FA" w:rsidRDefault="00180823" w:rsidP="005D11FA">
      <w:pPr>
        <w:pStyle w:val="TableUnits"/>
        <w:rPr>
          <w:bCs/>
          <w:lang w:val="en-US"/>
        </w:rPr>
      </w:pPr>
      <w:r>
        <w:t>($ million)</w:t>
      </w:r>
      <w:r w:rsidR="00941EFF">
        <w:t xml:space="preserve"> </w:t>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907"/>
        <w:gridCol w:w="6917"/>
        <w:gridCol w:w="907"/>
        <w:gridCol w:w="907"/>
      </w:tblGrid>
      <w:tr w:rsidR="00921AE6" w:rsidRPr="005D11FA" w:rsidTr="008C5D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vMerge w:val="restart"/>
            <w:tcBorders>
              <w:top w:val="nil"/>
              <w:left w:val="nil"/>
              <w:right w:val="nil"/>
            </w:tcBorders>
            <w:shd w:val="solid" w:color="000000" w:fill="auto"/>
          </w:tcPr>
          <w:p w:rsidR="00921AE6" w:rsidRPr="005D11FA" w:rsidRDefault="00921AE6" w:rsidP="00921AE6">
            <w:pPr>
              <w:autoSpaceDE w:val="0"/>
              <w:autoSpaceDN w:val="0"/>
              <w:adjustRightInd w:val="0"/>
              <w:jc w:val="right"/>
              <w:rPr>
                <w:rFonts w:eastAsiaTheme="minorEastAsia" w:cs="Calibri"/>
                <w:iCs/>
                <w:color w:val="FFFFFF"/>
                <w:lang w:eastAsia="en-AU"/>
              </w:rPr>
            </w:pPr>
            <w:r w:rsidRPr="005D11FA">
              <w:rPr>
                <w:rFonts w:eastAsiaTheme="minorEastAsia" w:cs="Calibri"/>
                <w:iCs/>
                <w:color w:val="FFFFFF"/>
                <w:lang w:eastAsia="en-AU"/>
              </w:rPr>
              <w:t>2016-17</w:t>
            </w:r>
            <w:r>
              <w:rPr>
                <w:rFonts w:eastAsiaTheme="minorEastAsia" w:cs="Calibri"/>
                <w:iCs/>
                <w:color w:val="FFFFFF"/>
                <w:lang w:eastAsia="en-AU"/>
              </w:rPr>
              <w:br/>
            </w:r>
            <w:r w:rsidRPr="005D11FA">
              <w:rPr>
                <w:rFonts w:eastAsiaTheme="minorEastAsia" w:cs="Calibri"/>
                <w:iCs/>
                <w:color w:val="FFFFFF"/>
                <w:lang w:eastAsia="en-AU"/>
              </w:rPr>
              <w:t xml:space="preserve">actual </w:t>
            </w:r>
            <w:r>
              <w:rPr>
                <w:rFonts w:eastAsiaTheme="minorEastAsia" w:cs="Calibri"/>
                <w:iCs/>
                <w:color w:val="FFFFFF"/>
                <w:lang w:eastAsia="en-AU"/>
              </w:rPr>
              <w:br/>
            </w:r>
            <w:r w:rsidRPr="005D11FA">
              <w:rPr>
                <w:rFonts w:eastAsiaTheme="minorEastAsia" w:cs="Calibri"/>
                <w:iCs/>
                <w:color w:val="FFFFFF"/>
                <w:lang w:eastAsia="en-AU"/>
              </w:rPr>
              <w:t>to Sep</w:t>
            </w:r>
          </w:p>
        </w:tc>
        <w:tc>
          <w:tcPr>
            <w:tcW w:w="6917" w:type="dxa"/>
            <w:vMerge w:val="restart"/>
            <w:tcBorders>
              <w:top w:val="nil"/>
              <w:left w:val="nil"/>
              <w:right w:val="nil"/>
            </w:tcBorders>
            <w:shd w:val="solid" w:color="000000" w:fill="auto"/>
          </w:tcPr>
          <w:p w:rsidR="00921AE6" w:rsidRPr="005D11FA" w:rsidRDefault="00921AE6" w:rsidP="005D11FA">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color w:val="FFFFFF"/>
                <w:lang w:eastAsia="en-AU"/>
              </w:rPr>
            </w:pPr>
            <w:r w:rsidRPr="005D11FA">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921AE6" w:rsidRPr="005D11FA" w:rsidRDefault="00921AE6" w:rsidP="005D11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2017-18</w:t>
            </w:r>
          </w:p>
        </w:tc>
      </w:tr>
      <w:tr w:rsidR="00921AE6" w:rsidRPr="005D11FA" w:rsidTr="008041B0">
        <w:trPr>
          <w:cnfStyle w:val="100000000000" w:firstRow="1" w:lastRow="0" w:firstColumn="0" w:lastColumn="0" w:oddVBand="0" w:evenVBand="0" w:oddHBand="0" w:evenHBand="0" w:firstRowFirstColumn="0" w:firstRowLastColumn="0" w:lastRowFirstColumn="0" w:lastRowLastColumn="0"/>
          <w:trHeight w:val="63"/>
          <w:tblHeader/>
        </w:trPr>
        <w:tc>
          <w:tcPr>
            <w:cnfStyle w:val="001000000000" w:firstRow="0" w:lastRow="0" w:firstColumn="1" w:lastColumn="0" w:oddVBand="0" w:evenVBand="0" w:oddHBand="0" w:evenHBand="0" w:firstRowFirstColumn="0" w:firstRowLastColumn="0" w:lastRowFirstColumn="0" w:lastRowLastColumn="0"/>
            <w:tcW w:w="907" w:type="dxa"/>
            <w:vMerge/>
            <w:tcBorders>
              <w:left w:val="nil"/>
              <w:right w:val="nil"/>
            </w:tcBorders>
            <w:shd w:val="solid" w:color="000000" w:fill="auto"/>
          </w:tcPr>
          <w:p w:rsidR="00921AE6" w:rsidRPr="005D11FA" w:rsidRDefault="00921AE6" w:rsidP="005D11FA">
            <w:pPr>
              <w:autoSpaceDE w:val="0"/>
              <w:autoSpaceDN w:val="0"/>
              <w:adjustRightInd w:val="0"/>
              <w:jc w:val="right"/>
              <w:rPr>
                <w:rFonts w:eastAsiaTheme="minorEastAsia" w:cs="Calibri"/>
                <w:iCs/>
                <w:color w:val="FFFFFF"/>
                <w:lang w:eastAsia="en-AU"/>
              </w:rPr>
            </w:pPr>
          </w:p>
        </w:tc>
        <w:tc>
          <w:tcPr>
            <w:tcW w:w="6917" w:type="dxa"/>
            <w:vMerge/>
            <w:tcBorders>
              <w:left w:val="nil"/>
              <w:right w:val="nil"/>
            </w:tcBorders>
            <w:shd w:val="solid" w:color="000000" w:fill="auto"/>
          </w:tcPr>
          <w:p w:rsidR="00921AE6" w:rsidRPr="005D11FA" w:rsidRDefault="00921AE6" w:rsidP="005D11FA">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tcW w:w="907" w:type="dxa"/>
            <w:tcBorders>
              <w:top w:val="nil"/>
              <w:left w:val="nil"/>
              <w:right w:val="nil"/>
            </w:tcBorders>
            <w:shd w:val="solid" w:color="000000" w:fill="auto"/>
          </w:tcPr>
          <w:p w:rsidR="00921AE6" w:rsidRPr="005D11FA" w:rsidRDefault="00921AE6" w:rsidP="00921A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actual</w:t>
            </w:r>
            <w:r>
              <w:rPr>
                <w:rFonts w:eastAsiaTheme="minorEastAsia" w:cs="Calibri"/>
                <w:iCs/>
                <w:color w:val="FFFFFF"/>
                <w:lang w:eastAsia="en-AU"/>
              </w:rPr>
              <w:br/>
            </w:r>
            <w:r w:rsidRPr="005D11FA">
              <w:rPr>
                <w:rFonts w:eastAsiaTheme="minorEastAsia" w:cs="Calibri"/>
                <w:iCs/>
                <w:color w:val="FFFFFF"/>
                <w:lang w:eastAsia="en-AU"/>
              </w:rPr>
              <w:t>to Sep</w:t>
            </w:r>
          </w:p>
        </w:tc>
        <w:tc>
          <w:tcPr>
            <w:tcW w:w="907" w:type="dxa"/>
            <w:tcBorders>
              <w:top w:val="nil"/>
              <w:left w:val="nil"/>
              <w:right w:val="nil"/>
            </w:tcBorders>
            <w:shd w:val="solid" w:color="000000" w:fill="auto"/>
          </w:tcPr>
          <w:p w:rsidR="00921AE6" w:rsidRPr="005D11FA" w:rsidRDefault="00921AE6" w:rsidP="00921A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published</w:t>
            </w:r>
            <w:r>
              <w:rPr>
                <w:rFonts w:eastAsiaTheme="minorEastAsia" w:cs="Calibri"/>
                <w:iCs/>
                <w:color w:val="FFFFFF"/>
                <w:lang w:eastAsia="en-AU"/>
              </w:rPr>
              <w:br/>
            </w:r>
            <w:r w:rsidRPr="005D11FA">
              <w:rPr>
                <w:rFonts w:eastAsiaTheme="minorEastAsia" w:cs="Calibri"/>
                <w:iCs/>
                <w:color w:val="FFFFFF"/>
                <w:lang w:eastAsia="en-AU"/>
              </w:rPr>
              <w:t>budget</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 xml:space="preserve"> </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Cash flows from operating activities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D11FA">
              <w:rPr>
                <w:rFonts w:eastAsiaTheme="minorEastAsia" w:cs="Calibri"/>
                <w:color w:val="000000"/>
                <w:szCs w:val="20"/>
                <w:lang w:eastAsia="en-AU"/>
              </w:rPr>
              <w:t xml:space="preserve">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D11FA">
              <w:rPr>
                <w:rFonts w:eastAsiaTheme="minorEastAsia" w:cs="Calibri"/>
                <w:color w:val="000000"/>
                <w:szCs w:val="2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 xml:space="preserve"> </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Receipts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166</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Taxation</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173</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390</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14</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Regulatory fees and fines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10</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3 957</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Grants received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4 275</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14 766</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56</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Sales of goods and services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21</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96</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18</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Interest received</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55</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251</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824</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Net transfers from consolidated fund</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1 103</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3 625</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16</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Dividend received</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13</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25</w:t>
            </w:r>
          </w:p>
        </w:tc>
        <w:tc>
          <w:tcPr>
            <w:tcW w:w="6917" w:type="dxa"/>
            <w:tcBorders>
              <w:top w:val="nil"/>
              <w:left w:val="nil"/>
              <w:bottom w:val="single" w:sz="6" w:space="0" w:color="auto"/>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Other receipts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115</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124</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5D11FA" w:rsidRPr="005D11FA" w:rsidRDefault="005D11FA" w:rsidP="005D11FA">
            <w:pPr>
              <w:autoSpaceDE w:val="0"/>
              <w:autoSpaceDN w:val="0"/>
              <w:adjustRightInd w:val="0"/>
              <w:jc w:val="right"/>
              <w:rPr>
                <w:rFonts w:eastAsiaTheme="minorEastAsia" w:cs="Calibri"/>
                <w:b/>
                <w:bCs/>
                <w:color w:val="000000"/>
                <w:lang w:eastAsia="en-AU"/>
              </w:rPr>
            </w:pPr>
            <w:r w:rsidRPr="005D11FA">
              <w:rPr>
                <w:rFonts w:eastAsiaTheme="minorEastAsia" w:cs="Calibri"/>
                <w:b/>
                <w:bCs/>
                <w:color w:val="000000"/>
                <w:lang w:eastAsia="en-AU"/>
              </w:rPr>
              <w:t>5 077</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 xml:space="preserve">Total receipts </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5 757</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19 283</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 xml:space="preserve"> </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Payments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(44)</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Payments for employees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(192)</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(4)</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Superannuation</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(13)</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(1)</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Interest paid</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(4 361)</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Grants and subsidies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(4 680)</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(17 730)</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(456)</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Goods and services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(509)</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(1 604)</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single" w:sz="6" w:space="0" w:color="auto"/>
              <w:right w:val="nil"/>
            </w:tcBorders>
          </w:tcPr>
          <w:p w:rsidR="005D11FA" w:rsidRPr="005D11FA" w:rsidRDefault="005D11FA" w:rsidP="005D11FA">
            <w:pPr>
              <w:autoSpaceDE w:val="0"/>
              <w:autoSpaceDN w:val="0"/>
              <w:adjustRightInd w:val="0"/>
              <w:jc w:val="right"/>
              <w:rPr>
                <w:rFonts w:eastAsiaTheme="minorEastAsia" w:cs="Calibri"/>
                <w:b/>
                <w:bCs/>
                <w:color w:val="000000"/>
                <w:lang w:eastAsia="en-AU"/>
              </w:rPr>
            </w:pPr>
            <w:r w:rsidRPr="005D11FA">
              <w:rPr>
                <w:rFonts w:eastAsiaTheme="minorEastAsia" w:cs="Calibri"/>
                <w:b/>
                <w:bCs/>
                <w:color w:val="000000"/>
                <w:lang w:eastAsia="en-AU"/>
              </w:rPr>
              <w:t>(4 866)</w:t>
            </w:r>
          </w:p>
        </w:tc>
        <w:tc>
          <w:tcPr>
            <w:tcW w:w="6917" w:type="dxa"/>
            <w:tcBorders>
              <w:top w:val="single" w:sz="6" w:space="0" w:color="auto"/>
              <w:left w:val="nil"/>
              <w:bottom w:val="single" w:sz="6" w:space="0" w:color="auto"/>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 xml:space="preserve">Total payments </w:t>
            </w:r>
          </w:p>
        </w:tc>
        <w:tc>
          <w:tcPr>
            <w:tcW w:w="907" w:type="dxa"/>
            <w:tcBorders>
              <w:top w:val="single" w:sz="6" w:space="0" w:color="auto"/>
              <w:left w:val="nil"/>
              <w:bottom w:val="single" w:sz="6" w:space="0" w:color="auto"/>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(5 243)</w:t>
            </w:r>
          </w:p>
        </w:tc>
        <w:tc>
          <w:tcPr>
            <w:tcW w:w="907" w:type="dxa"/>
            <w:tcBorders>
              <w:top w:val="single" w:sz="6" w:space="0" w:color="auto"/>
              <w:left w:val="nil"/>
              <w:bottom w:val="single" w:sz="6" w:space="0" w:color="auto"/>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(19 544)</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b/>
                <w:bCs/>
                <w:color w:val="000000"/>
                <w:lang w:eastAsia="en-AU"/>
              </w:rPr>
            </w:pPr>
            <w:r>
              <w:rPr>
                <w:rFonts w:eastAsiaTheme="minorEastAsia" w:cs="Calibri"/>
                <w:b/>
                <w:bCs/>
                <w:color w:val="000000"/>
                <w:lang w:eastAsia="en-AU"/>
              </w:rPr>
              <w:t>211</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 xml:space="preserve">Net cash flows from operating activities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514</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(261)</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 xml:space="preserve"> </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Cash flows from investing activities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(21)</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Purchases of non-financial assets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(31)</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(553)</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7</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Sales of non-financial assets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34</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Net proceeds from customer loans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754</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2 649</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(57)</w:t>
            </w:r>
          </w:p>
        </w:tc>
        <w:tc>
          <w:tcPr>
            <w:tcW w:w="6917" w:type="dxa"/>
            <w:tcBorders>
              <w:top w:val="nil"/>
              <w:left w:val="nil"/>
              <w:bottom w:val="single" w:sz="6" w:space="0" w:color="auto"/>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Other investing activities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(459)</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(2 011)</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5D11FA" w:rsidRPr="005D11FA" w:rsidRDefault="005D11FA" w:rsidP="005D11FA">
            <w:pPr>
              <w:autoSpaceDE w:val="0"/>
              <w:autoSpaceDN w:val="0"/>
              <w:adjustRightInd w:val="0"/>
              <w:jc w:val="right"/>
              <w:rPr>
                <w:rFonts w:eastAsiaTheme="minorEastAsia" w:cs="Calibri"/>
                <w:b/>
                <w:bCs/>
                <w:color w:val="000000"/>
                <w:lang w:eastAsia="en-AU"/>
              </w:rPr>
            </w:pPr>
            <w:r>
              <w:rPr>
                <w:rFonts w:eastAsiaTheme="minorEastAsia" w:cs="Calibri"/>
                <w:b/>
                <w:bCs/>
                <w:color w:val="000000"/>
                <w:lang w:eastAsia="en-AU"/>
              </w:rPr>
              <w:t>(71)</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Net cash flows from investing activities</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273</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119</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 xml:space="preserve"> </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Cash flows from financing activities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Pr>
                <w:rFonts w:eastAsiaTheme="minorEastAsia" w:cs="Calibri"/>
                <w:color w:val="000000"/>
                <w:lang w:eastAsia="en-AU"/>
              </w:rPr>
              <w:t>(35)</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Net proceeds (repayments) from borrowings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(452)</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(25)</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5D11FA" w:rsidRPr="005D11FA" w:rsidRDefault="005D11FA" w:rsidP="005D11FA">
            <w:pPr>
              <w:autoSpaceDE w:val="0"/>
              <w:autoSpaceDN w:val="0"/>
              <w:adjustRightInd w:val="0"/>
              <w:jc w:val="right"/>
              <w:rPr>
                <w:rFonts w:eastAsiaTheme="minorEastAsia" w:cs="Calibri"/>
                <w:b/>
                <w:bCs/>
                <w:color w:val="000000"/>
                <w:lang w:eastAsia="en-AU"/>
              </w:rPr>
            </w:pPr>
            <w:r>
              <w:rPr>
                <w:rFonts w:eastAsiaTheme="minorEastAsia" w:cs="Calibri"/>
                <w:b/>
                <w:bCs/>
                <w:color w:val="000000"/>
                <w:lang w:eastAsia="en-AU"/>
              </w:rPr>
              <w:t>(35)</w:t>
            </w:r>
          </w:p>
        </w:tc>
        <w:tc>
          <w:tcPr>
            <w:tcW w:w="6917" w:type="dxa"/>
            <w:tcBorders>
              <w:top w:val="single" w:sz="6" w:space="0" w:color="auto"/>
              <w:left w:val="nil"/>
              <w:bottom w:val="single" w:sz="6" w:space="0" w:color="auto"/>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 xml:space="preserve">Net cash flows from financing activities </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(452)</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(25)</w:t>
            </w:r>
          </w:p>
        </w:tc>
      </w:tr>
      <w:tr w:rsidR="005D11FA" w:rsidRPr="005D11FA" w:rsidTr="005D11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bottom w:val="single" w:sz="12" w:space="0" w:color="auto"/>
            </w:tcBorders>
          </w:tcPr>
          <w:p w:rsidR="005D11FA" w:rsidRPr="005D11FA" w:rsidRDefault="005D11FA" w:rsidP="005D11FA">
            <w:pPr>
              <w:autoSpaceDE w:val="0"/>
              <w:autoSpaceDN w:val="0"/>
              <w:adjustRightInd w:val="0"/>
              <w:jc w:val="right"/>
              <w:rPr>
                <w:rFonts w:eastAsiaTheme="minorEastAsia" w:cs="Calibri"/>
                <w:bCs/>
                <w:color w:val="000000"/>
                <w:lang w:eastAsia="en-AU"/>
              </w:rPr>
            </w:pPr>
            <w:r>
              <w:rPr>
                <w:rFonts w:eastAsiaTheme="minorEastAsia" w:cs="Calibri"/>
                <w:bCs/>
                <w:color w:val="000000"/>
                <w:lang w:eastAsia="en-AU"/>
              </w:rPr>
              <w:t>106</w:t>
            </w:r>
          </w:p>
        </w:tc>
        <w:tc>
          <w:tcPr>
            <w:tcW w:w="6917" w:type="dxa"/>
            <w:tcBorders>
              <w:top w:val="single" w:sz="6" w:space="0" w:color="auto"/>
              <w:bottom w:val="single" w:sz="12" w:space="0" w:color="auto"/>
            </w:tcBorders>
          </w:tcPr>
          <w:p w:rsidR="005D11FA" w:rsidRPr="005D11FA" w:rsidRDefault="005D11FA" w:rsidP="005D11FA">
            <w:pPr>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5D11FA">
              <w:rPr>
                <w:rFonts w:eastAsiaTheme="minorEastAsia" w:cs="Calibri"/>
                <w:bCs/>
                <w:color w:val="000000"/>
                <w:lang w:eastAsia="en-AU"/>
              </w:rPr>
              <w:t xml:space="preserve">Net cash inflow/(outflow) </w:t>
            </w:r>
          </w:p>
        </w:tc>
        <w:tc>
          <w:tcPr>
            <w:tcW w:w="907" w:type="dxa"/>
            <w:tcBorders>
              <w:top w:val="single" w:sz="6" w:space="0" w:color="auto"/>
              <w:bottom w:val="single" w:sz="12" w:space="0" w:color="auto"/>
            </w:tcBorders>
          </w:tcPr>
          <w:p w:rsidR="005D11FA" w:rsidRPr="005D11FA" w:rsidRDefault="005D11FA" w:rsidP="005D11FA">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Pr>
                <w:rFonts w:eastAsiaTheme="minorEastAsia" w:cs="Calibri"/>
                <w:bCs/>
                <w:color w:val="000000"/>
                <w:lang w:eastAsia="en-AU"/>
              </w:rPr>
              <w:t>335</w:t>
            </w:r>
          </w:p>
        </w:tc>
        <w:tc>
          <w:tcPr>
            <w:tcW w:w="907" w:type="dxa"/>
            <w:tcBorders>
              <w:top w:val="single" w:sz="6" w:space="0" w:color="auto"/>
              <w:bottom w:val="single" w:sz="12" w:space="0" w:color="auto"/>
            </w:tcBorders>
          </w:tcPr>
          <w:p w:rsidR="005D11FA" w:rsidRPr="005D11FA" w:rsidRDefault="005D11FA" w:rsidP="005D11FA">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Pr>
                <w:rFonts w:eastAsiaTheme="minorEastAsia" w:cs="Calibri"/>
                <w:bCs/>
                <w:color w:val="000000"/>
                <w:lang w:eastAsia="en-AU"/>
              </w:rPr>
              <w:t>(167)</w:t>
            </w:r>
          </w:p>
        </w:tc>
      </w:tr>
    </w:tbl>
    <w:p w:rsidR="005B4BA6" w:rsidRDefault="005B4BA6" w:rsidP="005D11FA"/>
    <w:p w:rsidR="005B4BA6" w:rsidRDefault="005B4BA6" w:rsidP="00CE372B"/>
    <w:p w:rsidR="005B4BA6" w:rsidRDefault="00180823" w:rsidP="005B4BA6">
      <w:pPr>
        <w:pStyle w:val="Heading2"/>
      </w:pPr>
      <w:r>
        <w:t>Reconciliation of cash flows to balances held</w:t>
      </w:r>
    </w:p>
    <w:p w:rsidR="005D11FA" w:rsidRPr="005D11FA" w:rsidRDefault="00180823" w:rsidP="005D11FA">
      <w:pPr>
        <w:pStyle w:val="TableUnits"/>
        <w:rPr>
          <w:bCs/>
          <w:lang w:val="en-US"/>
        </w:rPr>
      </w:pPr>
      <w:r>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661"/>
        <w:gridCol w:w="992"/>
        <w:gridCol w:w="992"/>
        <w:gridCol w:w="992"/>
      </w:tblGrid>
      <w:tr w:rsidR="00921AE6" w:rsidRPr="005D11FA" w:rsidTr="008041B0">
        <w:trPr>
          <w:cnfStyle w:val="100000000000" w:firstRow="1" w:lastRow="0" w:firstColumn="0" w:lastColumn="0" w:oddVBand="0" w:evenVBand="0" w:oddHBand="0" w:evenHBand="0" w:firstRowFirstColumn="0" w:firstRowLastColumn="0" w:lastRowFirstColumn="0" w:lastRowLastColumn="0"/>
          <w:trHeight w:val="63"/>
          <w:tblHeader/>
        </w:trPr>
        <w:tc>
          <w:tcPr>
            <w:cnfStyle w:val="001000000000" w:firstRow="0" w:lastRow="0" w:firstColumn="1" w:lastColumn="0" w:oddVBand="0" w:evenVBand="0" w:oddHBand="0" w:evenHBand="0" w:firstRowFirstColumn="0" w:firstRowLastColumn="0" w:lastRowFirstColumn="0" w:lastRowLastColumn="0"/>
            <w:tcW w:w="6661" w:type="dxa"/>
            <w:tcBorders>
              <w:top w:val="nil"/>
              <w:left w:val="nil"/>
              <w:right w:val="nil"/>
            </w:tcBorders>
            <w:shd w:val="solid" w:color="000000" w:fill="auto"/>
          </w:tcPr>
          <w:p w:rsidR="00921AE6" w:rsidRPr="005D11FA" w:rsidRDefault="00921AE6" w:rsidP="005D11FA">
            <w:pPr>
              <w:autoSpaceDE w:val="0"/>
              <w:autoSpaceDN w:val="0"/>
              <w:adjustRightInd w:val="0"/>
              <w:rPr>
                <w:rFonts w:eastAsiaTheme="minorEastAsia" w:cs="Calibri"/>
                <w:color w:val="FFFFFF"/>
                <w:lang w:eastAsia="en-AU"/>
              </w:rPr>
            </w:pPr>
            <w:r w:rsidRPr="005D11FA">
              <w:rPr>
                <w:rFonts w:eastAsiaTheme="minorEastAsia" w:cs="Calibri"/>
                <w:color w:val="FFFFFF"/>
                <w:lang w:eastAsia="en-AU"/>
              </w:rPr>
              <w:t xml:space="preserve"> </w:t>
            </w:r>
          </w:p>
        </w:tc>
        <w:tc>
          <w:tcPr>
            <w:tcW w:w="992" w:type="dxa"/>
            <w:tcBorders>
              <w:top w:val="nil"/>
              <w:left w:val="nil"/>
              <w:right w:val="nil"/>
            </w:tcBorders>
            <w:shd w:val="solid" w:color="000000" w:fill="auto"/>
          </w:tcPr>
          <w:p w:rsidR="00921AE6" w:rsidRPr="005D11FA" w:rsidRDefault="00921AE6" w:rsidP="00921A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Balances held at</w:t>
            </w:r>
            <w:r>
              <w:rPr>
                <w:rFonts w:eastAsiaTheme="minorEastAsia" w:cs="Calibri"/>
                <w:iCs/>
                <w:color w:val="FFFFFF"/>
                <w:lang w:eastAsia="en-AU"/>
              </w:rPr>
              <w:br/>
            </w:r>
            <w:r w:rsidRPr="005D11FA">
              <w:rPr>
                <w:rFonts w:eastAsiaTheme="minorEastAsia" w:cs="Calibri"/>
                <w:iCs/>
                <w:color w:val="FFFFFF"/>
                <w:lang w:eastAsia="en-AU"/>
              </w:rPr>
              <w:t>30 Jun 2017</w:t>
            </w:r>
          </w:p>
        </w:tc>
        <w:tc>
          <w:tcPr>
            <w:tcW w:w="992" w:type="dxa"/>
            <w:tcBorders>
              <w:top w:val="nil"/>
              <w:left w:val="nil"/>
              <w:right w:val="nil"/>
            </w:tcBorders>
            <w:shd w:val="solid" w:color="000000" w:fill="auto"/>
          </w:tcPr>
          <w:p w:rsidR="00921AE6" w:rsidRPr="005D11FA" w:rsidRDefault="00921AE6" w:rsidP="00921A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Sep</w:t>
            </w:r>
            <w:r>
              <w:rPr>
                <w:rFonts w:eastAsiaTheme="minorEastAsia" w:cs="Calibri"/>
                <w:iCs/>
                <w:color w:val="FFFFFF"/>
                <w:lang w:eastAsia="en-AU"/>
              </w:rPr>
              <w:br/>
            </w:r>
            <w:r w:rsidRPr="005D11FA">
              <w:rPr>
                <w:rFonts w:eastAsiaTheme="minorEastAsia" w:cs="Calibri"/>
                <w:iCs/>
                <w:color w:val="FFFFFF"/>
                <w:lang w:eastAsia="en-AU"/>
              </w:rPr>
              <w:t>movement</w:t>
            </w:r>
            <w:r>
              <w:rPr>
                <w:rFonts w:eastAsiaTheme="minorEastAsia" w:cs="Calibri"/>
                <w:iCs/>
                <w:color w:val="FFFFFF"/>
                <w:lang w:eastAsia="en-AU"/>
              </w:rPr>
              <w:br/>
            </w:r>
            <w:r w:rsidRPr="005D11FA">
              <w:rPr>
                <w:rFonts w:eastAsiaTheme="minorEastAsia" w:cs="Calibri"/>
                <w:iCs/>
                <w:color w:val="FFFFFF"/>
                <w:lang w:eastAsia="en-AU"/>
              </w:rPr>
              <w:t>YTD</w:t>
            </w:r>
          </w:p>
        </w:tc>
        <w:tc>
          <w:tcPr>
            <w:tcW w:w="992" w:type="dxa"/>
            <w:tcBorders>
              <w:top w:val="nil"/>
              <w:left w:val="nil"/>
              <w:right w:val="nil"/>
            </w:tcBorders>
            <w:shd w:val="solid" w:color="000000" w:fill="auto"/>
          </w:tcPr>
          <w:p w:rsidR="00921AE6" w:rsidRPr="005D11FA" w:rsidRDefault="00921AE6" w:rsidP="00921A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Balances held at</w:t>
            </w:r>
            <w:r>
              <w:rPr>
                <w:rFonts w:eastAsiaTheme="minorEastAsia" w:cs="Calibri"/>
                <w:iCs/>
                <w:color w:val="FFFFFF"/>
                <w:lang w:eastAsia="en-AU"/>
              </w:rPr>
              <w:br/>
            </w:r>
            <w:r w:rsidRPr="005D11FA">
              <w:rPr>
                <w:rFonts w:eastAsiaTheme="minorEastAsia" w:cs="Calibri"/>
                <w:iCs/>
                <w:color w:val="FFFFFF"/>
                <w:lang w:eastAsia="en-AU"/>
              </w:rPr>
              <w:t>30 Sep 2017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b/>
                <w:bCs/>
                <w:color w:val="000000"/>
                <w:lang w:eastAsia="en-AU"/>
              </w:rPr>
            </w:pPr>
            <w:r w:rsidRPr="005D11FA">
              <w:rPr>
                <w:rFonts w:eastAsiaTheme="minorEastAsia" w:cs="Calibri"/>
                <w:b/>
                <w:bCs/>
                <w:color w:val="000000"/>
                <w:lang w:eastAsia="en-AU"/>
              </w:rPr>
              <w:t>Cash and deposits</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Cash balances outside the Public Account</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Deposits held with the Public Account – specific trusts</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561</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267</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828</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single" w:sz="6" w:space="0" w:color="auto"/>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Other balances held in the Public Account</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3 328</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(3 554)</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(226)</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b/>
                <w:bCs/>
                <w:color w:val="000000"/>
                <w:lang w:eastAsia="en-AU"/>
              </w:rPr>
            </w:pPr>
            <w:r w:rsidRPr="005D11FA">
              <w:rPr>
                <w:rFonts w:eastAsiaTheme="minorEastAsia" w:cs="Calibri"/>
                <w:b/>
                <w:bCs/>
                <w:color w:val="000000"/>
                <w:lang w:eastAsia="en-AU"/>
              </w:rPr>
              <w:t>Total cash and deposits</w:t>
            </w:r>
          </w:p>
        </w:tc>
        <w:tc>
          <w:tcPr>
            <w:tcW w:w="992"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3 888</w:t>
            </w:r>
          </w:p>
        </w:tc>
        <w:tc>
          <w:tcPr>
            <w:tcW w:w="992"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(3 287)</w:t>
            </w:r>
          </w:p>
        </w:tc>
        <w:tc>
          <w:tcPr>
            <w:tcW w:w="992"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601</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b/>
                <w:bCs/>
                <w:color w:val="000000"/>
                <w:lang w:eastAsia="en-AU"/>
              </w:rPr>
            </w:pPr>
            <w:r w:rsidRPr="005D11FA">
              <w:rPr>
                <w:rFonts w:eastAsiaTheme="minorEastAsia" w:cs="Calibri"/>
                <w:b/>
                <w:bCs/>
                <w:color w:val="000000"/>
                <w:lang w:eastAsia="en-AU"/>
              </w:rPr>
              <w:t>Investments</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 xml:space="preserve">Investments held with the Public Account – specific trusts </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1 285</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(88)</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1 197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b/>
                <w:bCs/>
                <w:color w:val="000000"/>
                <w:lang w:eastAsia="en-AU"/>
              </w:rPr>
            </w:pPr>
            <w:r w:rsidRPr="005D11FA">
              <w:rPr>
                <w:rFonts w:eastAsiaTheme="minorEastAsia" w:cs="Calibri"/>
                <w:b/>
                <w:bCs/>
                <w:color w:val="000000"/>
                <w:lang w:eastAsia="en-AU"/>
              </w:rPr>
              <w:t>Total investments</w:t>
            </w:r>
          </w:p>
        </w:tc>
        <w:tc>
          <w:tcPr>
            <w:tcW w:w="992" w:type="dxa"/>
            <w:tcBorders>
              <w:top w:val="nil"/>
              <w:left w:val="nil"/>
              <w:bottom w:val="single" w:sz="6" w:space="0" w:color="auto"/>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1 285</w:t>
            </w:r>
          </w:p>
        </w:tc>
        <w:tc>
          <w:tcPr>
            <w:tcW w:w="992" w:type="dxa"/>
            <w:tcBorders>
              <w:top w:val="nil"/>
              <w:left w:val="nil"/>
              <w:bottom w:val="single" w:sz="6" w:space="0" w:color="auto"/>
              <w:right w:val="nil"/>
            </w:tcBorders>
          </w:tcPr>
          <w:p w:rsidR="005D11FA" w:rsidRPr="00A92651"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lang w:eastAsia="en-AU"/>
              </w:rPr>
            </w:pPr>
            <w:r w:rsidRPr="00A92651">
              <w:rPr>
                <w:rFonts w:eastAsiaTheme="minorEastAsia" w:cs="Calibri"/>
                <w:b/>
                <w:color w:val="000000"/>
                <w:lang w:eastAsia="en-AU"/>
              </w:rPr>
              <w:t>(88)</w:t>
            </w:r>
          </w:p>
        </w:tc>
        <w:tc>
          <w:tcPr>
            <w:tcW w:w="992" w:type="dxa"/>
            <w:tcBorders>
              <w:top w:val="nil"/>
              <w:left w:val="nil"/>
              <w:bottom w:val="single" w:sz="6" w:space="0" w:color="auto"/>
              <w:right w:val="nil"/>
            </w:tcBorders>
          </w:tcPr>
          <w:p w:rsidR="005D11FA" w:rsidRPr="00A92651"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92651">
              <w:rPr>
                <w:rFonts w:eastAsiaTheme="minorEastAsia" w:cs="Calibri"/>
                <w:b/>
                <w:bCs/>
                <w:color w:val="000000"/>
                <w:lang w:eastAsia="en-AU"/>
              </w:rPr>
              <w:t>1 197</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single" w:sz="6" w:space="0" w:color="auto"/>
              <w:left w:val="nil"/>
              <w:bottom w:val="nil"/>
              <w:right w:val="nil"/>
            </w:tcBorders>
          </w:tcPr>
          <w:p w:rsidR="005D11FA" w:rsidRPr="005D11FA" w:rsidRDefault="005D11FA" w:rsidP="005D11FA">
            <w:pPr>
              <w:autoSpaceDE w:val="0"/>
              <w:autoSpaceDN w:val="0"/>
              <w:adjustRightInd w:val="0"/>
              <w:rPr>
                <w:rFonts w:eastAsiaTheme="minorEastAsia" w:cs="Calibri"/>
                <w:b/>
                <w:bCs/>
                <w:color w:val="000000"/>
                <w:lang w:eastAsia="en-AU"/>
              </w:rPr>
            </w:pPr>
            <w:r w:rsidRPr="005D11FA">
              <w:rPr>
                <w:rFonts w:eastAsiaTheme="minorEastAsia" w:cs="Calibri"/>
                <w:b/>
                <w:bCs/>
                <w:color w:val="000000"/>
                <w:lang w:eastAsia="en-AU"/>
              </w:rPr>
              <w:t>Total fund balances</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5 173</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(3 376)</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1 798</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b/>
                <w:bCs/>
                <w:color w:val="000000"/>
                <w:lang w:eastAsia="en-AU"/>
              </w:rPr>
            </w:pPr>
            <w:r w:rsidRPr="005D11FA">
              <w:rPr>
                <w:rFonts w:eastAsiaTheme="minorEastAsia" w:cs="Calibri"/>
                <w:b/>
                <w:bCs/>
                <w:color w:val="000000"/>
                <w:lang w:eastAsia="en-AU"/>
              </w:rPr>
              <w:t>Less funds held outside the Public Account</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 xml:space="preserve">Cash </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b/>
                <w:bCs/>
                <w:color w:val="000000"/>
                <w:lang w:eastAsia="en-AU"/>
              </w:rPr>
            </w:pPr>
            <w:r w:rsidRPr="005D11FA">
              <w:rPr>
                <w:rFonts w:eastAsiaTheme="minorEastAsia" w:cs="Calibri"/>
                <w:b/>
                <w:bCs/>
                <w:color w:val="000000"/>
                <w:lang w:eastAsia="en-AU"/>
              </w:rPr>
              <w:t>Total fund balances held outside the Public Account</w:t>
            </w:r>
          </w:p>
        </w:tc>
        <w:tc>
          <w:tcPr>
            <w:tcW w:w="992" w:type="dxa"/>
            <w:tcBorders>
              <w:top w:val="nil"/>
              <w:left w:val="nil"/>
              <w:bottom w:val="single" w:sz="6" w:space="0" w:color="auto"/>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w:t>
            </w:r>
          </w:p>
        </w:tc>
        <w:tc>
          <w:tcPr>
            <w:tcW w:w="992"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w:t>
            </w:r>
          </w:p>
        </w:tc>
        <w:tc>
          <w:tcPr>
            <w:tcW w:w="992" w:type="dxa"/>
            <w:tcBorders>
              <w:top w:val="nil"/>
              <w:left w:val="nil"/>
              <w:bottom w:val="single" w:sz="6" w:space="0" w:color="auto"/>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6661" w:type="dxa"/>
            <w:tcBorders>
              <w:top w:val="single" w:sz="6" w:space="0" w:color="auto"/>
              <w:left w:val="nil"/>
              <w:bottom w:val="single" w:sz="12" w:space="0" w:color="auto"/>
              <w:right w:val="nil"/>
            </w:tcBorders>
          </w:tcPr>
          <w:p w:rsidR="005D11FA" w:rsidRPr="005D11FA" w:rsidRDefault="005D11FA" w:rsidP="005D11FA">
            <w:pPr>
              <w:autoSpaceDE w:val="0"/>
              <w:autoSpaceDN w:val="0"/>
              <w:adjustRightInd w:val="0"/>
              <w:rPr>
                <w:rFonts w:eastAsiaTheme="minorEastAsia" w:cs="Calibri"/>
                <w:b/>
                <w:bCs/>
                <w:color w:val="000000"/>
                <w:vertAlign w:val="superscript"/>
                <w:lang w:eastAsia="en-AU"/>
              </w:rPr>
            </w:pPr>
            <w:r w:rsidRPr="005D11FA">
              <w:rPr>
                <w:rFonts w:eastAsiaTheme="minorEastAsia" w:cs="Calibri"/>
                <w:b/>
                <w:bCs/>
                <w:color w:val="000000"/>
                <w:lang w:eastAsia="en-AU"/>
              </w:rPr>
              <w:t xml:space="preserve">Total funds held in the Public Account </w:t>
            </w:r>
            <w:r w:rsidRPr="005D11FA">
              <w:rPr>
                <w:rFonts w:eastAsiaTheme="minorEastAsia" w:cs="Calibri"/>
                <w:b/>
                <w:bCs/>
                <w:color w:val="000000"/>
                <w:vertAlign w:val="superscript"/>
                <w:lang w:eastAsia="en-AU"/>
              </w:rPr>
              <w:t>(a)</w:t>
            </w:r>
          </w:p>
        </w:tc>
        <w:tc>
          <w:tcPr>
            <w:tcW w:w="992" w:type="dxa"/>
            <w:tcBorders>
              <w:top w:val="single" w:sz="6" w:space="0" w:color="auto"/>
              <w:left w:val="nil"/>
              <w:bottom w:val="single" w:sz="12" w:space="0" w:color="auto"/>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5 174</w:t>
            </w:r>
          </w:p>
        </w:tc>
        <w:tc>
          <w:tcPr>
            <w:tcW w:w="992" w:type="dxa"/>
            <w:tcBorders>
              <w:top w:val="single" w:sz="6" w:space="0" w:color="auto"/>
              <w:left w:val="nil"/>
              <w:bottom w:val="single" w:sz="12" w:space="0" w:color="auto"/>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(3 375)</w:t>
            </w:r>
          </w:p>
        </w:tc>
        <w:tc>
          <w:tcPr>
            <w:tcW w:w="992" w:type="dxa"/>
            <w:tcBorders>
              <w:top w:val="single" w:sz="6" w:space="0" w:color="auto"/>
              <w:left w:val="nil"/>
              <w:bottom w:val="single" w:sz="12" w:space="0" w:color="auto"/>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1 799</w:t>
            </w:r>
          </w:p>
        </w:tc>
      </w:tr>
    </w:tbl>
    <w:p w:rsidR="00804880" w:rsidRDefault="00804880" w:rsidP="005D11FA">
      <w:pPr>
        <w:pStyle w:val="Note"/>
      </w:pPr>
      <w:r>
        <w:t>Note:</w:t>
      </w:r>
    </w:p>
    <w:p w:rsidR="005B4BA6" w:rsidRPr="00804880" w:rsidRDefault="00804880" w:rsidP="00804880">
      <w:pPr>
        <w:pStyle w:val="Note"/>
      </w:pPr>
      <w:r>
        <w:t>(a)</w:t>
      </w:r>
      <w:r>
        <w:tab/>
        <w:t>See Note 6.4 below for details of securities and investments including amounts held in the Public Account on behalf of trust accounts.</w:t>
      </w:r>
    </w:p>
    <w:p w:rsidR="005B4BA6" w:rsidRDefault="00180823" w:rsidP="005B4BA6">
      <w:pPr>
        <w:pStyle w:val="Heading2"/>
      </w:pPr>
      <w:r>
        <w:lastRenderedPageBreak/>
        <w:t>Details of securities held</w:t>
      </w:r>
    </w:p>
    <w:p w:rsidR="005D11FA" w:rsidRPr="005D11FA" w:rsidRDefault="00180823" w:rsidP="005D11FA">
      <w:pPr>
        <w:pStyle w:val="TableUnits"/>
        <w:rPr>
          <w:bCs/>
          <w:lang w:val="en-US"/>
        </w:rPr>
      </w:pPr>
      <w:r>
        <w:t>($ million)</w:t>
      </w:r>
      <w:r w:rsidR="00941EFF">
        <w:t xml:space="preserve"> </w:t>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907"/>
        <w:gridCol w:w="6917"/>
        <w:gridCol w:w="907"/>
        <w:gridCol w:w="907"/>
      </w:tblGrid>
      <w:tr w:rsidR="00921AE6" w:rsidRPr="005D11FA" w:rsidTr="008C5D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vMerge w:val="restart"/>
            <w:tcBorders>
              <w:top w:val="nil"/>
              <w:left w:val="nil"/>
              <w:right w:val="nil"/>
            </w:tcBorders>
            <w:shd w:val="solid" w:color="000000" w:fill="auto"/>
          </w:tcPr>
          <w:p w:rsidR="00921AE6" w:rsidRPr="005D11FA" w:rsidRDefault="00921AE6" w:rsidP="00921AE6">
            <w:pPr>
              <w:autoSpaceDE w:val="0"/>
              <w:autoSpaceDN w:val="0"/>
              <w:adjustRightInd w:val="0"/>
              <w:jc w:val="right"/>
              <w:rPr>
                <w:rFonts w:eastAsiaTheme="minorEastAsia" w:cs="Calibri"/>
                <w:iCs/>
                <w:color w:val="FFFFFF"/>
                <w:lang w:eastAsia="en-AU"/>
              </w:rPr>
            </w:pPr>
            <w:r w:rsidRPr="005D11FA">
              <w:rPr>
                <w:rFonts w:eastAsiaTheme="minorEastAsia" w:cs="Calibri"/>
                <w:iCs/>
                <w:color w:val="FFFFFF"/>
                <w:lang w:eastAsia="en-AU"/>
              </w:rPr>
              <w:t>2016-17</w:t>
            </w:r>
            <w:r>
              <w:rPr>
                <w:rFonts w:eastAsiaTheme="minorEastAsia" w:cs="Calibri"/>
                <w:iCs/>
                <w:color w:val="FFFFFF"/>
                <w:lang w:eastAsia="en-AU"/>
              </w:rPr>
              <w:br/>
            </w:r>
            <w:r w:rsidRPr="005D11FA">
              <w:rPr>
                <w:rFonts w:eastAsiaTheme="minorEastAsia" w:cs="Calibri"/>
                <w:iCs/>
                <w:color w:val="FFFFFF"/>
                <w:lang w:eastAsia="en-AU"/>
              </w:rPr>
              <w:t xml:space="preserve">actual </w:t>
            </w:r>
            <w:r>
              <w:rPr>
                <w:rFonts w:eastAsiaTheme="minorEastAsia" w:cs="Calibri"/>
                <w:iCs/>
                <w:color w:val="FFFFFF"/>
                <w:lang w:eastAsia="en-AU"/>
              </w:rPr>
              <w:br/>
            </w:r>
            <w:r w:rsidRPr="005D11FA">
              <w:rPr>
                <w:rFonts w:eastAsiaTheme="minorEastAsia" w:cs="Calibri"/>
                <w:iCs/>
                <w:color w:val="FFFFFF"/>
                <w:lang w:eastAsia="en-AU"/>
              </w:rPr>
              <w:t>30 Sep</w:t>
            </w:r>
          </w:p>
        </w:tc>
        <w:tc>
          <w:tcPr>
            <w:tcW w:w="6917" w:type="dxa"/>
            <w:vMerge w:val="restart"/>
            <w:tcBorders>
              <w:top w:val="nil"/>
              <w:left w:val="nil"/>
              <w:right w:val="nil"/>
            </w:tcBorders>
            <w:shd w:val="solid" w:color="000000" w:fill="auto"/>
          </w:tcPr>
          <w:p w:rsidR="00921AE6" w:rsidRPr="005D11FA" w:rsidRDefault="00921AE6" w:rsidP="005D11FA">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921AE6" w:rsidRPr="005D11FA" w:rsidRDefault="00921AE6" w:rsidP="005D11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2017-18</w:t>
            </w:r>
          </w:p>
        </w:tc>
      </w:tr>
      <w:tr w:rsidR="00921AE6" w:rsidRPr="005D11FA" w:rsidTr="008041B0">
        <w:trPr>
          <w:cnfStyle w:val="100000000000" w:firstRow="1" w:lastRow="0" w:firstColumn="0" w:lastColumn="0" w:oddVBand="0" w:evenVBand="0" w:oddHBand="0" w:evenHBand="0" w:firstRowFirstColumn="0" w:firstRowLastColumn="0" w:lastRowFirstColumn="0" w:lastRowLastColumn="0"/>
          <w:trHeight w:val="63"/>
          <w:tblHeader/>
        </w:trPr>
        <w:tc>
          <w:tcPr>
            <w:cnfStyle w:val="001000000000" w:firstRow="0" w:lastRow="0" w:firstColumn="1" w:lastColumn="0" w:oddVBand="0" w:evenVBand="0" w:oddHBand="0" w:evenHBand="0" w:firstRowFirstColumn="0" w:firstRowLastColumn="0" w:lastRowFirstColumn="0" w:lastRowLastColumn="0"/>
            <w:tcW w:w="907" w:type="dxa"/>
            <w:vMerge/>
            <w:tcBorders>
              <w:left w:val="nil"/>
              <w:right w:val="nil"/>
            </w:tcBorders>
            <w:shd w:val="solid" w:color="000000" w:fill="auto"/>
          </w:tcPr>
          <w:p w:rsidR="00921AE6" w:rsidRPr="005D11FA" w:rsidRDefault="00921AE6" w:rsidP="005D11FA">
            <w:pPr>
              <w:autoSpaceDE w:val="0"/>
              <w:autoSpaceDN w:val="0"/>
              <w:adjustRightInd w:val="0"/>
              <w:jc w:val="right"/>
              <w:rPr>
                <w:rFonts w:eastAsiaTheme="minorEastAsia" w:cs="Calibri"/>
                <w:iCs/>
                <w:color w:val="FFFFFF"/>
                <w:lang w:eastAsia="en-AU"/>
              </w:rPr>
            </w:pPr>
          </w:p>
        </w:tc>
        <w:tc>
          <w:tcPr>
            <w:tcW w:w="6917" w:type="dxa"/>
            <w:vMerge/>
            <w:tcBorders>
              <w:left w:val="nil"/>
              <w:right w:val="nil"/>
            </w:tcBorders>
            <w:shd w:val="solid" w:color="000000" w:fill="auto"/>
          </w:tcPr>
          <w:p w:rsidR="00921AE6" w:rsidRPr="005D11FA" w:rsidRDefault="00921AE6" w:rsidP="005D11FA">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p>
        </w:tc>
        <w:tc>
          <w:tcPr>
            <w:tcW w:w="907" w:type="dxa"/>
            <w:tcBorders>
              <w:top w:val="nil"/>
              <w:left w:val="nil"/>
              <w:right w:val="nil"/>
            </w:tcBorders>
            <w:shd w:val="solid" w:color="000000" w:fill="auto"/>
          </w:tcPr>
          <w:p w:rsidR="00921AE6" w:rsidRPr="005D11FA" w:rsidRDefault="00921AE6" w:rsidP="00921A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opening</w:t>
            </w:r>
            <w:r>
              <w:rPr>
                <w:rFonts w:eastAsiaTheme="minorEastAsia" w:cs="Calibri"/>
                <w:iCs/>
                <w:color w:val="FFFFFF"/>
                <w:lang w:eastAsia="en-AU"/>
              </w:rPr>
              <w:br/>
            </w:r>
            <w:r w:rsidRPr="005D11FA">
              <w:rPr>
                <w:rFonts w:eastAsiaTheme="minorEastAsia" w:cs="Calibri"/>
                <w:iCs/>
                <w:color w:val="FFFFFF"/>
                <w:lang w:eastAsia="en-AU"/>
              </w:rPr>
              <w:t>1 Jul</w:t>
            </w:r>
          </w:p>
        </w:tc>
        <w:tc>
          <w:tcPr>
            <w:tcW w:w="907" w:type="dxa"/>
            <w:tcBorders>
              <w:top w:val="nil"/>
              <w:left w:val="nil"/>
              <w:right w:val="nil"/>
            </w:tcBorders>
            <w:shd w:val="solid" w:color="000000" w:fill="auto"/>
          </w:tcPr>
          <w:p w:rsidR="00921AE6" w:rsidRPr="005D11FA" w:rsidRDefault="00921AE6" w:rsidP="00921A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5D11FA">
              <w:rPr>
                <w:rFonts w:eastAsiaTheme="minorEastAsia" w:cs="Calibri"/>
                <w:iCs/>
                <w:color w:val="FFFFFF"/>
                <w:lang w:eastAsia="en-AU"/>
              </w:rPr>
              <w:t>actual</w:t>
            </w:r>
            <w:r>
              <w:rPr>
                <w:rFonts w:eastAsiaTheme="minorEastAsia" w:cs="Calibri"/>
                <w:iCs/>
                <w:color w:val="FFFFFF"/>
                <w:lang w:eastAsia="en-AU"/>
              </w:rPr>
              <w:br/>
            </w:r>
            <w:r w:rsidRPr="005D11FA">
              <w:rPr>
                <w:rFonts w:eastAsiaTheme="minorEastAsia" w:cs="Calibri"/>
                <w:iCs/>
                <w:color w:val="FFFFFF"/>
                <w:lang w:eastAsia="en-AU"/>
              </w:rPr>
              <w:t>30 Sep</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1 798</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Amounts invested on behalf of specific trust accounts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1 846</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2 025</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1 153</w:t>
            </w:r>
          </w:p>
        </w:tc>
        <w:tc>
          <w:tcPr>
            <w:tcW w:w="6917" w:type="dxa"/>
            <w:tcBorders>
              <w:top w:val="nil"/>
              <w:left w:val="nil"/>
              <w:bottom w:val="single" w:sz="6" w:space="0" w:color="auto"/>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General account balances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3 328</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(226)</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5D11FA" w:rsidRPr="005D11FA" w:rsidRDefault="009161A3" w:rsidP="005D11FA">
            <w:pPr>
              <w:autoSpaceDE w:val="0"/>
              <w:autoSpaceDN w:val="0"/>
              <w:adjustRightInd w:val="0"/>
              <w:jc w:val="right"/>
              <w:rPr>
                <w:rFonts w:eastAsiaTheme="minorEastAsia" w:cs="Calibri"/>
                <w:b/>
                <w:bCs/>
                <w:color w:val="000000"/>
                <w:lang w:eastAsia="en-AU"/>
              </w:rPr>
            </w:pPr>
            <w:r>
              <w:rPr>
                <w:rFonts w:eastAsiaTheme="minorEastAsia" w:cs="Calibri"/>
                <w:b/>
                <w:bCs/>
                <w:color w:val="000000"/>
                <w:lang w:eastAsia="en-AU"/>
              </w:rPr>
              <w:t>2 951</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Total Public Account</w:t>
            </w:r>
          </w:p>
        </w:tc>
        <w:tc>
          <w:tcPr>
            <w:tcW w:w="907" w:type="dxa"/>
            <w:tcBorders>
              <w:top w:val="single" w:sz="6" w:space="0" w:color="auto"/>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5 174</w:t>
            </w:r>
          </w:p>
        </w:tc>
        <w:tc>
          <w:tcPr>
            <w:tcW w:w="907" w:type="dxa"/>
            <w:tcBorders>
              <w:top w:val="single" w:sz="6" w:space="0" w:color="auto"/>
              <w:left w:val="nil"/>
              <w:bottom w:val="nil"/>
              <w:right w:val="nil"/>
            </w:tcBorders>
            <w:shd w:val="solid" w:color="FFFFFF" w:fill="auto"/>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1 799</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 xml:space="preserve"> </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5D11FA">
              <w:rPr>
                <w:rFonts w:eastAsiaTheme="minorEastAsia" w:cs="Calibri"/>
                <w:b/>
                <w:bCs/>
                <w:color w:val="000000"/>
                <w:lang w:eastAsia="en-AU"/>
              </w:rPr>
              <w:t>Represented by:</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07" w:type="dxa"/>
            <w:tcBorders>
              <w:top w:val="nil"/>
              <w:left w:val="nil"/>
              <w:bottom w:val="nil"/>
              <w:right w:val="nil"/>
            </w:tcBorders>
            <w:shd w:val="solid" w:color="FFFFFF" w:fill="auto"/>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1 126</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Stock, securities, cash and investments</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3 850</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1 166</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rPr>
                <w:rFonts w:eastAsiaTheme="minorEastAsia" w:cs="Calibri"/>
                <w:color w:val="000000"/>
                <w:lang w:eastAsia="en-AU"/>
              </w:rPr>
            </w:pPr>
            <w:r w:rsidRPr="005D11FA">
              <w:rPr>
                <w:rFonts w:eastAsiaTheme="minorEastAsia" w:cs="Calibri"/>
                <w:color w:val="000000"/>
                <w:lang w:eastAsia="en-AU"/>
              </w:rPr>
              <w:t xml:space="preserve"> </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Add cash advanced for: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 xml:space="preserve"> </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5D11FA">
              <w:rPr>
                <w:rFonts w:eastAsiaTheme="minorEastAsia" w:cs="Calibri"/>
                <w:color w:val="000000"/>
                <w:lang w:eastAsia="en-AU"/>
              </w:rPr>
              <w:t xml:space="preserve">Temporary Advance from the Treasury Corporation of Victoria to the Consolidated Fund pursuant to Section 38 of the </w:t>
            </w:r>
            <w:r w:rsidRPr="005D11FA">
              <w:rPr>
                <w:rFonts w:eastAsiaTheme="minorEastAsia" w:cs="Calibri"/>
                <w:i/>
                <w:iCs/>
                <w:color w:val="000000"/>
                <w:lang w:eastAsia="en-AU"/>
              </w:rPr>
              <w:t>Financial Management Act, No. 18 of 1994</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450</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D11FA">
              <w:rPr>
                <w:rFonts w:eastAsiaTheme="minorEastAsia" w:cs="Calibri"/>
                <w:color w:val="000000"/>
                <w:lang w:eastAsia="en-AU"/>
              </w:rPr>
              <w:t>..</w:t>
            </w:r>
          </w:p>
        </w:tc>
      </w:tr>
      <w:tr w:rsidR="005D11FA" w:rsidRPr="005D11FA" w:rsidTr="005D11FA">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5D11FA" w:rsidRPr="005D11FA" w:rsidRDefault="005D11FA" w:rsidP="005D11FA">
            <w:pPr>
              <w:autoSpaceDE w:val="0"/>
              <w:autoSpaceDN w:val="0"/>
              <w:adjustRightInd w:val="0"/>
              <w:jc w:val="right"/>
              <w:rPr>
                <w:rFonts w:eastAsiaTheme="minorEastAsia" w:cs="Calibri"/>
                <w:color w:val="000000"/>
                <w:lang w:eastAsia="en-AU"/>
              </w:rPr>
            </w:pPr>
            <w:r w:rsidRPr="005D11FA">
              <w:rPr>
                <w:rFonts w:eastAsiaTheme="minorEastAsia" w:cs="Calibri"/>
                <w:color w:val="000000"/>
                <w:lang w:eastAsia="en-AU"/>
              </w:rPr>
              <w:t>1 826</w:t>
            </w:r>
          </w:p>
        </w:tc>
        <w:tc>
          <w:tcPr>
            <w:tcW w:w="6917" w:type="dxa"/>
            <w:tcBorders>
              <w:top w:val="nil"/>
              <w:left w:val="nil"/>
              <w:bottom w:val="nil"/>
              <w:right w:val="nil"/>
            </w:tcBorders>
          </w:tcPr>
          <w:p w:rsidR="005D11FA" w:rsidRPr="005D11FA" w:rsidRDefault="005D11FA" w:rsidP="005D11FA">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sidRPr="005D11FA">
              <w:rPr>
                <w:rFonts w:eastAsiaTheme="minorEastAsia" w:cs="Calibri"/>
                <w:color w:val="000000"/>
                <w:lang w:eastAsia="en-AU"/>
              </w:rPr>
              <w:t xml:space="preserve">Advances pursuant to sections 36 and 37 of the </w:t>
            </w:r>
            <w:r w:rsidRPr="005D11FA">
              <w:rPr>
                <w:rFonts w:eastAsiaTheme="minorEastAsia" w:cs="Calibri"/>
                <w:i/>
                <w:iCs/>
                <w:color w:val="000000"/>
                <w:lang w:eastAsia="en-AU"/>
              </w:rPr>
              <w:t>Financial Management Act 1994</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874</w:t>
            </w:r>
          </w:p>
        </w:tc>
        <w:tc>
          <w:tcPr>
            <w:tcW w:w="907" w:type="dxa"/>
            <w:tcBorders>
              <w:top w:val="nil"/>
              <w:left w:val="nil"/>
              <w:bottom w:val="nil"/>
              <w:right w:val="nil"/>
            </w:tcBorders>
          </w:tcPr>
          <w:p w:rsidR="005D11FA" w:rsidRPr="005D11FA" w:rsidRDefault="005D11FA" w:rsidP="005D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633</w:t>
            </w:r>
          </w:p>
        </w:tc>
      </w:tr>
      <w:tr w:rsidR="005D11FA" w:rsidRPr="005D11FA" w:rsidTr="005D11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bottom w:val="single" w:sz="12" w:space="0" w:color="auto"/>
            </w:tcBorders>
          </w:tcPr>
          <w:p w:rsidR="005D11FA" w:rsidRPr="005D11FA" w:rsidRDefault="005D11FA" w:rsidP="005D11FA">
            <w:pPr>
              <w:autoSpaceDE w:val="0"/>
              <w:autoSpaceDN w:val="0"/>
              <w:adjustRightInd w:val="0"/>
              <w:jc w:val="right"/>
              <w:rPr>
                <w:rFonts w:eastAsiaTheme="minorEastAsia" w:cs="Calibri"/>
                <w:bCs/>
                <w:color w:val="000000"/>
                <w:lang w:eastAsia="en-AU"/>
              </w:rPr>
            </w:pPr>
            <w:r w:rsidRPr="005D11FA">
              <w:rPr>
                <w:rFonts w:eastAsiaTheme="minorEastAsia" w:cs="Calibri"/>
                <w:bCs/>
                <w:color w:val="000000"/>
                <w:lang w:eastAsia="en-AU"/>
              </w:rPr>
              <w:t>2 951</w:t>
            </w:r>
          </w:p>
        </w:tc>
        <w:tc>
          <w:tcPr>
            <w:tcW w:w="6917" w:type="dxa"/>
            <w:tcBorders>
              <w:top w:val="single" w:sz="6" w:space="0" w:color="auto"/>
              <w:bottom w:val="single" w:sz="12" w:space="0" w:color="auto"/>
            </w:tcBorders>
          </w:tcPr>
          <w:p w:rsidR="005D11FA" w:rsidRPr="005D11FA" w:rsidRDefault="005D11FA" w:rsidP="005D11FA">
            <w:pPr>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5D11FA">
              <w:rPr>
                <w:rFonts w:eastAsiaTheme="minorEastAsia" w:cs="Calibri"/>
                <w:bCs/>
                <w:color w:val="000000"/>
                <w:lang w:eastAsia="en-AU"/>
              </w:rPr>
              <w:t>Total Public Account</w:t>
            </w:r>
          </w:p>
        </w:tc>
        <w:tc>
          <w:tcPr>
            <w:tcW w:w="907" w:type="dxa"/>
            <w:tcBorders>
              <w:top w:val="single" w:sz="6" w:space="0" w:color="auto"/>
              <w:bottom w:val="single" w:sz="12" w:space="0" w:color="auto"/>
            </w:tcBorders>
          </w:tcPr>
          <w:p w:rsidR="005D11FA" w:rsidRPr="005D11FA" w:rsidRDefault="005D11FA" w:rsidP="005D11FA">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5D11FA">
              <w:rPr>
                <w:rFonts w:eastAsiaTheme="minorEastAsia" w:cs="Calibri"/>
                <w:bCs/>
                <w:color w:val="000000"/>
                <w:lang w:eastAsia="en-AU"/>
              </w:rPr>
              <w:t>5 174</w:t>
            </w:r>
          </w:p>
        </w:tc>
        <w:tc>
          <w:tcPr>
            <w:tcW w:w="907" w:type="dxa"/>
            <w:tcBorders>
              <w:top w:val="single" w:sz="6" w:space="0" w:color="auto"/>
              <w:bottom w:val="single" w:sz="12" w:space="0" w:color="auto"/>
            </w:tcBorders>
          </w:tcPr>
          <w:p w:rsidR="005D11FA" w:rsidRPr="005D11FA" w:rsidRDefault="005D11FA" w:rsidP="005D11FA">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5D11FA">
              <w:rPr>
                <w:rFonts w:eastAsiaTheme="minorEastAsia" w:cs="Calibri"/>
                <w:bCs/>
                <w:color w:val="000000"/>
                <w:lang w:eastAsia="en-AU"/>
              </w:rPr>
              <w:t>1 799</w:t>
            </w:r>
          </w:p>
        </w:tc>
      </w:tr>
    </w:tbl>
    <w:p w:rsidR="005B4BA6" w:rsidRDefault="005B4BA6" w:rsidP="005D11FA"/>
    <w:p w:rsidR="00180823" w:rsidRDefault="00955520" w:rsidP="00955520">
      <w:pPr>
        <w:pStyle w:val="Heading1"/>
      </w:pPr>
      <w:bookmarkStart w:id="17" w:name="_Toc497376528"/>
      <w:r>
        <w:lastRenderedPageBreak/>
        <w:t>Other disclosures</w:t>
      </w:r>
      <w:bookmarkEnd w:id="17"/>
    </w:p>
    <w:p w:rsidR="00155173" w:rsidRDefault="00155173" w:rsidP="005B4BA6">
      <w:pPr>
        <w:pStyle w:val="Heading20"/>
        <w:sectPr w:rsidR="00155173" w:rsidSect="00CE372B">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lastRenderedPageBreak/>
        <w:t>Introduction</w:t>
      </w:r>
    </w:p>
    <w:p w:rsidR="00152A9B" w:rsidRPr="00152A9B" w:rsidRDefault="00152A9B" w:rsidP="00EA775F">
      <w:r w:rsidRPr="00152A9B">
        <w:t>This section includes several additional disclosures that assist the understanding of this financial report.</w:t>
      </w:r>
    </w:p>
    <w:p w:rsidR="00155173" w:rsidRDefault="00155173" w:rsidP="00180823">
      <w:pPr>
        <w:sectPr w:rsidR="00155173" w:rsidSect="00CE372B">
          <w:type w:val="continuous"/>
          <w:pgSz w:w="11907" w:h="16839" w:code="9"/>
          <w:pgMar w:top="851" w:right="1134" w:bottom="851" w:left="1134" w:header="624" w:footer="567" w:gutter="0"/>
          <w:cols w:num="2" w:sep="1" w:space="567"/>
          <w:docGrid w:linePitch="360"/>
        </w:sectPr>
      </w:pPr>
    </w:p>
    <w:p w:rsidR="005B4BA6" w:rsidRDefault="00180823" w:rsidP="005B4BA6">
      <w:pPr>
        <w:pStyle w:val="Heading2"/>
      </w:pPr>
      <w:r>
        <w:lastRenderedPageBreak/>
        <w:t>Other gains/(losses) from other economic flows</w:t>
      </w:r>
    </w:p>
    <w:p w:rsidR="006F02B5" w:rsidRPr="006F02B5" w:rsidRDefault="00804880" w:rsidP="006F02B5">
      <w:pPr>
        <w:pStyle w:val="TableUnits"/>
        <w:rPr>
          <w:bCs/>
          <w:lang w:val="en-US"/>
        </w:rPr>
      </w:pPr>
      <w:r>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6917"/>
        <w:gridCol w:w="907"/>
        <w:gridCol w:w="907"/>
      </w:tblGrid>
      <w:tr w:rsidR="00921AE6" w:rsidRPr="006F02B5" w:rsidTr="008C5D0F">
        <w:trPr>
          <w:cnfStyle w:val="100000000000" w:firstRow="1" w:lastRow="0" w:firstColumn="0" w:lastColumn="0" w:oddVBand="0" w:evenVBand="0" w:oddHBand="0" w:evenHBand="0" w:firstRowFirstColumn="0" w:firstRowLastColumn="0" w:lastRowFirstColumn="0" w:lastRowLastColumn="0"/>
          <w:tblHeader/>
        </w:trPr>
        <w:tc>
          <w:tcPr>
            <w:tcW w:w="907" w:type="dxa"/>
            <w:vMerge w:val="restart"/>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6917" w:type="dxa"/>
            <w:vMerge w:val="restart"/>
            <w:tcBorders>
              <w:top w:val="nil"/>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1814" w:type="dxa"/>
            <w:gridSpan w:val="2"/>
            <w:tcBorders>
              <w:top w:val="nil"/>
              <w:left w:val="nil"/>
              <w:bottom w:val="nil"/>
              <w:right w:val="nil"/>
            </w:tcBorders>
            <w:shd w:val="solid" w:color="000000" w:fill="auto"/>
          </w:tcPr>
          <w:p w:rsidR="00921AE6" w:rsidRPr="006F02B5" w:rsidRDefault="00921AE6" w:rsidP="006F02B5">
            <w:pPr>
              <w:autoSpaceDE w:val="0"/>
              <w:autoSpaceDN w:val="0"/>
              <w:adjustRightInd w:val="0"/>
              <w:jc w:val="center"/>
              <w:rPr>
                <w:rFonts w:eastAsiaTheme="minorEastAsia" w:cs="Calibri"/>
                <w:iCs/>
                <w:color w:val="FFFFFF"/>
                <w:lang w:eastAsia="en-AU"/>
              </w:rPr>
            </w:pPr>
            <w:r w:rsidRPr="006F02B5">
              <w:rPr>
                <w:rFonts w:eastAsiaTheme="minorEastAsia" w:cs="Calibri"/>
                <w:iCs/>
                <w:color w:val="FFFFFF"/>
                <w:szCs w:val="18"/>
                <w:lang w:eastAsia="en-AU"/>
              </w:rPr>
              <w:t>2017-18</w:t>
            </w:r>
          </w:p>
        </w:tc>
      </w:tr>
      <w:tr w:rsidR="00921AE6" w:rsidRPr="006F02B5" w:rsidTr="008041B0">
        <w:trPr>
          <w:cnfStyle w:val="100000000000" w:firstRow="1" w:lastRow="0" w:firstColumn="0" w:lastColumn="0" w:oddVBand="0" w:evenVBand="0" w:oddHBand="0" w:evenHBand="0" w:firstRowFirstColumn="0" w:firstRowLastColumn="0" w:lastRowFirstColumn="0" w:lastRowLastColumn="0"/>
          <w:trHeight w:val="63"/>
          <w:tblHeader/>
        </w:trPr>
        <w:tc>
          <w:tcPr>
            <w:tcW w:w="907" w:type="dxa"/>
            <w:vMerge/>
            <w:tcBorders>
              <w:left w:val="nil"/>
              <w:right w:val="nil"/>
            </w:tcBorders>
            <w:shd w:val="solid" w:color="000000" w:fill="auto"/>
          </w:tcPr>
          <w:p w:rsidR="00921AE6" w:rsidRPr="006F02B5" w:rsidRDefault="00921AE6" w:rsidP="006F02B5">
            <w:pPr>
              <w:autoSpaceDE w:val="0"/>
              <w:autoSpaceDN w:val="0"/>
              <w:adjustRightInd w:val="0"/>
              <w:rPr>
                <w:rFonts w:eastAsiaTheme="minorEastAsia" w:cs="Calibri"/>
                <w:iCs/>
                <w:color w:val="FFFFFF"/>
                <w:szCs w:val="18"/>
                <w:lang w:eastAsia="en-AU"/>
              </w:rPr>
            </w:pPr>
          </w:p>
        </w:tc>
        <w:tc>
          <w:tcPr>
            <w:tcW w:w="6917" w:type="dxa"/>
            <w:vMerge/>
            <w:tcBorders>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Pr>
                <w:rFonts w:eastAsiaTheme="minorEastAsia" w:cs="Calibri"/>
                <w:iCs/>
                <w:color w:val="FFFFFF"/>
                <w:szCs w:val="18"/>
                <w:lang w:eastAsia="en-AU"/>
              </w:rPr>
              <w:t>published</w:t>
            </w:r>
            <w:r>
              <w:rPr>
                <w:rFonts w:eastAsiaTheme="minorEastAsia" w:cs="Calibri"/>
                <w:iCs/>
                <w:color w:val="FFFFFF"/>
                <w:szCs w:val="18"/>
                <w:lang w:eastAsia="en-AU"/>
              </w:rPr>
              <w:br/>
            </w:r>
            <w:r w:rsidRPr="006F02B5">
              <w:rPr>
                <w:rFonts w:eastAsiaTheme="minorEastAsia" w:cs="Calibri"/>
                <w:iCs/>
                <w:color w:val="FFFFFF"/>
                <w:szCs w:val="18"/>
                <w:lang w:eastAsia="en-AU"/>
              </w:rPr>
              <w:t>budget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(86)</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Net (increase)/decrease in provision for doubtful receivables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(61)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(205)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Amortisation of intangible non-produced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Bad debts written off</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(159)</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(34)</w:t>
            </w:r>
          </w:p>
        </w:tc>
        <w:tc>
          <w:tcPr>
            <w:tcW w:w="6917"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Other gains/(losses)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11</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(2)</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(124)</w:t>
            </w:r>
          </w:p>
        </w:tc>
        <w:tc>
          <w:tcPr>
            <w:tcW w:w="691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Total other gains/(losses) from other economic flows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(56)</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Pr>
                <w:rFonts w:eastAsiaTheme="minorEastAsia" w:cs="Calibri"/>
                <w:b/>
                <w:bCs/>
                <w:color w:val="000000"/>
                <w:szCs w:val="18"/>
                <w:lang w:eastAsia="en-AU"/>
              </w:rPr>
              <w:t>(370)</w:t>
            </w:r>
          </w:p>
        </w:tc>
      </w:tr>
    </w:tbl>
    <w:p w:rsidR="005B4BA6" w:rsidRDefault="005B4BA6" w:rsidP="006F02B5"/>
    <w:p w:rsidR="005B4BA6" w:rsidRDefault="005B4BA6" w:rsidP="00180823"/>
    <w:p w:rsidR="005B4BA6" w:rsidRDefault="00180823" w:rsidP="005B4BA6">
      <w:pPr>
        <w:pStyle w:val="Heading2"/>
      </w:pPr>
      <w:r>
        <w:t>Reconciliation of cash and cash equivalents</w:t>
      </w:r>
    </w:p>
    <w:p w:rsidR="006F02B5" w:rsidRPr="006F02B5" w:rsidRDefault="004375F6" w:rsidP="006F02B5">
      <w:pPr>
        <w:pStyle w:val="TableUnits"/>
        <w:rPr>
          <w:bCs/>
          <w:lang w:val="en-US"/>
        </w:rPr>
      </w:pPr>
      <w:r>
        <w:t>($ million)</w:t>
      </w:r>
    </w:p>
    <w:tbl>
      <w:tblPr>
        <w:tblStyle w:val="DTFTable"/>
        <w:tblW w:w="9638" w:type="dxa"/>
        <w:tblInd w:w="45" w:type="dxa"/>
        <w:tblLayout w:type="fixed"/>
        <w:tblCellMar>
          <w:left w:w="45" w:type="dxa"/>
          <w:right w:w="45" w:type="dxa"/>
        </w:tblCellMar>
        <w:tblLook w:val="0620" w:firstRow="1" w:lastRow="0" w:firstColumn="0" w:lastColumn="0" w:noHBand="1" w:noVBand="1"/>
      </w:tblPr>
      <w:tblGrid>
        <w:gridCol w:w="907"/>
        <w:gridCol w:w="7824"/>
        <w:gridCol w:w="907"/>
      </w:tblGrid>
      <w:tr w:rsidR="00921AE6" w:rsidRPr="006F02B5" w:rsidTr="008041B0">
        <w:trPr>
          <w:cnfStyle w:val="100000000000" w:firstRow="1" w:lastRow="0" w:firstColumn="0" w:lastColumn="0" w:oddVBand="0" w:evenVBand="0" w:oddHBand="0" w:evenHBand="0" w:firstRowFirstColumn="0" w:firstRowLastColumn="0" w:lastRowFirstColumn="0" w:lastRowLastColumn="0"/>
          <w:trHeight w:val="125"/>
          <w:tblHeader/>
        </w:trPr>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2016-17</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c>
          <w:tcPr>
            <w:tcW w:w="7824" w:type="dxa"/>
            <w:tcBorders>
              <w:top w:val="nil"/>
              <w:left w:val="nil"/>
              <w:right w:val="nil"/>
            </w:tcBorders>
            <w:shd w:val="solid" w:color="000000" w:fill="auto"/>
          </w:tcPr>
          <w:p w:rsidR="00921AE6" w:rsidRPr="006F02B5" w:rsidRDefault="00921AE6" w:rsidP="006F02B5">
            <w:pPr>
              <w:autoSpaceDE w:val="0"/>
              <w:autoSpaceDN w:val="0"/>
              <w:adjustRightInd w:val="0"/>
              <w:jc w:val="left"/>
              <w:rPr>
                <w:rFonts w:eastAsiaTheme="minorEastAsia" w:cs="Calibri"/>
                <w:iCs/>
                <w:color w:val="FFFFFF"/>
                <w:lang w:eastAsia="en-AU"/>
              </w:rPr>
            </w:pPr>
            <w:r w:rsidRPr="006F02B5">
              <w:rPr>
                <w:rFonts w:eastAsiaTheme="minorEastAsia" w:cs="Calibri"/>
                <w:iCs/>
                <w:color w:val="FFFFFF"/>
                <w:lang w:eastAsia="en-AU"/>
              </w:rPr>
              <w:t xml:space="preserve"> </w:t>
            </w:r>
          </w:p>
        </w:tc>
        <w:tc>
          <w:tcPr>
            <w:tcW w:w="907" w:type="dxa"/>
            <w:tcBorders>
              <w:top w:val="nil"/>
              <w:left w:val="nil"/>
              <w:right w:val="nil"/>
            </w:tcBorders>
            <w:shd w:val="solid" w:color="000000" w:fill="auto"/>
          </w:tcPr>
          <w:p w:rsidR="00921AE6" w:rsidRPr="006F02B5" w:rsidRDefault="00921AE6" w:rsidP="00921AE6">
            <w:pPr>
              <w:autoSpaceDE w:val="0"/>
              <w:autoSpaceDN w:val="0"/>
              <w:adjustRightInd w:val="0"/>
              <w:rPr>
                <w:rFonts w:eastAsiaTheme="minorEastAsia" w:cs="Calibri"/>
                <w:iCs/>
                <w:color w:val="FFFFFF"/>
                <w:szCs w:val="18"/>
                <w:lang w:eastAsia="en-AU"/>
              </w:rPr>
            </w:pPr>
            <w:r w:rsidRPr="006F02B5">
              <w:rPr>
                <w:rFonts w:eastAsiaTheme="minorEastAsia" w:cs="Calibri"/>
                <w:iCs/>
                <w:color w:val="FFFFFF"/>
                <w:szCs w:val="18"/>
                <w:lang w:eastAsia="en-AU"/>
              </w:rPr>
              <w:t>2017-18</w:t>
            </w:r>
            <w:r>
              <w:rPr>
                <w:rFonts w:eastAsiaTheme="minorEastAsia" w:cs="Calibri"/>
                <w:iCs/>
                <w:color w:val="FFFFFF"/>
                <w:szCs w:val="18"/>
                <w:lang w:eastAsia="en-AU"/>
              </w:rPr>
              <w:br/>
            </w:r>
            <w:r w:rsidRPr="006F02B5">
              <w:rPr>
                <w:rFonts w:eastAsiaTheme="minorEastAsia" w:cs="Calibri"/>
                <w:iCs/>
                <w:color w:val="FFFFFF"/>
                <w:szCs w:val="18"/>
                <w:lang w:eastAsia="en-AU"/>
              </w:rPr>
              <w:t>actual</w:t>
            </w:r>
            <w:r>
              <w:rPr>
                <w:rFonts w:eastAsiaTheme="minorEastAsia" w:cs="Calibri"/>
                <w:iCs/>
                <w:color w:val="FFFFFF"/>
                <w:szCs w:val="18"/>
                <w:lang w:eastAsia="en-AU"/>
              </w:rPr>
              <w:br/>
            </w:r>
            <w:r w:rsidRPr="006F02B5">
              <w:rPr>
                <w:rFonts w:eastAsiaTheme="minorEastAsia" w:cs="Calibri"/>
                <w:iCs/>
                <w:color w:val="FFFFFF"/>
                <w:szCs w:val="18"/>
                <w:lang w:eastAsia="en-AU"/>
              </w:rPr>
              <w:t>30 Sep</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1 477</w:t>
            </w:r>
          </w:p>
        </w:tc>
        <w:tc>
          <w:tcPr>
            <w:tcW w:w="7824"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Cash</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1 429</w:t>
            </w:r>
          </w:p>
        </w:tc>
      </w:tr>
      <w:tr w:rsidR="006F02B5" w:rsidRPr="006F02B5" w:rsidTr="006F02B5">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2 602</w:t>
            </w:r>
          </w:p>
        </w:tc>
        <w:tc>
          <w:tcPr>
            <w:tcW w:w="7824" w:type="dxa"/>
            <w:tcBorders>
              <w:top w:val="nil"/>
              <w:left w:val="nil"/>
              <w:bottom w:val="single" w:sz="6"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Deposits at call</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2 717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4 079</w:t>
            </w:r>
          </w:p>
        </w:tc>
        <w:tc>
          <w:tcPr>
            <w:tcW w:w="7824"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Cash and cash equivalents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4 146</w:t>
            </w:r>
          </w:p>
        </w:tc>
      </w:tr>
      <w:tr w:rsidR="006F02B5" w:rsidRPr="006F02B5" w:rsidTr="006F02B5">
        <w:tc>
          <w:tcPr>
            <w:tcW w:w="907" w:type="dxa"/>
            <w:tcBorders>
              <w:top w:val="nil"/>
              <w:left w:val="nil"/>
              <w:bottom w:val="nil"/>
              <w:right w:val="nil"/>
            </w:tcBorders>
          </w:tcPr>
          <w:p w:rsidR="006F02B5" w:rsidRPr="006F02B5" w:rsidRDefault="00622A8D"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r w:rsidR="006F02B5" w:rsidRPr="006F02B5">
              <w:rPr>
                <w:rFonts w:eastAsiaTheme="minorEastAsia" w:cs="Calibri"/>
                <w:color w:val="000000"/>
                <w:szCs w:val="18"/>
                <w:lang w:eastAsia="en-AU"/>
              </w:rPr>
              <w:t xml:space="preserve"> </w:t>
            </w:r>
          </w:p>
        </w:tc>
        <w:tc>
          <w:tcPr>
            <w:tcW w:w="7824" w:type="dxa"/>
            <w:tcBorders>
              <w:top w:val="nil"/>
              <w:left w:val="nil"/>
              <w:bottom w:val="nil"/>
              <w:right w:val="nil"/>
            </w:tcBorders>
          </w:tcPr>
          <w:p w:rsidR="006F02B5" w:rsidRPr="006F02B5" w:rsidRDefault="006F02B5" w:rsidP="006F02B5">
            <w:pPr>
              <w:autoSpaceDE w:val="0"/>
              <w:autoSpaceDN w:val="0"/>
              <w:adjustRightInd w:val="0"/>
              <w:ind w:left="227" w:hanging="113"/>
              <w:jc w:val="left"/>
              <w:rPr>
                <w:rFonts w:eastAsiaTheme="minorEastAsia" w:cs="Calibri"/>
                <w:color w:val="000000"/>
                <w:szCs w:val="18"/>
                <w:lang w:eastAsia="en-AU"/>
              </w:rPr>
            </w:pPr>
            <w:r w:rsidRPr="006F02B5">
              <w:rPr>
                <w:rFonts w:eastAsiaTheme="minorEastAsia" w:cs="Calibri"/>
                <w:color w:val="000000"/>
                <w:szCs w:val="18"/>
                <w:lang w:eastAsia="en-AU"/>
              </w:rPr>
              <w:t>Bank overdraft</w:t>
            </w:r>
          </w:p>
        </w:tc>
        <w:tc>
          <w:tcPr>
            <w:tcW w:w="907" w:type="dxa"/>
            <w:tcBorders>
              <w:top w:val="nil"/>
              <w:left w:val="nil"/>
              <w:bottom w:val="nil"/>
              <w:right w:val="nil"/>
            </w:tcBorders>
          </w:tcPr>
          <w:p w:rsidR="006F02B5" w:rsidRPr="006F02B5" w:rsidRDefault="00622A8D" w:rsidP="006F02B5">
            <w:pPr>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t>
            </w:r>
            <w:r w:rsidR="006F02B5" w:rsidRPr="006F02B5">
              <w:rPr>
                <w:rFonts w:eastAsiaTheme="minorEastAsia" w:cs="Calibri"/>
                <w:color w:val="000000"/>
                <w:szCs w:val="18"/>
                <w:lang w:eastAsia="en-AU"/>
              </w:rPr>
              <w:t xml:space="preserve"> </w:t>
            </w:r>
          </w:p>
        </w:tc>
      </w:tr>
      <w:tr w:rsidR="006F02B5" w:rsidRPr="006F02B5" w:rsidTr="006F02B5">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4 079</w:t>
            </w:r>
          </w:p>
        </w:tc>
        <w:tc>
          <w:tcPr>
            <w:tcW w:w="7824"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ind w:left="227" w:hanging="113"/>
              <w:jc w:val="left"/>
              <w:rPr>
                <w:rFonts w:eastAsiaTheme="minorEastAsia" w:cs="Calibri"/>
                <w:b/>
                <w:bCs/>
                <w:color w:val="000000"/>
                <w:szCs w:val="18"/>
                <w:lang w:eastAsia="en-AU"/>
              </w:rPr>
            </w:pPr>
            <w:r w:rsidRPr="006F02B5">
              <w:rPr>
                <w:rFonts w:eastAsiaTheme="minorEastAsia" w:cs="Calibri"/>
                <w:b/>
                <w:bCs/>
                <w:color w:val="000000"/>
                <w:szCs w:val="18"/>
                <w:lang w:eastAsia="en-AU"/>
              </w:rPr>
              <w:t>Balances as per cash flow statement</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4 146</w:t>
            </w:r>
          </w:p>
        </w:tc>
      </w:tr>
    </w:tbl>
    <w:p w:rsidR="005B4BA6" w:rsidRDefault="005B4BA6" w:rsidP="006F02B5"/>
    <w:p w:rsidR="005B4BA6" w:rsidRDefault="005B4BA6" w:rsidP="00180823"/>
    <w:p w:rsidR="00155173" w:rsidRDefault="00155173">
      <w:pPr>
        <w:rPr>
          <w:rFonts w:asciiTheme="majorHAnsi" w:eastAsiaTheme="majorEastAsia" w:hAnsiTheme="majorHAnsi" w:cstheme="majorBidi"/>
          <w:b/>
          <w:spacing w:val="-2"/>
          <w:sz w:val="26"/>
          <w:szCs w:val="26"/>
        </w:rPr>
      </w:pPr>
      <w:r>
        <w:br w:type="page"/>
      </w:r>
    </w:p>
    <w:p w:rsidR="005B4BA6" w:rsidRDefault="00180823" w:rsidP="005B4BA6">
      <w:pPr>
        <w:pStyle w:val="Heading2"/>
      </w:pPr>
      <w:r>
        <w:lastRenderedPageBreak/>
        <w:t>Reconciliation of net result to net cash flows from operating activities</w:t>
      </w:r>
    </w:p>
    <w:p w:rsidR="006F02B5" w:rsidRPr="006F02B5" w:rsidRDefault="00CE5AA2" w:rsidP="006F02B5">
      <w:pPr>
        <w:pStyle w:val="TableUnits"/>
        <w:rPr>
          <w:bCs/>
          <w:lang w:val="en-US"/>
        </w:rPr>
      </w:pPr>
      <w:r>
        <w:t>($ million)</w:t>
      </w:r>
      <w:r w:rsidR="00F95B0B">
        <w:t xml:space="preserve"> </w:t>
      </w:r>
    </w:p>
    <w:tbl>
      <w:tblPr>
        <w:tblStyle w:val="DTFTable"/>
        <w:tblW w:w="9638" w:type="dxa"/>
        <w:tblInd w:w="45" w:type="dxa"/>
        <w:tblLayout w:type="fixed"/>
        <w:tblCellMar>
          <w:left w:w="45" w:type="dxa"/>
          <w:right w:w="45" w:type="dxa"/>
        </w:tblCellMar>
        <w:tblLook w:val="0660" w:firstRow="1" w:lastRow="1" w:firstColumn="0" w:lastColumn="0" w:noHBand="1" w:noVBand="1"/>
      </w:tblPr>
      <w:tblGrid>
        <w:gridCol w:w="907"/>
        <w:gridCol w:w="7824"/>
        <w:gridCol w:w="907"/>
      </w:tblGrid>
      <w:tr w:rsidR="006F02B5" w:rsidRPr="006F02B5" w:rsidTr="008041B0">
        <w:trPr>
          <w:cnfStyle w:val="100000000000" w:firstRow="1" w:lastRow="0" w:firstColumn="0" w:lastColumn="0" w:oddVBand="0" w:evenVBand="0" w:oddHBand="0" w:evenHBand="0" w:firstRowFirstColumn="0" w:firstRowLastColumn="0" w:lastRowFirstColumn="0" w:lastRowLastColumn="0"/>
          <w:trHeight w:val="298"/>
          <w:tblHeader/>
        </w:trPr>
        <w:tc>
          <w:tcPr>
            <w:tcW w:w="907" w:type="dxa"/>
            <w:tcBorders>
              <w:top w:val="single" w:sz="6" w:space="0" w:color="auto"/>
              <w:left w:val="single" w:sz="6" w:space="0" w:color="auto"/>
              <w:bottom w:val="nil"/>
              <w:right w:val="nil"/>
            </w:tcBorders>
            <w:shd w:val="solid" w:color="000000" w:fill="auto"/>
          </w:tcPr>
          <w:p w:rsidR="006F02B5" w:rsidRPr="006F02B5" w:rsidRDefault="006F02B5" w:rsidP="00921AE6">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2016-17</w:t>
            </w:r>
            <w:r w:rsidR="00921AE6">
              <w:rPr>
                <w:rFonts w:eastAsiaTheme="minorEastAsia" w:cs="Calibri"/>
                <w:iCs/>
                <w:color w:val="FFFFFF"/>
                <w:lang w:eastAsia="en-AU"/>
              </w:rPr>
              <w:br/>
            </w:r>
            <w:r w:rsidRPr="006F02B5">
              <w:rPr>
                <w:rFonts w:eastAsiaTheme="minorEastAsia" w:cs="Calibri"/>
                <w:iCs/>
                <w:color w:val="FFFFFF"/>
                <w:lang w:eastAsia="en-AU"/>
              </w:rPr>
              <w:t>actual</w:t>
            </w:r>
            <w:r w:rsidR="00921AE6">
              <w:rPr>
                <w:rFonts w:eastAsiaTheme="minorEastAsia" w:cs="Calibri"/>
                <w:iCs/>
                <w:color w:val="FFFFFF"/>
                <w:lang w:eastAsia="en-AU"/>
              </w:rPr>
              <w:br/>
            </w:r>
            <w:r w:rsidRPr="006F02B5">
              <w:rPr>
                <w:rFonts w:eastAsiaTheme="minorEastAsia" w:cs="Calibri"/>
                <w:iCs/>
                <w:color w:val="FFFFFF"/>
                <w:lang w:eastAsia="en-AU"/>
              </w:rPr>
              <w:t>to Sep</w:t>
            </w:r>
          </w:p>
        </w:tc>
        <w:tc>
          <w:tcPr>
            <w:tcW w:w="7824" w:type="dxa"/>
            <w:tcBorders>
              <w:top w:val="single" w:sz="6" w:space="0" w:color="auto"/>
              <w:left w:val="nil"/>
              <w:bottom w:val="nil"/>
              <w:right w:val="nil"/>
            </w:tcBorders>
            <w:shd w:val="solid" w:color="000000" w:fill="auto"/>
          </w:tcPr>
          <w:p w:rsidR="006F02B5" w:rsidRPr="006F02B5" w:rsidRDefault="006F02B5" w:rsidP="006F02B5">
            <w:pPr>
              <w:autoSpaceDE w:val="0"/>
              <w:autoSpaceDN w:val="0"/>
              <w:adjustRightInd w:val="0"/>
              <w:jc w:val="left"/>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single" w:sz="6" w:space="0" w:color="auto"/>
              <w:left w:val="nil"/>
              <w:bottom w:val="nil"/>
              <w:right w:val="nil"/>
            </w:tcBorders>
            <w:shd w:val="solid" w:color="000000" w:fill="auto"/>
          </w:tcPr>
          <w:p w:rsidR="006F02B5" w:rsidRPr="006F02B5" w:rsidRDefault="006F02B5" w:rsidP="00921AE6">
            <w:pPr>
              <w:autoSpaceDE w:val="0"/>
              <w:autoSpaceDN w:val="0"/>
              <w:adjustRightInd w:val="0"/>
              <w:rPr>
                <w:rFonts w:eastAsiaTheme="minorEastAsia" w:cs="Calibri"/>
                <w:iCs/>
                <w:color w:val="FFFFFF"/>
                <w:lang w:eastAsia="en-AU"/>
              </w:rPr>
            </w:pPr>
            <w:r w:rsidRPr="006F02B5">
              <w:rPr>
                <w:rFonts w:eastAsiaTheme="minorEastAsia" w:cs="Calibri"/>
                <w:iCs/>
                <w:color w:val="FFFFFF"/>
                <w:lang w:eastAsia="en-AU"/>
              </w:rPr>
              <w:t>2017-18</w:t>
            </w:r>
            <w:r w:rsidR="00921AE6">
              <w:rPr>
                <w:rFonts w:eastAsiaTheme="minorEastAsia" w:cs="Calibri"/>
                <w:iCs/>
                <w:color w:val="FFFFFF"/>
                <w:lang w:eastAsia="en-AU"/>
              </w:rPr>
              <w:br/>
            </w:r>
            <w:r w:rsidRPr="006F02B5">
              <w:rPr>
                <w:rFonts w:eastAsiaTheme="minorEastAsia" w:cs="Calibri"/>
                <w:iCs/>
                <w:color w:val="FFFFFF"/>
                <w:lang w:eastAsia="en-AU"/>
              </w:rPr>
              <w:t>actual</w:t>
            </w:r>
            <w:r w:rsidR="00921AE6">
              <w:rPr>
                <w:rFonts w:eastAsiaTheme="minorEastAsia" w:cs="Calibri"/>
                <w:iCs/>
                <w:color w:val="FFFFFF"/>
                <w:lang w:eastAsia="en-AU"/>
              </w:rPr>
              <w:br/>
            </w:r>
            <w:r w:rsidRPr="006F02B5">
              <w:rPr>
                <w:rFonts w:eastAsiaTheme="minorEastAsia" w:cs="Calibri"/>
                <w:iCs/>
                <w:color w:val="FFFFFF"/>
                <w:lang w:eastAsia="en-AU"/>
              </w:rPr>
              <w:t>to Sep</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370</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b/>
                <w:bCs/>
                <w:color w:val="000000"/>
                <w:lang w:eastAsia="en-AU"/>
              </w:rPr>
            </w:pPr>
            <w:r w:rsidRPr="006F02B5">
              <w:rPr>
                <w:rFonts w:eastAsiaTheme="minorEastAsia" w:cs="Calibri"/>
                <w:b/>
                <w:bCs/>
                <w:color w:val="000000"/>
                <w:lang w:eastAsia="en-AU"/>
              </w:rPr>
              <w:t>Net result</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497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b/>
                <w:bCs/>
                <w:color w:val="000000"/>
                <w:lang w:eastAsia="en-AU"/>
              </w:rPr>
            </w:pPr>
            <w:r w:rsidRPr="006F02B5">
              <w:rPr>
                <w:rFonts w:eastAsiaTheme="minorEastAsia" w:cs="Calibri"/>
                <w:b/>
                <w:bCs/>
                <w:color w:val="000000"/>
                <w:lang w:eastAsia="en-AU"/>
              </w:rPr>
              <w:t>Non-cash movements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628</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Depreciation and amortisation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657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(17)</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Revaluation of investments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217</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Assets (received)/provided free of charge</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(2)</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Revaluation of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w:t>
            </w:r>
          </w:p>
        </w:tc>
      </w:tr>
      <w:tr w:rsidR="006F02B5" w:rsidRPr="006F02B5" w:rsidTr="006F02B5">
        <w:tc>
          <w:tcPr>
            <w:tcW w:w="907" w:type="dxa"/>
            <w:tcBorders>
              <w:top w:val="single" w:sz="6" w:space="0" w:color="auto"/>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826</w:t>
            </w:r>
          </w:p>
        </w:tc>
        <w:tc>
          <w:tcPr>
            <w:tcW w:w="7824" w:type="dxa"/>
            <w:tcBorders>
              <w:top w:val="single" w:sz="6" w:space="0" w:color="auto"/>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b/>
                <w:bCs/>
                <w:color w:val="000000"/>
                <w:lang w:eastAsia="en-AU"/>
              </w:rPr>
            </w:pPr>
            <w:r w:rsidRPr="006F02B5">
              <w:rPr>
                <w:rFonts w:eastAsiaTheme="minorEastAsia" w:cs="Calibri"/>
                <w:b/>
                <w:bCs/>
                <w:color w:val="000000"/>
                <w:lang w:eastAsia="en-AU"/>
              </w:rPr>
              <w:t>Non-cash items total</w:t>
            </w:r>
          </w:p>
        </w:tc>
        <w:tc>
          <w:tcPr>
            <w:tcW w:w="907" w:type="dxa"/>
            <w:tcBorders>
              <w:top w:val="single" w:sz="6" w:space="0" w:color="auto"/>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658</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b/>
                <w:bCs/>
                <w:color w:val="000000"/>
                <w:lang w:eastAsia="en-AU"/>
              </w:rPr>
            </w:pPr>
            <w:r w:rsidRPr="006F02B5">
              <w:rPr>
                <w:rFonts w:eastAsiaTheme="minorEastAsia" w:cs="Calibri"/>
                <w:b/>
                <w:bCs/>
                <w:color w:val="000000"/>
                <w:lang w:eastAsia="en-AU"/>
              </w:rPr>
              <w:t>Movements included in investing and financing activities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1</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Net gain/loss from sale of investments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2</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Net gain/loss from sale of non-financial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1</w:t>
            </w:r>
          </w:p>
        </w:tc>
      </w:tr>
      <w:tr w:rsidR="006F02B5" w:rsidRPr="006F02B5" w:rsidTr="006F02B5">
        <w:tc>
          <w:tcPr>
            <w:tcW w:w="907" w:type="dxa"/>
            <w:tcBorders>
              <w:top w:val="single" w:sz="6" w:space="0" w:color="auto"/>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3</w:t>
            </w:r>
          </w:p>
        </w:tc>
        <w:tc>
          <w:tcPr>
            <w:tcW w:w="7824" w:type="dxa"/>
            <w:tcBorders>
              <w:top w:val="single" w:sz="6" w:space="0" w:color="auto"/>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b/>
                <w:bCs/>
                <w:color w:val="000000"/>
                <w:lang w:eastAsia="en-AU"/>
              </w:rPr>
            </w:pPr>
            <w:r w:rsidRPr="006F02B5">
              <w:rPr>
                <w:rFonts w:eastAsiaTheme="minorEastAsia" w:cs="Calibri"/>
                <w:b/>
                <w:bCs/>
                <w:color w:val="000000"/>
                <w:lang w:eastAsia="en-AU"/>
              </w:rPr>
              <w:t>Items included in investing and financing activities total</w:t>
            </w:r>
          </w:p>
        </w:tc>
        <w:tc>
          <w:tcPr>
            <w:tcW w:w="907" w:type="dxa"/>
            <w:tcBorders>
              <w:top w:val="single" w:sz="6" w:space="0" w:color="auto"/>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b/>
                <w:bCs/>
                <w:color w:val="000000"/>
                <w:lang w:eastAsia="en-AU"/>
              </w:rPr>
            </w:pPr>
            <w:r w:rsidRPr="006F02B5">
              <w:rPr>
                <w:rFonts w:eastAsiaTheme="minorEastAsia" w:cs="Calibri"/>
                <w:b/>
                <w:bCs/>
                <w:color w:val="000000"/>
                <w:lang w:eastAsia="en-AU"/>
              </w:rPr>
              <w:t>Movements in assets and liabilities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30</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Increase/(decrease) in provision for doubtful debts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2</w:t>
            </w:r>
          </w:p>
        </w:tc>
      </w:tr>
      <w:tr w:rsidR="006F02B5" w:rsidRPr="006F02B5" w:rsidTr="004B38B2">
        <w:trPr>
          <w:trHeight w:val="75"/>
        </w:trPr>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(97)</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Increase/(decrease) in payables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(165)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(40)</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Increase/(decrease) in employee benefits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(177)</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9</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Increase/(decrease) in superannuation</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261</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32</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Increase/(decrease) in other provisions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(235)</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(330)</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(Increase)/decrease in receivables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(352)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(434)</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color w:val="000000"/>
                <w:lang w:eastAsia="en-AU"/>
              </w:rPr>
            </w:pPr>
            <w:r w:rsidRPr="006F02B5">
              <w:rPr>
                <w:rFonts w:eastAsiaTheme="minorEastAsia" w:cs="Calibri"/>
                <w:color w:val="000000"/>
                <w:lang w:eastAsia="en-AU"/>
              </w:rPr>
              <w:t>(Increase)/decrease in other non-financial assets</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Pr>
                <w:rFonts w:eastAsiaTheme="minorEastAsia" w:cs="Calibri"/>
                <w:color w:val="000000"/>
                <w:lang w:eastAsia="en-AU"/>
              </w:rPr>
              <w:t>(462)</w:t>
            </w:r>
          </w:p>
        </w:tc>
      </w:tr>
      <w:tr w:rsidR="006F02B5" w:rsidRPr="006F02B5" w:rsidTr="006F02B5">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Pr>
                <w:rFonts w:eastAsiaTheme="minorEastAsia" w:cs="Calibri"/>
                <w:b/>
                <w:bCs/>
                <w:color w:val="000000"/>
                <w:lang w:eastAsia="en-AU"/>
              </w:rPr>
              <w:t>(829)</w:t>
            </w:r>
          </w:p>
        </w:tc>
        <w:tc>
          <w:tcPr>
            <w:tcW w:w="7824" w:type="dxa"/>
            <w:tcBorders>
              <w:top w:val="nil"/>
              <w:left w:val="nil"/>
              <w:bottom w:val="nil"/>
              <w:right w:val="nil"/>
            </w:tcBorders>
          </w:tcPr>
          <w:p w:rsidR="006F02B5" w:rsidRPr="006F02B5" w:rsidRDefault="006F02B5" w:rsidP="001D590D">
            <w:pPr>
              <w:autoSpaceDE w:val="0"/>
              <w:autoSpaceDN w:val="0"/>
              <w:adjustRightInd w:val="0"/>
              <w:ind w:left="113"/>
              <w:jc w:val="left"/>
              <w:rPr>
                <w:rFonts w:eastAsiaTheme="minorEastAsia" w:cs="Calibri"/>
                <w:b/>
                <w:bCs/>
                <w:color w:val="000000"/>
                <w:lang w:eastAsia="en-AU"/>
              </w:rPr>
            </w:pPr>
            <w:r w:rsidRPr="006F02B5">
              <w:rPr>
                <w:rFonts w:eastAsiaTheme="minorEastAsia" w:cs="Calibri"/>
                <w:b/>
                <w:bCs/>
                <w:color w:val="000000"/>
                <w:lang w:eastAsia="en-AU"/>
              </w:rPr>
              <w:t>Changes in assets and liabilities total</w:t>
            </w:r>
          </w:p>
        </w:tc>
        <w:tc>
          <w:tcPr>
            <w:tcW w:w="907"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lang w:eastAsia="en-AU"/>
              </w:rPr>
            </w:pPr>
            <w:r w:rsidRPr="006F02B5">
              <w:rPr>
                <w:rFonts w:eastAsiaTheme="minorEastAsia" w:cs="Calibri"/>
                <w:b/>
                <w:bCs/>
                <w:color w:val="000000"/>
                <w:lang w:eastAsia="en-AU"/>
              </w:rPr>
              <w:t>(1 128)</w:t>
            </w:r>
          </w:p>
        </w:tc>
      </w:tr>
      <w:tr w:rsidR="006F02B5" w:rsidRPr="006F02B5" w:rsidTr="006F02B5">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6F02B5" w:rsidRPr="006F02B5" w:rsidRDefault="006F02B5" w:rsidP="006F02B5">
            <w:pPr>
              <w:autoSpaceDE w:val="0"/>
              <w:autoSpaceDN w:val="0"/>
              <w:adjustRightInd w:val="0"/>
              <w:rPr>
                <w:rFonts w:eastAsiaTheme="minorEastAsia" w:cs="Calibri"/>
                <w:bCs/>
                <w:color w:val="000000"/>
                <w:lang w:eastAsia="en-AU"/>
              </w:rPr>
            </w:pPr>
            <w:r>
              <w:rPr>
                <w:rFonts w:eastAsiaTheme="minorEastAsia" w:cs="Calibri"/>
                <w:bCs/>
                <w:color w:val="000000"/>
                <w:lang w:eastAsia="en-AU"/>
              </w:rPr>
              <w:t>370</w:t>
            </w:r>
          </w:p>
        </w:tc>
        <w:tc>
          <w:tcPr>
            <w:tcW w:w="7824" w:type="dxa"/>
            <w:tcBorders>
              <w:top w:val="single" w:sz="6" w:space="0" w:color="auto"/>
              <w:bottom w:val="single" w:sz="12" w:space="0" w:color="auto"/>
            </w:tcBorders>
          </w:tcPr>
          <w:p w:rsidR="006F02B5" w:rsidRPr="006F02B5" w:rsidRDefault="006F02B5" w:rsidP="001D590D">
            <w:pPr>
              <w:autoSpaceDE w:val="0"/>
              <w:autoSpaceDN w:val="0"/>
              <w:adjustRightInd w:val="0"/>
              <w:ind w:left="113"/>
              <w:jc w:val="left"/>
              <w:rPr>
                <w:rFonts w:eastAsiaTheme="minorEastAsia" w:cs="Calibri"/>
                <w:bCs/>
                <w:color w:val="000000"/>
                <w:lang w:eastAsia="en-AU"/>
              </w:rPr>
            </w:pPr>
            <w:r w:rsidRPr="006F02B5">
              <w:rPr>
                <w:rFonts w:eastAsiaTheme="minorEastAsia" w:cs="Calibri"/>
                <w:bCs/>
                <w:color w:val="000000"/>
                <w:lang w:eastAsia="en-AU"/>
              </w:rPr>
              <w:t>Net cash flows from operating activities</w:t>
            </w:r>
          </w:p>
        </w:tc>
        <w:tc>
          <w:tcPr>
            <w:tcW w:w="907" w:type="dxa"/>
            <w:tcBorders>
              <w:top w:val="single" w:sz="6" w:space="0" w:color="auto"/>
              <w:bottom w:val="single" w:sz="12" w:space="0" w:color="auto"/>
            </w:tcBorders>
          </w:tcPr>
          <w:p w:rsidR="006F02B5" w:rsidRPr="006F02B5" w:rsidRDefault="006F02B5" w:rsidP="006F02B5">
            <w:pPr>
              <w:autoSpaceDE w:val="0"/>
              <w:autoSpaceDN w:val="0"/>
              <w:adjustRightInd w:val="0"/>
              <w:rPr>
                <w:rFonts w:eastAsiaTheme="minorEastAsia" w:cs="Calibri"/>
                <w:bCs/>
                <w:color w:val="000000"/>
                <w:lang w:eastAsia="en-AU"/>
              </w:rPr>
            </w:pPr>
            <w:r>
              <w:rPr>
                <w:rFonts w:eastAsiaTheme="minorEastAsia" w:cs="Calibri"/>
                <w:bCs/>
                <w:color w:val="000000"/>
                <w:lang w:eastAsia="en-AU"/>
              </w:rPr>
              <w:t>28</w:t>
            </w:r>
          </w:p>
        </w:tc>
      </w:tr>
    </w:tbl>
    <w:p w:rsidR="005B4BA6" w:rsidRDefault="005B4BA6" w:rsidP="006F02B5"/>
    <w:p w:rsidR="00E34AC7" w:rsidRDefault="00E34AC7" w:rsidP="00180823"/>
    <w:p w:rsidR="00180823" w:rsidRDefault="00180823" w:rsidP="005B4BA6">
      <w:pPr>
        <w:pStyle w:val="Heading2"/>
      </w:pPr>
      <w:r>
        <w:t>Controlled entities</w:t>
      </w:r>
    </w:p>
    <w:p w:rsidR="00155173" w:rsidRDefault="00155173" w:rsidP="000A547A">
      <w:pPr>
        <w:sectPr w:rsidR="00155173" w:rsidSect="00CE372B">
          <w:type w:val="continuous"/>
          <w:pgSz w:w="11907" w:h="16839" w:code="9"/>
          <w:pgMar w:top="851" w:right="1134" w:bottom="851" w:left="1134" w:header="624" w:footer="567" w:gutter="0"/>
          <w:cols w:sep="1" w:space="567"/>
          <w:docGrid w:linePitch="360"/>
        </w:sectPr>
      </w:pPr>
    </w:p>
    <w:p w:rsidR="0096441C" w:rsidRDefault="000A547A" w:rsidP="000A547A">
      <w:r>
        <w:lastRenderedPageBreak/>
        <w:t xml:space="preserve">Note 9.8 Controlled entities in the </w:t>
      </w:r>
      <w:r w:rsidRPr="000A547A">
        <w:rPr>
          <w:i/>
        </w:rPr>
        <w:t>2016</w:t>
      </w:r>
      <w:r w:rsidRPr="000A547A">
        <w:rPr>
          <w:i/>
        </w:rPr>
        <w:noBreakHyphen/>
        <w:t>17 Financial Report</w:t>
      </w:r>
      <w:r>
        <w:t xml:space="preserve"> for the State of Victoria list</w:t>
      </w:r>
      <w:r w:rsidR="00AC4FE6">
        <w:t>s</w:t>
      </w:r>
      <w:r w:rsidR="00AF3225">
        <w:t xml:space="preserve"> </w:t>
      </w:r>
      <w:r>
        <w:t xml:space="preserve">significant controlled entities, which </w:t>
      </w:r>
      <w:r w:rsidR="00AF3225">
        <w:t xml:space="preserve">were </w:t>
      </w:r>
      <w:r>
        <w:t xml:space="preserve">consolidated </w:t>
      </w:r>
      <w:r w:rsidR="00E11618">
        <w:t xml:space="preserve">in </w:t>
      </w:r>
      <w:r w:rsidR="00AF3225">
        <w:t xml:space="preserve">that </w:t>
      </w:r>
      <w:r>
        <w:t xml:space="preserve">financial report. </w:t>
      </w:r>
    </w:p>
    <w:p w:rsidR="005B4BA6" w:rsidRPr="000A547A" w:rsidRDefault="000A547A" w:rsidP="000A547A">
      <w:r>
        <w:lastRenderedPageBreak/>
        <w:t xml:space="preserve">The following are changes from 1 </w:t>
      </w:r>
      <w:r w:rsidRPr="000A547A">
        <w:t>July 2017</w:t>
      </w:r>
      <w:r>
        <w:t xml:space="preserve"> of general government sector entities, which have been consoli</w:t>
      </w:r>
      <w:r w:rsidR="00AF3225">
        <w:t xml:space="preserve">dated </w:t>
      </w:r>
      <w:r w:rsidR="00E11618">
        <w:t xml:space="preserve">in </w:t>
      </w:r>
      <w:r w:rsidR="00AF3225">
        <w:t>this</w:t>
      </w:r>
      <w:r>
        <w:t xml:space="preserve"> financial report:</w:t>
      </w:r>
    </w:p>
    <w:p w:rsidR="00155173" w:rsidRDefault="00155173" w:rsidP="00180823">
      <w:pPr>
        <w:sectPr w:rsidR="00155173" w:rsidSect="00CE372B">
          <w:type w:val="continuous"/>
          <w:pgSz w:w="11907" w:h="16839" w:code="9"/>
          <w:pgMar w:top="851" w:right="1134" w:bottom="851" w:left="1134" w:header="624" w:footer="567" w:gutter="0"/>
          <w:cols w:num="2" w:space="567"/>
          <w:docGrid w:linePitch="360"/>
        </w:sectPr>
      </w:pPr>
    </w:p>
    <w:p w:rsidR="005B4BA6" w:rsidRDefault="005B4BA6" w:rsidP="00180823"/>
    <w:tbl>
      <w:tblPr>
        <w:tblStyle w:val="DTFTable"/>
        <w:tblW w:w="5000" w:type="pct"/>
        <w:tblInd w:w="0" w:type="dxa"/>
        <w:tblCellMar>
          <w:left w:w="113" w:type="dxa"/>
          <w:right w:w="198" w:type="dxa"/>
        </w:tblCellMar>
        <w:tblLook w:val="0680" w:firstRow="0" w:lastRow="0" w:firstColumn="1" w:lastColumn="0" w:noHBand="1" w:noVBand="1"/>
      </w:tblPr>
      <w:tblGrid>
        <w:gridCol w:w="3940"/>
        <w:gridCol w:w="6010"/>
      </w:tblGrid>
      <w:tr w:rsidR="005B4BA6" w:rsidRPr="0029647E" w:rsidTr="003C4492">
        <w:trPr>
          <w:trHeight w:val="1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p w:rsidR="005B4BA6" w:rsidRPr="0029647E" w:rsidRDefault="005B4BA6" w:rsidP="00757FE4">
            <w:pPr>
              <w:pStyle w:val="ControlledEntitiesSector"/>
              <w:jc w:val="left"/>
            </w:pPr>
            <w:r w:rsidRPr="0029647E">
              <w:t>General government</w:t>
            </w:r>
          </w:p>
        </w:tc>
      </w:tr>
      <w:tr w:rsidR="00757FE4" w:rsidRPr="0029647E" w:rsidTr="004F6997">
        <w:trPr>
          <w:cantSplit w:val="0"/>
          <w:trHeight w:val="990"/>
        </w:trPr>
        <w:tc>
          <w:tcPr>
            <w:cnfStyle w:val="001000000000" w:firstRow="0" w:lastRow="0" w:firstColumn="1" w:lastColumn="0" w:oddVBand="0" w:evenVBand="0" w:oddHBand="0" w:evenHBand="0" w:firstRowFirstColumn="0" w:firstRowLastColumn="0" w:lastRowFirstColumn="0" w:lastRowLastColumn="0"/>
            <w:tcW w:w="1980" w:type="pct"/>
            <w:tcBorders>
              <w:bottom w:val="nil"/>
            </w:tcBorders>
          </w:tcPr>
          <w:p w:rsidR="00757FE4" w:rsidRDefault="00757FE4" w:rsidP="001B6D94">
            <w:pPr>
              <w:pStyle w:val="ControlledEntitiesDepartment"/>
              <w:ind w:left="0" w:firstLine="0"/>
            </w:pPr>
            <w:r>
              <w:t>Department of Health and Human Services</w:t>
            </w:r>
            <w:r w:rsidRPr="005B4BA6">
              <w:t xml:space="preserve"> </w:t>
            </w:r>
          </w:p>
          <w:p w:rsidR="00757FE4" w:rsidRDefault="00757FE4" w:rsidP="001B6D94">
            <w:pPr>
              <w:pStyle w:val="ListBullet"/>
              <w:numPr>
                <w:ilvl w:val="0"/>
                <w:numId w:val="0"/>
              </w:numPr>
              <w:spacing w:before="20"/>
              <w:ind w:left="284" w:hanging="284"/>
            </w:pPr>
            <w:r>
              <w:t>Corryong Health</w:t>
            </w:r>
            <w:r>
              <w:rPr>
                <w:vertAlign w:val="superscript"/>
              </w:rPr>
              <w:t xml:space="preserve"> (a)</w:t>
            </w:r>
          </w:p>
          <w:p w:rsidR="00757FE4" w:rsidRDefault="00757FE4" w:rsidP="003C4492">
            <w:pPr>
              <w:pStyle w:val="ControlledEntitiesDepartment"/>
            </w:pPr>
            <w:r>
              <w:t xml:space="preserve">Department of </w:t>
            </w:r>
            <w:r w:rsidRPr="00500AD2">
              <w:t>Premier</w:t>
            </w:r>
            <w:r>
              <w:t xml:space="preserve"> and Cabinet </w:t>
            </w:r>
          </w:p>
          <w:p w:rsidR="00757FE4" w:rsidRPr="0029647E" w:rsidRDefault="00757FE4" w:rsidP="00757FE4">
            <w:r>
              <w:t>Victorian information Commissioner</w:t>
            </w:r>
            <w:r>
              <w:rPr>
                <w:vertAlign w:val="superscript"/>
              </w:rPr>
              <w:t xml:space="preserve"> (b)</w:t>
            </w:r>
          </w:p>
        </w:tc>
        <w:tc>
          <w:tcPr>
            <w:tcW w:w="3020" w:type="pct"/>
            <w:tcBorders>
              <w:bottom w:val="nil"/>
            </w:tcBorders>
          </w:tcPr>
          <w:p w:rsidR="00757FE4" w:rsidRPr="006B047C" w:rsidRDefault="00757FE4" w:rsidP="003C4492">
            <w:pPr>
              <w:pStyle w:val="ControlledEntitiesDepartment"/>
              <w:jc w:val="left"/>
              <w:cnfStyle w:val="000000000000" w:firstRow="0" w:lastRow="0" w:firstColumn="0" w:lastColumn="0" w:oddVBand="0" w:evenVBand="0" w:oddHBand="0" w:evenHBand="0" w:firstRowFirstColumn="0" w:firstRowLastColumn="0" w:lastRowFirstColumn="0" w:lastRowLastColumn="0"/>
              <w:rPr>
                <w:vertAlign w:val="superscript"/>
              </w:rPr>
            </w:pPr>
            <w:r>
              <w:t xml:space="preserve">Department of Economic Development, Jobs, Transport and Resources </w:t>
            </w:r>
          </w:p>
          <w:p w:rsidR="00757FE4" w:rsidRPr="001122C6" w:rsidRDefault="00757FE4" w:rsidP="003C4492">
            <w:pPr>
              <w:ind w:left="170" w:hanging="170"/>
              <w:jc w:val="left"/>
              <w:cnfStyle w:val="000000000000" w:firstRow="0" w:lastRow="0" w:firstColumn="0" w:lastColumn="0" w:oddVBand="0" w:evenVBand="0" w:oddHBand="0" w:evenHBand="0" w:firstRowFirstColumn="0" w:firstRowLastColumn="0" w:lastRowFirstColumn="0" w:lastRowLastColumn="0"/>
              <w:rPr>
                <w:vertAlign w:val="superscript"/>
              </w:rPr>
            </w:pPr>
            <w:r>
              <w:t xml:space="preserve">Victorian Fisheries Authority </w:t>
            </w:r>
            <w:r>
              <w:rPr>
                <w:vertAlign w:val="superscript"/>
              </w:rPr>
              <w:t>(c)</w:t>
            </w:r>
          </w:p>
          <w:p w:rsidR="00757FE4" w:rsidRPr="006B047C" w:rsidRDefault="00757FE4" w:rsidP="00757FE4">
            <w:pPr>
              <w:pStyle w:val="ControlledEntitiesDepartment"/>
              <w:jc w:val="left"/>
              <w:cnfStyle w:val="000000000000" w:firstRow="0" w:lastRow="0" w:firstColumn="0" w:lastColumn="0" w:oddVBand="0" w:evenVBand="0" w:oddHBand="0" w:evenHBand="0" w:firstRowFirstColumn="0" w:firstRowLastColumn="0" w:lastRowFirstColumn="0" w:lastRowLastColumn="0"/>
              <w:rPr>
                <w:vertAlign w:val="superscript"/>
              </w:rPr>
            </w:pPr>
            <w:r>
              <w:t>Courts</w:t>
            </w:r>
          </w:p>
          <w:p w:rsidR="00757FE4" w:rsidRPr="0029647E" w:rsidRDefault="00757FE4" w:rsidP="004F6997">
            <w:pPr>
              <w:ind w:left="170" w:hanging="170"/>
              <w:jc w:val="left"/>
              <w:cnfStyle w:val="000000000000" w:firstRow="0" w:lastRow="0" w:firstColumn="0" w:lastColumn="0" w:oddVBand="0" w:evenVBand="0" w:oddHBand="0" w:evenHBand="0" w:firstRowFirstColumn="0" w:firstRowLastColumn="0" w:lastRowFirstColumn="0" w:lastRowLastColumn="0"/>
            </w:pPr>
            <w:r>
              <w:t xml:space="preserve">Judicial Commission of Victoria </w:t>
            </w:r>
            <w:r>
              <w:rPr>
                <w:vertAlign w:val="superscript"/>
              </w:rPr>
              <w:t>(d)</w:t>
            </w:r>
          </w:p>
        </w:tc>
      </w:tr>
    </w:tbl>
    <w:p w:rsidR="001B6D94" w:rsidRDefault="001B6D94" w:rsidP="001B6D94">
      <w:pPr>
        <w:pStyle w:val="Note"/>
        <w:ind w:left="0" w:firstLine="0"/>
      </w:pPr>
      <w:r w:rsidRPr="006A75A2">
        <w:t>Notes</w:t>
      </w:r>
      <w:r>
        <w:t>:</w:t>
      </w:r>
    </w:p>
    <w:p w:rsidR="001B6D94" w:rsidRDefault="001B6D94" w:rsidP="001B6D94">
      <w:pPr>
        <w:pStyle w:val="Note"/>
      </w:pPr>
      <w:r>
        <w:t>(a)</w:t>
      </w:r>
      <w:r>
        <w:tab/>
        <w:t>On 4 July 2017, Upper Murray Health and Community Services changed its name to Corryong Health.</w:t>
      </w:r>
    </w:p>
    <w:p w:rsidR="001B6D94" w:rsidRDefault="001B6D94" w:rsidP="001B6D94">
      <w:pPr>
        <w:pStyle w:val="Note"/>
      </w:pPr>
      <w:r>
        <w:t>(b)</w:t>
      </w:r>
      <w:r>
        <w:tab/>
        <w:t>Effective from 1 September 2017, the Office of the Victorian Information Commissioner commenced operations and took over the responsibilities of the Freedom of Information Commissioner and the Office of the Commissioner for Privacy and Data Protection.</w:t>
      </w:r>
    </w:p>
    <w:p w:rsidR="001B6D94" w:rsidRDefault="001B6D94" w:rsidP="001B6D94">
      <w:pPr>
        <w:pStyle w:val="Note"/>
      </w:pPr>
      <w:r>
        <w:t>(c)</w:t>
      </w:r>
      <w:r w:rsidRPr="005973F8">
        <w:tab/>
      </w:r>
      <w:r>
        <w:t xml:space="preserve">The Victorian </w:t>
      </w:r>
      <w:r w:rsidRPr="005973F8">
        <w:t>Fisheries Authority is an independent statutory authority established on 1 July 2017 to effectively manage Victoria</w:t>
      </w:r>
      <w:r w:rsidR="000D716D">
        <w:t>’</w:t>
      </w:r>
      <w:r w:rsidRPr="005973F8">
        <w:t>s fisheries resources.</w:t>
      </w:r>
    </w:p>
    <w:p w:rsidR="00A3630E" w:rsidRDefault="00A3630E" w:rsidP="00A3630E">
      <w:pPr>
        <w:pStyle w:val="Note"/>
      </w:pPr>
      <w:r>
        <w:t>(d)</w:t>
      </w:r>
      <w:r>
        <w:tab/>
        <w:t xml:space="preserve">Effective from 1 July 2017, the Judicial Commission of Victoria commenced operations under the </w:t>
      </w:r>
      <w:r w:rsidRPr="00A3630E">
        <w:rPr>
          <w:i w:val="0"/>
        </w:rPr>
        <w:t>Judicial Commission of Victoria Act 2016.</w:t>
      </w:r>
      <w:r>
        <w:t xml:space="preserve">  </w:t>
      </w:r>
    </w:p>
    <w:p w:rsidR="00E34AC7" w:rsidRDefault="00E34AC7" w:rsidP="00E34AC7"/>
    <w:p w:rsidR="007107E0" w:rsidRDefault="007107E0" w:rsidP="00E34AC7">
      <w:pPr>
        <w:sectPr w:rsidR="007107E0" w:rsidSect="00CE372B">
          <w:type w:val="continuous"/>
          <w:pgSz w:w="11907" w:h="16839" w:code="9"/>
          <w:pgMar w:top="851" w:right="1134" w:bottom="851" w:left="1134" w:header="624" w:footer="567" w:gutter="0"/>
          <w:cols w:sep="1" w:space="567"/>
          <w:docGrid w:linePitch="360"/>
        </w:sectPr>
      </w:pPr>
    </w:p>
    <w:p w:rsidR="00180823" w:rsidRDefault="005B4BA6" w:rsidP="005B4BA6">
      <w:pPr>
        <w:pStyle w:val="Heading2"/>
      </w:pPr>
      <w:r>
        <w:lastRenderedPageBreak/>
        <w:t>Glossary of technical terms</w:t>
      </w:r>
    </w:p>
    <w:p w:rsidR="00180823" w:rsidRPr="004375F6" w:rsidRDefault="004375F6" w:rsidP="004375F6">
      <w:r w:rsidRPr="004375F6">
        <w:t xml:space="preserve">The </w:t>
      </w:r>
      <w:r w:rsidRPr="004375F6">
        <w:rPr>
          <w:i/>
        </w:rPr>
        <w:t>2016</w:t>
      </w:r>
      <w:r w:rsidRPr="004375F6">
        <w:rPr>
          <w:i/>
        </w:rPr>
        <w:noBreakHyphen/>
        <w:t>17 Financial Report</w:t>
      </w:r>
      <w:r w:rsidRPr="004375F6">
        <w:t xml:space="preserve"> for</w:t>
      </w:r>
      <w:r w:rsidR="002B0F2C">
        <w:t xml:space="preserve"> the State of Victoria (Note 9.9</w:t>
      </w:r>
      <w:r w:rsidRPr="004375F6">
        <w:t xml:space="preserve">) </w:t>
      </w:r>
      <w:r w:rsidR="00033628">
        <w:t xml:space="preserve">summarises </w:t>
      </w:r>
      <w:r w:rsidRPr="004375F6">
        <w:t>the major technical terms used in this report.</w:t>
      </w:r>
    </w:p>
    <w:p w:rsidR="0096441C" w:rsidRDefault="0096441C">
      <w:pPr>
        <w:rPr>
          <w:rFonts w:asciiTheme="majorHAnsi" w:eastAsiaTheme="majorEastAsia" w:hAnsiTheme="majorHAnsi" w:cstheme="majorBidi"/>
          <w:b/>
          <w:bCs/>
          <w:caps/>
          <w:spacing w:val="-2"/>
          <w:sz w:val="26"/>
          <w:szCs w:val="28"/>
        </w:rPr>
      </w:pPr>
    </w:p>
    <w:p w:rsidR="00155173" w:rsidRDefault="00155173" w:rsidP="00955520">
      <w:pPr>
        <w:pStyle w:val="Heading1"/>
        <w:sectPr w:rsidR="00155173" w:rsidSect="00CE372B">
          <w:type w:val="continuous"/>
          <w:pgSz w:w="11907" w:h="16839" w:code="9"/>
          <w:pgMar w:top="851" w:right="1134" w:bottom="851" w:left="1134" w:header="624" w:footer="567" w:gutter="0"/>
          <w:cols w:num="2" w:space="567"/>
          <w:docGrid w:linePitch="360"/>
        </w:sectPr>
      </w:pPr>
    </w:p>
    <w:p w:rsidR="00180823" w:rsidRDefault="00955520" w:rsidP="00955520">
      <w:pPr>
        <w:pStyle w:val="Heading1"/>
      </w:pPr>
      <w:bookmarkStart w:id="18" w:name="_Toc497376529"/>
      <w:r>
        <w:lastRenderedPageBreak/>
        <w:t xml:space="preserve">Results quarter by quarter – </w:t>
      </w:r>
      <w:r w:rsidR="00155173">
        <w:br/>
      </w:r>
      <w:r>
        <w:t>Victorian general government sector</w:t>
      </w:r>
      <w:bookmarkEnd w:id="18"/>
    </w:p>
    <w:p w:rsidR="00155173" w:rsidRDefault="00155173" w:rsidP="005B4BA6">
      <w:pPr>
        <w:pStyle w:val="Heading20"/>
        <w:sectPr w:rsidR="00155173" w:rsidSect="00CE372B">
          <w:type w:val="continuous"/>
          <w:pgSz w:w="11907" w:h="16839" w:code="9"/>
          <w:pgMar w:top="851" w:right="1134" w:bottom="851" w:left="1134" w:header="624" w:footer="567" w:gutter="0"/>
          <w:cols w:sep="1" w:space="567"/>
          <w:docGrid w:linePitch="360"/>
        </w:sectPr>
      </w:pPr>
    </w:p>
    <w:p w:rsidR="00180823" w:rsidRDefault="00180823" w:rsidP="00EA775F">
      <w:pPr>
        <w:pStyle w:val="Heading30"/>
      </w:pPr>
      <w:r>
        <w:lastRenderedPageBreak/>
        <w:t>Introduction</w:t>
      </w:r>
    </w:p>
    <w:p w:rsidR="0096441C" w:rsidRDefault="00CE1830" w:rsidP="00EA775F">
      <w:r w:rsidRPr="00CE1830">
        <w:t xml:space="preserve">This section includes the comprehensive operating statement, balance sheet and cash flow statement for the past five quarters in accordance with the requirements of the </w:t>
      </w:r>
      <w:r w:rsidRPr="00CE1830">
        <w:rPr>
          <w:i/>
        </w:rPr>
        <w:t>Financial Management Act 1994</w:t>
      </w:r>
      <w:r w:rsidRPr="00CE1830">
        <w:t>.</w:t>
      </w:r>
    </w:p>
    <w:p w:rsidR="00155173" w:rsidRDefault="00155173" w:rsidP="00180823">
      <w:pPr>
        <w:sectPr w:rsidR="00155173" w:rsidSect="00CE372B">
          <w:type w:val="continuous"/>
          <w:pgSz w:w="11907" w:h="16839" w:code="9"/>
          <w:pgMar w:top="851" w:right="1134" w:bottom="851" w:left="1134" w:header="624" w:footer="567" w:gutter="0"/>
          <w:cols w:num="2" w:space="567"/>
          <w:docGrid w:linePitch="360"/>
        </w:sectPr>
      </w:pPr>
      <w:r>
        <w:br w:type="column"/>
      </w:r>
    </w:p>
    <w:p w:rsidR="006F02B5" w:rsidRPr="006F02B5" w:rsidRDefault="00180823" w:rsidP="006F02B5">
      <w:pPr>
        <w:pStyle w:val="TableHeading"/>
        <w:rPr>
          <w:bCs/>
          <w:lang w:val="en-US"/>
        </w:rPr>
      </w:pPr>
      <w:bookmarkStart w:id="19" w:name="ConsolidatedOS_QBQ"/>
      <w:r>
        <w:lastRenderedPageBreak/>
        <w:t>Consolidated comprehensive operating statement for the past five quarters</w:t>
      </w:r>
      <w:bookmarkEnd w:id="19"/>
      <w:r w:rsidR="00804880">
        <w:tab/>
        <w:t>($ million)</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5102"/>
        <w:gridCol w:w="907"/>
        <w:gridCol w:w="907"/>
        <w:gridCol w:w="907"/>
        <w:gridCol w:w="907"/>
        <w:gridCol w:w="907"/>
      </w:tblGrid>
      <w:tr w:rsidR="001D590D" w:rsidRPr="006F02B5" w:rsidTr="008041B0">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right w:val="nil"/>
            </w:tcBorders>
            <w:shd w:val="solid" w:color="000000" w:fill="auto"/>
          </w:tcPr>
          <w:p w:rsidR="001D590D" w:rsidRPr="006F02B5" w:rsidRDefault="001D590D" w:rsidP="006F02B5">
            <w:pPr>
              <w:autoSpaceDE w:val="0"/>
              <w:autoSpaceDN w:val="0"/>
              <w:adjustRightInd w:val="0"/>
              <w:rPr>
                <w:rFonts w:eastAsiaTheme="minorEastAsia" w:cs="Calibri"/>
                <w:iCs/>
                <w:color w:val="FFFFFF"/>
                <w:lang w:eastAsia="en-AU"/>
              </w:rPr>
            </w:pPr>
          </w:p>
        </w:tc>
        <w:tc>
          <w:tcPr>
            <w:tcW w:w="907" w:type="dxa"/>
            <w:tcBorders>
              <w:top w:val="nil"/>
              <w:left w:val="nil"/>
              <w:right w:val="nil"/>
            </w:tcBorders>
            <w:shd w:val="solid" w:color="000000" w:fill="auto"/>
          </w:tcPr>
          <w:p w:rsidR="001D590D" w:rsidRPr="006F02B5" w:rsidRDefault="001D590D" w:rsidP="001D59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F02B5">
              <w:rPr>
                <w:rFonts w:eastAsiaTheme="minorEastAsia" w:cs="Calibri"/>
                <w:iCs/>
                <w:color w:val="FFFFFF"/>
                <w:szCs w:val="16"/>
                <w:lang w:eastAsia="en-AU"/>
              </w:rPr>
              <w:t>2016-17</w:t>
            </w:r>
            <w:r>
              <w:rPr>
                <w:rFonts w:eastAsiaTheme="minorEastAsia" w:cs="Calibri"/>
                <w:iCs/>
                <w:color w:val="FFFFFF"/>
                <w:szCs w:val="16"/>
                <w:lang w:eastAsia="en-AU"/>
              </w:rPr>
              <w:br/>
            </w:r>
            <w:r w:rsidRPr="006F02B5">
              <w:rPr>
                <w:rFonts w:eastAsiaTheme="minorEastAsia" w:cs="Calibri"/>
                <w:iCs/>
                <w:color w:val="FFFFFF"/>
                <w:szCs w:val="18"/>
                <w:lang w:eastAsia="en-AU"/>
              </w:rPr>
              <w:t>Sep</w:t>
            </w:r>
          </w:p>
        </w:tc>
        <w:tc>
          <w:tcPr>
            <w:tcW w:w="907" w:type="dxa"/>
            <w:tcBorders>
              <w:top w:val="nil"/>
              <w:left w:val="nil"/>
              <w:right w:val="nil"/>
            </w:tcBorders>
            <w:shd w:val="solid" w:color="000000" w:fill="auto"/>
          </w:tcPr>
          <w:p w:rsidR="001D590D" w:rsidRPr="006F02B5" w:rsidRDefault="001D590D" w:rsidP="006F0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F02B5">
              <w:rPr>
                <w:rFonts w:eastAsiaTheme="minorEastAsia" w:cs="Calibri"/>
                <w:iCs/>
                <w:color w:val="FFFFFF"/>
                <w:szCs w:val="18"/>
                <w:lang w:eastAsia="en-AU"/>
              </w:rPr>
              <w:t>Dec</w:t>
            </w:r>
          </w:p>
        </w:tc>
        <w:tc>
          <w:tcPr>
            <w:tcW w:w="907" w:type="dxa"/>
            <w:tcBorders>
              <w:top w:val="nil"/>
              <w:left w:val="nil"/>
              <w:right w:val="nil"/>
            </w:tcBorders>
            <w:shd w:val="solid" w:color="000000" w:fill="auto"/>
          </w:tcPr>
          <w:p w:rsidR="001D590D" w:rsidRPr="006F02B5" w:rsidRDefault="001D590D" w:rsidP="006F0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F02B5">
              <w:rPr>
                <w:rFonts w:eastAsiaTheme="minorEastAsia" w:cs="Calibri"/>
                <w:iCs/>
                <w:color w:val="FFFFFF"/>
                <w:szCs w:val="18"/>
                <w:lang w:eastAsia="en-AU"/>
              </w:rPr>
              <w:t>Mar</w:t>
            </w:r>
          </w:p>
        </w:tc>
        <w:tc>
          <w:tcPr>
            <w:tcW w:w="907" w:type="dxa"/>
            <w:tcBorders>
              <w:top w:val="nil"/>
              <w:left w:val="nil"/>
              <w:right w:val="nil"/>
            </w:tcBorders>
            <w:shd w:val="solid" w:color="000000" w:fill="auto"/>
          </w:tcPr>
          <w:p w:rsidR="001D590D" w:rsidRPr="006F02B5" w:rsidRDefault="001D590D" w:rsidP="006F0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F02B5">
              <w:rPr>
                <w:rFonts w:eastAsiaTheme="minorEastAsia" w:cs="Calibri"/>
                <w:iCs/>
                <w:color w:val="FFFFFF"/>
                <w:szCs w:val="18"/>
                <w:lang w:eastAsia="en-AU"/>
              </w:rPr>
              <w:t xml:space="preserve">Jun </w:t>
            </w:r>
          </w:p>
        </w:tc>
        <w:tc>
          <w:tcPr>
            <w:tcW w:w="907" w:type="dxa"/>
            <w:tcBorders>
              <w:top w:val="nil"/>
              <w:left w:val="nil"/>
              <w:right w:val="nil"/>
            </w:tcBorders>
            <w:shd w:val="solid" w:color="000000" w:fill="auto"/>
          </w:tcPr>
          <w:p w:rsidR="001D590D" w:rsidRPr="006F02B5" w:rsidRDefault="001D590D" w:rsidP="001D59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F02B5">
              <w:rPr>
                <w:rFonts w:eastAsiaTheme="minorEastAsia" w:cs="Calibri"/>
                <w:iCs/>
                <w:color w:val="FFFFFF"/>
                <w:szCs w:val="16"/>
                <w:lang w:eastAsia="en-AU"/>
              </w:rPr>
              <w:t>2017-18</w:t>
            </w:r>
            <w:r>
              <w:rPr>
                <w:rFonts w:eastAsiaTheme="minorEastAsia" w:cs="Calibri"/>
                <w:iCs/>
                <w:color w:val="FFFFFF"/>
                <w:szCs w:val="16"/>
                <w:lang w:eastAsia="en-AU"/>
              </w:rPr>
              <w:br/>
            </w:r>
            <w:r w:rsidRPr="006F02B5">
              <w:rPr>
                <w:rFonts w:eastAsiaTheme="minorEastAsia" w:cs="Calibri"/>
                <w:iCs/>
                <w:color w:val="FFFFFF"/>
                <w:szCs w:val="18"/>
                <w:lang w:eastAsia="en-AU"/>
              </w:rPr>
              <w:t>Sep</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Revenue from transactions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Taxation revenue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5 265</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5 397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6 880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4 730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5 722</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Interest revenue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210</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Dividends, income tax equivalent and rate equivalent revenue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Sales of goods and services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1 672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1 744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1 736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1 786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1 766</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Grant revenue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6 699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6 620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7 556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6 667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6 899</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Other revenue</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510</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779</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570</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786</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544</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Total revenue from transactions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14 391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15 107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17 029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14 391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15 198</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Expenses from transactions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Employee expenses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5 179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5 257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5 249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5 812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5 581</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192</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Other superannuation</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598</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Depreciation</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655</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Interest expense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454</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Grant expense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2 587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2 337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3 006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2 541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2 559</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Other operating expenses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4 295</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4 692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4 313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5 274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4 604</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Total expenses from transactions</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13 911</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14 200</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14 456</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15 643</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14 643</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Net result from transactions – net operating balance</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480</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907</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2 573</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(1 251)</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555</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Other economic flows included in net result</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Net gain/(loss) on disposal of non-financial assets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Net gain/(loss) on financial assets or liabilities at fair value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Share of net profit/(loss) from associates/joint venture entities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Other gains/(losses) from other economic flows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 xml:space="preserve">Total other economic flows included in net result </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(110)</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(51)</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(41)</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52</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(58)</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Net result</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370</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856</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2 532</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(1 199)</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497</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Other economic flows – other comprehensive income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Items that will not be reclassified to net result</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Changes in non-financial assets revaluation surplus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6 154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proofErr w:type="spellStart"/>
            <w:r w:rsidRPr="006F02B5">
              <w:rPr>
                <w:rFonts w:eastAsiaTheme="minorEastAsia" w:cs="Calibri"/>
                <w:color w:val="000000"/>
                <w:szCs w:val="18"/>
                <w:lang w:eastAsia="en-AU"/>
              </w:rPr>
              <w:t>Remeasurement</w:t>
            </w:r>
            <w:proofErr w:type="spellEnd"/>
            <w:r w:rsidRPr="006F02B5">
              <w:rPr>
                <w:rFonts w:eastAsiaTheme="minorEastAsia" w:cs="Calibri"/>
                <w:color w:val="000000"/>
                <w:szCs w:val="18"/>
                <w:lang w:eastAsia="en-AU"/>
              </w:rPr>
              <w:t xml:space="preserve"> of superannuation defined benefits plans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2 729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765</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1 259</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 xml:space="preserve">Other movements in equity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Items that may be reclassified subsequently to net result</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Net gain/(loss) on financial assets at fair value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8"/>
                <w:lang w:eastAsia="en-AU"/>
              </w:rPr>
            </w:pPr>
            <w:r w:rsidRPr="006F02B5">
              <w:rPr>
                <w:rFonts w:eastAsiaTheme="minorEastAsia" w:cs="Calibri"/>
                <w:color w:val="000000"/>
                <w:szCs w:val="18"/>
                <w:lang w:eastAsia="en-AU"/>
              </w:rPr>
              <w:t xml:space="preserve">Net gain/(loss) on equity investments in other sector entities at proportional share of the carrying amount of net assets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2 478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F02B5">
              <w:rPr>
                <w:rFonts w:eastAsiaTheme="minorEastAsia" w:cs="Calibri"/>
                <w:color w:val="000000"/>
                <w:szCs w:val="18"/>
                <w:lang w:eastAsia="en-AU"/>
              </w:rPr>
              <w:t>..</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 xml:space="preserve">Total other economic flows – other comprehensive income </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236</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3 404</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684</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9 396</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1 165</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Calibri"/>
                <w:b/>
                <w:bCs/>
                <w:color w:val="000000"/>
                <w:szCs w:val="18"/>
                <w:lang w:eastAsia="en-AU"/>
              </w:rPr>
            </w:pPr>
            <w:r w:rsidRPr="006F02B5">
              <w:rPr>
                <w:rFonts w:eastAsiaTheme="minorEastAsia" w:cs="Calibri"/>
                <w:b/>
                <w:bCs/>
                <w:color w:val="000000"/>
                <w:szCs w:val="18"/>
                <w:lang w:eastAsia="en-AU"/>
              </w:rPr>
              <w:t xml:space="preserve">Comprehensive result – total change in net worth </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607</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4 260</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3 216</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8 197</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F02B5">
              <w:rPr>
                <w:rFonts w:eastAsiaTheme="minorEastAsia" w:cs="Calibri"/>
                <w:b/>
                <w:bCs/>
                <w:color w:val="000000"/>
                <w:szCs w:val="18"/>
                <w:lang w:eastAsia="en-AU"/>
              </w:rPr>
              <w:t>1 662</w:t>
            </w:r>
          </w:p>
        </w:tc>
      </w:tr>
      <w:tr w:rsidR="006F02B5" w:rsidRPr="006F02B5" w:rsidTr="006F02B5">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F02B5">
              <w:rPr>
                <w:rFonts w:eastAsiaTheme="minorEastAsia" w:cs="Calibri"/>
                <w:color w:val="000000"/>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6"/>
                <w:lang w:eastAsia="en-AU"/>
              </w:rPr>
            </w:pPr>
            <w:r w:rsidRPr="006F02B5">
              <w:rPr>
                <w:rFonts w:eastAsiaTheme="minorEastAsia" w:cs="Calibri"/>
                <w:b/>
                <w:bCs/>
                <w:color w:val="000000"/>
                <w:szCs w:val="16"/>
                <w:lang w:eastAsia="en-AU"/>
              </w:rPr>
              <w:t>KEY FISCAL AGGREGATES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F02B5">
              <w:rPr>
                <w:rFonts w:eastAsiaTheme="minorEastAsia" w:cs="Calibri"/>
                <w:b/>
                <w:bCs/>
                <w:color w:val="000000"/>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b/>
                <w:bCs/>
                <w:color w:val="000000"/>
                <w:szCs w:val="16"/>
                <w:lang w:eastAsia="en-AU"/>
              </w:rPr>
            </w:pPr>
            <w:r w:rsidRPr="006F02B5">
              <w:rPr>
                <w:rFonts w:eastAsiaTheme="minorEastAsia" w:cs="Calibri"/>
                <w:b/>
                <w:bCs/>
                <w:color w:val="000000"/>
                <w:szCs w:val="16"/>
                <w:lang w:eastAsia="en-AU"/>
              </w:rPr>
              <w:t>Net operating balance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480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907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6F02B5">
              <w:rPr>
                <w:rFonts w:eastAsiaTheme="minorEastAsia" w:cs="Calibri"/>
                <w:b/>
                <w:bCs/>
                <w:color w:val="000000"/>
                <w:szCs w:val="16"/>
                <w:lang w:eastAsia="en-AU"/>
              </w:rPr>
              <w:t>2 573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(1 251)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555</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szCs w:val="16"/>
                <w:lang w:eastAsia="en-AU"/>
              </w:rPr>
            </w:pPr>
            <w:r w:rsidRPr="006F02B5">
              <w:rPr>
                <w:rFonts w:eastAsiaTheme="minorEastAsia" w:cs="Calibri"/>
                <w:color w:val="000000"/>
                <w:szCs w:val="16"/>
                <w:lang w:eastAsia="en-AU"/>
              </w:rPr>
              <w:t>Less: Net acquisition of non-financial assets from transactions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955</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283</w:t>
            </w:r>
          </w:p>
        </w:tc>
      </w:tr>
      <w:tr w:rsidR="006F02B5" w:rsidRPr="006F02B5" w:rsidTr="006F02B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bottom w:val="single" w:sz="12" w:space="0" w:color="000000"/>
            </w:tcBorders>
          </w:tcPr>
          <w:p w:rsidR="006F02B5" w:rsidRPr="006F02B5" w:rsidRDefault="006F02B5" w:rsidP="006F02B5">
            <w:pPr>
              <w:autoSpaceDE w:val="0"/>
              <w:autoSpaceDN w:val="0"/>
              <w:adjustRightInd w:val="0"/>
              <w:rPr>
                <w:rFonts w:eastAsiaTheme="minorEastAsia" w:cs="Calibri"/>
                <w:bCs/>
                <w:color w:val="000000"/>
                <w:szCs w:val="16"/>
                <w:lang w:eastAsia="en-AU"/>
              </w:rPr>
            </w:pPr>
            <w:r w:rsidRPr="006F02B5">
              <w:rPr>
                <w:rFonts w:eastAsiaTheme="minorEastAsia" w:cs="Calibri"/>
                <w:bCs/>
                <w:color w:val="000000"/>
                <w:szCs w:val="16"/>
                <w:lang w:eastAsia="en-AU"/>
              </w:rPr>
              <w:t>Net lending/(borrowing)</w:t>
            </w:r>
          </w:p>
        </w:tc>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473</w:t>
            </w:r>
          </w:p>
        </w:tc>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744</w:t>
            </w:r>
          </w:p>
        </w:tc>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6F02B5">
              <w:rPr>
                <w:rFonts w:eastAsiaTheme="minorEastAsia" w:cs="Calibri"/>
                <w:bCs/>
                <w:color w:val="000000"/>
                <w:szCs w:val="16"/>
                <w:lang w:eastAsia="en-AU"/>
              </w:rPr>
              <w:t>1 617</w:t>
            </w:r>
          </w:p>
        </w:tc>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(1 778)</w:t>
            </w:r>
          </w:p>
        </w:tc>
        <w:tc>
          <w:tcPr>
            <w:tcW w:w="907" w:type="dxa"/>
            <w:tcBorders>
              <w:top w:val="single" w:sz="6" w:space="0" w:color="000000"/>
              <w:bottom w:val="single" w:sz="12" w:space="0" w:color="000000"/>
            </w:tcBorders>
          </w:tcPr>
          <w:p w:rsidR="006F02B5" w:rsidRPr="006F02B5" w:rsidRDefault="006F02B5" w:rsidP="006F02B5">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272</w:t>
            </w:r>
          </w:p>
        </w:tc>
      </w:tr>
    </w:tbl>
    <w:p w:rsidR="00D3345D" w:rsidRPr="00804880" w:rsidRDefault="00D3345D" w:rsidP="006F02B5">
      <w:r>
        <w:br w:type="page"/>
      </w:r>
    </w:p>
    <w:p w:rsidR="006F02B5" w:rsidRPr="006F02B5" w:rsidRDefault="00662AB1" w:rsidP="006F02B5">
      <w:pPr>
        <w:pStyle w:val="TableHeading"/>
        <w:rPr>
          <w:bCs/>
          <w:lang w:val="en-US"/>
        </w:rPr>
      </w:pPr>
      <w:bookmarkStart w:id="20" w:name="ConsolidatedBS_QBQ"/>
      <w:r>
        <w:lastRenderedPageBreak/>
        <w:t xml:space="preserve">Consolidated balance sheet </w:t>
      </w:r>
      <w:r w:rsidR="00180823">
        <w:t>at the end of the</w:t>
      </w:r>
      <w:r w:rsidR="00E104E2">
        <w:t xml:space="preserve"> past five</w:t>
      </w:r>
      <w:r w:rsidR="00180823">
        <w:t xml:space="preserve"> quarter</w:t>
      </w:r>
      <w:bookmarkEnd w:id="20"/>
      <w:r w:rsidR="00E104E2">
        <w:t>s</w:t>
      </w:r>
      <w:r w:rsidR="00804880">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102"/>
        <w:gridCol w:w="907"/>
        <w:gridCol w:w="907"/>
        <w:gridCol w:w="907"/>
        <w:gridCol w:w="907"/>
        <w:gridCol w:w="907"/>
      </w:tblGrid>
      <w:tr w:rsidR="001D590D" w:rsidRPr="006F02B5" w:rsidTr="008041B0">
        <w:trPr>
          <w:cnfStyle w:val="100000000000" w:firstRow="1" w:lastRow="0" w:firstColumn="0" w:lastColumn="0" w:oddVBand="0" w:evenVBand="0" w:oddHBand="0" w:evenHBand="0" w:firstRowFirstColumn="0" w:firstRowLastColumn="0" w:lastRowFirstColumn="0" w:lastRowLastColumn="0"/>
          <w:trHeight w:val="63"/>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right w:val="nil"/>
            </w:tcBorders>
            <w:shd w:val="solid" w:color="000000" w:fill="auto"/>
          </w:tcPr>
          <w:p w:rsidR="001D590D" w:rsidRPr="006F02B5" w:rsidRDefault="001D590D" w:rsidP="006F02B5">
            <w:pPr>
              <w:autoSpaceDE w:val="0"/>
              <w:autoSpaceDN w:val="0"/>
              <w:adjustRightInd w:val="0"/>
              <w:rPr>
                <w:rFonts w:eastAsiaTheme="minorEastAsia" w:cs="Calibri"/>
                <w:iCs/>
                <w:color w:val="FFFFFF"/>
                <w:lang w:eastAsia="en-AU"/>
              </w:rPr>
            </w:pPr>
          </w:p>
        </w:tc>
        <w:tc>
          <w:tcPr>
            <w:tcW w:w="907" w:type="dxa"/>
            <w:tcBorders>
              <w:top w:val="nil"/>
              <w:left w:val="nil"/>
              <w:right w:val="nil"/>
            </w:tcBorders>
            <w:shd w:val="solid" w:color="000000" w:fill="auto"/>
          </w:tcPr>
          <w:p w:rsidR="001D590D" w:rsidRPr="006F02B5" w:rsidRDefault="001D590D" w:rsidP="001D59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F02B5">
              <w:rPr>
                <w:rFonts w:eastAsiaTheme="minorEastAsia" w:cs="Calibri"/>
                <w:iCs/>
                <w:color w:val="FFFFFF"/>
                <w:szCs w:val="16"/>
                <w:lang w:eastAsia="en-AU"/>
              </w:rPr>
              <w:t>2016-17</w:t>
            </w:r>
            <w:r>
              <w:rPr>
                <w:rFonts w:eastAsiaTheme="minorEastAsia" w:cs="Calibri"/>
                <w:iCs/>
                <w:color w:val="FFFFFF"/>
                <w:szCs w:val="16"/>
                <w:lang w:eastAsia="en-AU"/>
              </w:rPr>
              <w:br/>
            </w:r>
            <w:r w:rsidRPr="006F02B5">
              <w:rPr>
                <w:rFonts w:eastAsiaTheme="minorEastAsia" w:cs="Calibri"/>
                <w:iCs/>
                <w:color w:val="FFFFFF"/>
                <w:szCs w:val="16"/>
                <w:lang w:eastAsia="en-AU"/>
              </w:rPr>
              <w:t>Sep</w:t>
            </w:r>
          </w:p>
        </w:tc>
        <w:tc>
          <w:tcPr>
            <w:tcW w:w="907" w:type="dxa"/>
            <w:tcBorders>
              <w:top w:val="nil"/>
              <w:left w:val="nil"/>
              <w:right w:val="nil"/>
            </w:tcBorders>
            <w:shd w:val="solid" w:color="000000" w:fill="auto"/>
          </w:tcPr>
          <w:p w:rsidR="001D590D" w:rsidRPr="006F02B5" w:rsidRDefault="001D590D" w:rsidP="001D59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F02B5">
              <w:rPr>
                <w:rFonts w:eastAsiaTheme="minorEastAsia" w:cs="Calibri"/>
                <w:iCs/>
                <w:color w:val="FFFFFF"/>
                <w:szCs w:val="16"/>
                <w:lang w:eastAsia="en-AU"/>
              </w:rPr>
              <w:t xml:space="preserve"> </w:t>
            </w:r>
            <w:r>
              <w:rPr>
                <w:rFonts w:eastAsiaTheme="minorEastAsia" w:cs="Calibri"/>
                <w:iCs/>
                <w:color w:val="FFFFFF"/>
                <w:szCs w:val="16"/>
                <w:lang w:eastAsia="en-AU"/>
              </w:rPr>
              <w:t>D</w:t>
            </w:r>
            <w:r w:rsidRPr="006F02B5">
              <w:rPr>
                <w:rFonts w:eastAsiaTheme="minorEastAsia" w:cs="Calibri"/>
                <w:iCs/>
                <w:color w:val="FFFFFF"/>
                <w:szCs w:val="16"/>
                <w:lang w:eastAsia="en-AU"/>
              </w:rPr>
              <w:t>ec</w:t>
            </w:r>
          </w:p>
        </w:tc>
        <w:tc>
          <w:tcPr>
            <w:tcW w:w="907" w:type="dxa"/>
            <w:tcBorders>
              <w:top w:val="nil"/>
              <w:left w:val="nil"/>
              <w:right w:val="nil"/>
            </w:tcBorders>
            <w:shd w:val="solid" w:color="000000" w:fill="auto"/>
          </w:tcPr>
          <w:p w:rsidR="001D590D" w:rsidRPr="006F02B5" w:rsidRDefault="001D590D" w:rsidP="006F02B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F02B5">
              <w:rPr>
                <w:rFonts w:eastAsiaTheme="minorEastAsia" w:cs="Calibri"/>
                <w:iCs/>
                <w:color w:val="FFFFFF"/>
                <w:szCs w:val="16"/>
                <w:lang w:eastAsia="en-AU"/>
              </w:rPr>
              <w:t>Mar</w:t>
            </w:r>
          </w:p>
        </w:tc>
        <w:tc>
          <w:tcPr>
            <w:tcW w:w="907" w:type="dxa"/>
            <w:tcBorders>
              <w:top w:val="nil"/>
              <w:left w:val="nil"/>
              <w:right w:val="nil"/>
            </w:tcBorders>
            <w:shd w:val="solid" w:color="000000" w:fill="auto"/>
          </w:tcPr>
          <w:p w:rsidR="001D590D" w:rsidRPr="006F02B5" w:rsidRDefault="001D590D" w:rsidP="001D59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F02B5">
              <w:rPr>
                <w:rFonts w:eastAsiaTheme="minorEastAsia" w:cs="Calibri"/>
                <w:iCs/>
                <w:color w:val="FFFFFF"/>
                <w:szCs w:val="16"/>
                <w:lang w:eastAsia="en-AU"/>
              </w:rPr>
              <w:t xml:space="preserve"> Jun</w:t>
            </w:r>
          </w:p>
        </w:tc>
        <w:tc>
          <w:tcPr>
            <w:tcW w:w="907" w:type="dxa"/>
            <w:tcBorders>
              <w:top w:val="nil"/>
              <w:left w:val="nil"/>
              <w:right w:val="nil"/>
            </w:tcBorders>
            <w:shd w:val="solid" w:color="000000" w:fill="auto"/>
          </w:tcPr>
          <w:p w:rsidR="001D590D" w:rsidRPr="006F02B5" w:rsidRDefault="001D590D" w:rsidP="001D59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6F02B5">
              <w:rPr>
                <w:rFonts w:eastAsiaTheme="minorEastAsia" w:cs="Calibri"/>
                <w:iCs/>
                <w:color w:val="FFFFFF"/>
                <w:szCs w:val="16"/>
                <w:lang w:eastAsia="en-AU"/>
              </w:rPr>
              <w:t>2017-18</w:t>
            </w:r>
            <w:r>
              <w:rPr>
                <w:rFonts w:eastAsiaTheme="minorEastAsia" w:cs="Calibri"/>
                <w:iCs/>
                <w:color w:val="FFFFFF"/>
                <w:szCs w:val="16"/>
                <w:lang w:eastAsia="en-AU"/>
              </w:rPr>
              <w:br/>
            </w:r>
            <w:r w:rsidRPr="006F02B5">
              <w:rPr>
                <w:rFonts w:eastAsiaTheme="minorEastAsia" w:cs="Calibri"/>
                <w:iCs/>
                <w:color w:val="FFFFFF"/>
                <w:szCs w:val="16"/>
                <w:lang w:eastAsia="en-AU"/>
              </w:rPr>
              <w:t>Sep</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Assets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Financial assets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Cash and deposits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4 079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4 319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3 900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5 530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4 146</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Advances paid</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4 586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14 156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13 648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12 939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12 179</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Receivables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5 866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5 469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7 108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5 931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6 281</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Investments, loans and placements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3 057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5 516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5 720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3 673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3 895</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Investments accounted for using the equity method</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48</w:t>
            </w:r>
          </w:p>
        </w:tc>
      </w:tr>
      <w:tr w:rsidR="006F02B5" w:rsidRPr="006F02B5" w:rsidTr="00E104E2">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Investments in other sector entities</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95 473</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88 196</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89 043</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92 509</w:t>
            </w:r>
          </w:p>
        </w:tc>
        <w:tc>
          <w:tcPr>
            <w:tcW w:w="907" w:type="dxa"/>
            <w:tcBorders>
              <w:top w:val="nil"/>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93 484</w:t>
            </w:r>
          </w:p>
        </w:tc>
      </w:tr>
      <w:tr w:rsidR="006F02B5" w:rsidRPr="006F02B5" w:rsidTr="00E104E2">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4" w:space="0" w:color="auto"/>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Total financial assets</w:t>
            </w:r>
          </w:p>
        </w:tc>
        <w:tc>
          <w:tcPr>
            <w:tcW w:w="907" w:type="dxa"/>
            <w:tcBorders>
              <w:top w:val="single" w:sz="6" w:space="0" w:color="000000"/>
              <w:left w:val="nil"/>
              <w:bottom w:val="single" w:sz="4" w:space="0" w:color="auto"/>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113 108</w:t>
            </w:r>
          </w:p>
        </w:tc>
        <w:tc>
          <w:tcPr>
            <w:tcW w:w="907" w:type="dxa"/>
            <w:tcBorders>
              <w:top w:val="single" w:sz="6" w:space="0" w:color="000000"/>
              <w:left w:val="nil"/>
              <w:bottom w:val="single" w:sz="4" w:space="0" w:color="auto"/>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117 701</w:t>
            </w:r>
          </w:p>
        </w:tc>
        <w:tc>
          <w:tcPr>
            <w:tcW w:w="907" w:type="dxa"/>
            <w:tcBorders>
              <w:top w:val="single" w:sz="6" w:space="0" w:color="000000"/>
              <w:left w:val="nil"/>
              <w:bottom w:val="single" w:sz="4" w:space="0" w:color="auto"/>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119 462</w:t>
            </w:r>
          </w:p>
        </w:tc>
        <w:tc>
          <w:tcPr>
            <w:tcW w:w="907" w:type="dxa"/>
            <w:tcBorders>
              <w:top w:val="single" w:sz="6" w:space="0" w:color="000000"/>
              <w:left w:val="nil"/>
              <w:bottom w:val="single" w:sz="4" w:space="0" w:color="auto"/>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120 630</w:t>
            </w:r>
          </w:p>
        </w:tc>
        <w:tc>
          <w:tcPr>
            <w:tcW w:w="907" w:type="dxa"/>
            <w:tcBorders>
              <w:top w:val="single" w:sz="6" w:space="0" w:color="000000"/>
              <w:left w:val="nil"/>
              <w:bottom w:val="single" w:sz="4" w:space="0" w:color="auto"/>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120 033</w:t>
            </w:r>
          </w:p>
        </w:tc>
      </w:tr>
      <w:tr w:rsidR="006F02B5" w:rsidRPr="006F02B5" w:rsidTr="00E104E2">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auto"/>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Non-financial assets</w:t>
            </w:r>
          </w:p>
        </w:tc>
        <w:tc>
          <w:tcPr>
            <w:tcW w:w="907" w:type="dxa"/>
            <w:tcBorders>
              <w:top w:val="single" w:sz="4" w:space="0" w:color="auto"/>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single" w:sz="4" w:space="0" w:color="auto"/>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single" w:sz="4" w:space="0" w:color="auto"/>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single" w:sz="4" w:space="0" w:color="auto"/>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single" w:sz="4" w:space="0" w:color="auto"/>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Inventories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173</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Non-financial assets held for sale</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405</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405</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Land, buildings, infrastructure, plant and equipment</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114 009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114 148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115 219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121 776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122 018</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Other non-financial assets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1 619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1 535</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1 456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1 494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1 944</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Total non-financial assets</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115 998</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116 052</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117 044</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123 849</w:t>
            </w:r>
          </w:p>
        </w:tc>
        <w:tc>
          <w:tcPr>
            <w:tcW w:w="907" w:type="dxa"/>
            <w:tcBorders>
              <w:top w:val="single" w:sz="6" w:space="0" w:color="000000"/>
              <w:left w:val="nil"/>
              <w:bottom w:val="single" w:sz="6"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124 539</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Total assets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229 106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233 753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236 506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244 478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244 573</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Liabilities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 xml:space="preserve">Deposits held and advances received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717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10 393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9 913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9 088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8 403</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Payables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5 481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5 084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5 227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5 815</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5 722</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 xml:space="preserve">Borrowings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34 551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27 986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28 684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28 816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29 485</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Employee benefits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6 098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6 244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6 050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6 506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6 329</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Superannuation</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29 044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26 566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25 944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24 900</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23 903</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Other provisions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861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866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858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1 326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1 043</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Total liabilities</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76 751</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77 139</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76 676</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76 451</w:t>
            </w:r>
          </w:p>
        </w:tc>
        <w:tc>
          <w:tcPr>
            <w:tcW w:w="907" w:type="dxa"/>
            <w:tcBorders>
              <w:top w:val="single" w:sz="6" w:space="0" w:color="000000"/>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74 884</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Net assets</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152 355</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156 614</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159 831</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168 027</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169 689</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Accumulated surplus/(deficit)</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45 286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48 817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51 977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51 464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53 145</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Reserves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107 069</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107 797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107 853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116 563</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116 544</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Net worth</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152 355</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156 614</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159 831</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168 027</w:t>
            </w:r>
          </w:p>
        </w:tc>
        <w:tc>
          <w:tcPr>
            <w:tcW w:w="907" w:type="dxa"/>
            <w:tcBorders>
              <w:top w:val="single" w:sz="6" w:space="0" w:color="000000"/>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169 689</w:t>
            </w:r>
          </w:p>
        </w:tc>
      </w:tr>
      <w:tr w:rsidR="006F02B5" w:rsidRPr="006F02B5" w:rsidTr="006F02B5">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F02B5">
              <w:rPr>
                <w:rFonts w:eastAsiaTheme="minorEastAsia" w:cs="Calibri"/>
                <w:color w:val="000000"/>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F02B5">
              <w:rPr>
                <w:rFonts w:eastAsiaTheme="minorEastAsia" w:cs="Calibri"/>
                <w:color w:val="000000"/>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b/>
                <w:bCs/>
                <w:color w:val="000000"/>
                <w:szCs w:val="16"/>
                <w:lang w:eastAsia="en-AU"/>
              </w:rPr>
            </w:pPr>
            <w:r w:rsidRPr="006F02B5">
              <w:rPr>
                <w:rFonts w:eastAsiaTheme="minorEastAsia" w:cs="Arial"/>
                <w:b/>
                <w:bCs/>
                <w:color w:val="000000"/>
                <w:szCs w:val="16"/>
                <w:lang w:eastAsia="en-AU"/>
              </w:rPr>
              <w:t>FISCAL AGGREGATES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6F02B5">
              <w:rPr>
                <w:rFonts w:eastAsiaTheme="minorEastAsia" w:cs="Arial"/>
                <w:b/>
                <w:bCs/>
                <w:color w:val="000000"/>
                <w:szCs w:val="16"/>
                <w:lang w:eastAsia="en-AU"/>
              </w:rPr>
              <w:t xml:space="preserve"> </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Net financial worth</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36 357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40 562</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42 787</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44 178</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45 150</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Net financial liabilities</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59 116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47 634</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46 256</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48 331</w:t>
            </w:r>
          </w:p>
        </w:tc>
        <w:tc>
          <w:tcPr>
            <w:tcW w:w="907" w:type="dxa"/>
            <w:tcBorders>
              <w:top w:val="nil"/>
              <w:left w:val="nil"/>
              <w:bottom w:val="nil"/>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48 335</w:t>
            </w:r>
          </w:p>
        </w:tc>
      </w:tr>
      <w:tr w:rsidR="006F02B5" w:rsidRPr="006F02B5" w:rsidTr="006F02B5">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12" w:space="0" w:color="000000"/>
              <w:right w:val="nil"/>
            </w:tcBorders>
          </w:tcPr>
          <w:p w:rsidR="006F02B5" w:rsidRPr="006F02B5" w:rsidRDefault="006F02B5" w:rsidP="006F02B5">
            <w:pPr>
              <w:autoSpaceDE w:val="0"/>
              <w:autoSpaceDN w:val="0"/>
              <w:adjustRightInd w:val="0"/>
              <w:rPr>
                <w:rFonts w:eastAsiaTheme="minorEastAsia" w:cs="Arial"/>
                <w:color w:val="000000"/>
                <w:szCs w:val="16"/>
                <w:lang w:eastAsia="en-AU"/>
              </w:rPr>
            </w:pPr>
            <w:r w:rsidRPr="006F02B5">
              <w:rPr>
                <w:rFonts w:eastAsiaTheme="minorEastAsia" w:cs="Arial"/>
                <w:color w:val="000000"/>
                <w:szCs w:val="16"/>
                <w:lang w:eastAsia="en-AU"/>
              </w:rPr>
              <w:t>Net debt</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23 545</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14 387</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15 330</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15 762</w:t>
            </w:r>
          </w:p>
        </w:tc>
        <w:tc>
          <w:tcPr>
            <w:tcW w:w="907" w:type="dxa"/>
            <w:tcBorders>
              <w:top w:val="nil"/>
              <w:left w:val="nil"/>
              <w:bottom w:val="single" w:sz="12" w:space="0" w:color="000000"/>
              <w:right w:val="nil"/>
            </w:tcBorders>
          </w:tcPr>
          <w:p w:rsidR="006F02B5" w:rsidRPr="006F02B5" w:rsidRDefault="006F02B5" w:rsidP="006F02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6F02B5">
              <w:rPr>
                <w:rFonts w:eastAsiaTheme="minorEastAsia" w:cs="Arial"/>
                <w:color w:val="000000"/>
                <w:szCs w:val="16"/>
                <w:lang w:eastAsia="en-AU"/>
              </w:rPr>
              <w:t>17 667</w:t>
            </w:r>
          </w:p>
        </w:tc>
      </w:tr>
    </w:tbl>
    <w:p w:rsidR="005B4BA6" w:rsidRDefault="005B4BA6" w:rsidP="006F02B5"/>
    <w:p w:rsidR="005B4BA6" w:rsidRDefault="005B4BA6" w:rsidP="00180823"/>
    <w:p w:rsidR="00D3345D" w:rsidRDefault="00D3345D">
      <w:pPr>
        <w:rPr>
          <w:rFonts w:asciiTheme="majorHAnsi" w:hAnsiTheme="majorHAnsi"/>
          <w:b/>
          <w:sz w:val="20"/>
          <w:szCs w:val="20"/>
        </w:rPr>
      </w:pPr>
      <w:r>
        <w:br w:type="page"/>
      </w:r>
    </w:p>
    <w:p w:rsidR="002A44E3" w:rsidRPr="002A44E3" w:rsidRDefault="00180823" w:rsidP="002A44E3">
      <w:pPr>
        <w:pStyle w:val="TableHeading"/>
        <w:rPr>
          <w:bCs/>
          <w:lang w:val="en-US"/>
        </w:rPr>
      </w:pPr>
      <w:bookmarkStart w:id="21" w:name="ConsolidatedCF_QBQ"/>
      <w:r>
        <w:lastRenderedPageBreak/>
        <w:t>Consolidated cash flow statement for the past five quarters</w:t>
      </w:r>
      <w:bookmarkEnd w:id="21"/>
      <w:r w:rsidR="00804880">
        <w:tab/>
        <w:t>($ million)</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5102"/>
        <w:gridCol w:w="907"/>
        <w:gridCol w:w="907"/>
        <w:gridCol w:w="907"/>
        <w:gridCol w:w="907"/>
        <w:gridCol w:w="907"/>
      </w:tblGrid>
      <w:tr w:rsidR="001D590D" w:rsidRPr="002A44E3" w:rsidTr="008041B0">
        <w:trPr>
          <w:cnfStyle w:val="100000000000" w:firstRow="1" w:lastRow="0" w:firstColumn="0" w:lastColumn="0" w:oddVBand="0" w:evenVBand="0" w:oddHBand="0" w:evenHBand="0" w:firstRowFirstColumn="0" w:firstRowLastColumn="0" w:lastRowFirstColumn="0" w:lastRowLastColumn="0"/>
          <w:trHeight w:val="63"/>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right w:val="nil"/>
            </w:tcBorders>
            <w:shd w:val="solid" w:color="000000" w:fill="auto"/>
          </w:tcPr>
          <w:p w:rsidR="001D590D" w:rsidRPr="002A44E3" w:rsidRDefault="001D590D" w:rsidP="002A44E3">
            <w:pPr>
              <w:autoSpaceDE w:val="0"/>
              <w:autoSpaceDN w:val="0"/>
              <w:adjustRightInd w:val="0"/>
              <w:rPr>
                <w:rFonts w:eastAsiaTheme="minorEastAsia" w:cs="Calibri"/>
                <w:iCs/>
                <w:color w:val="FFFFFF"/>
                <w:lang w:eastAsia="en-AU"/>
              </w:rPr>
            </w:pPr>
          </w:p>
        </w:tc>
        <w:tc>
          <w:tcPr>
            <w:tcW w:w="907" w:type="dxa"/>
            <w:tcBorders>
              <w:top w:val="nil"/>
              <w:left w:val="nil"/>
              <w:right w:val="nil"/>
            </w:tcBorders>
            <w:shd w:val="solid" w:color="000000" w:fill="auto"/>
          </w:tcPr>
          <w:p w:rsidR="001D590D" w:rsidRPr="002A44E3" w:rsidRDefault="001D590D" w:rsidP="001D59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2A44E3">
              <w:rPr>
                <w:rFonts w:eastAsiaTheme="minorEastAsia" w:cs="Calibri"/>
                <w:iCs/>
                <w:color w:val="FFFFFF"/>
                <w:szCs w:val="16"/>
                <w:lang w:eastAsia="en-AU"/>
              </w:rPr>
              <w:t>2016-17</w:t>
            </w:r>
            <w:r>
              <w:rPr>
                <w:rFonts w:eastAsiaTheme="minorEastAsia" w:cs="Calibri"/>
                <w:iCs/>
                <w:color w:val="FFFFFF"/>
                <w:szCs w:val="16"/>
                <w:lang w:eastAsia="en-AU"/>
              </w:rPr>
              <w:br/>
            </w:r>
            <w:r w:rsidRPr="002A44E3">
              <w:rPr>
                <w:rFonts w:eastAsiaTheme="minorEastAsia" w:cs="Calibri"/>
                <w:iCs/>
                <w:color w:val="FFFFFF"/>
                <w:szCs w:val="18"/>
                <w:lang w:eastAsia="en-AU"/>
              </w:rPr>
              <w:t>Sep</w:t>
            </w:r>
          </w:p>
        </w:tc>
        <w:tc>
          <w:tcPr>
            <w:tcW w:w="907" w:type="dxa"/>
            <w:tcBorders>
              <w:top w:val="nil"/>
              <w:left w:val="nil"/>
              <w:right w:val="nil"/>
            </w:tcBorders>
            <w:shd w:val="solid" w:color="000000" w:fill="auto"/>
          </w:tcPr>
          <w:p w:rsidR="001D590D" w:rsidRPr="002A44E3" w:rsidRDefault="001D590D" w:rsidP="002A44E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2A44E3">
              <w:rPr>
                <w:rFonts w:eastAsiaTheme="minorEastAsia" w:cs="Calibri"/>
                <w:iCs/>
                <w:color w:val="FFFFFF"/>
                <w:szCs w:val="18"/>
                <w:lang w:eastAsia="en-AU"/>
              </w:rPr>
              <w:t>Dec</w:t>
            </w:r>
          </w:p>
        </w:tc>
        <w:tc>
          <w:tcPr>
            <w:tcW w:w="907" w:type="dxa"/>
            <w:tcBorders>
              <w:top w:val="nil"/>
              <w:left w:val="nil"/>
              <w:right w:val="nil"/>
            </w:tcBorders>
            <w:shd w:val="solid" w:color="000000" w:fill="auto"/>
          </w:tcPr>
          <w:p w:rsidR="001D590D" w:rsidRPr="002A44E3" w:rsidRDefault="001D590D" w:rsidP="002A44E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2A44E3">
              <w:rPr>
                <w:rFonts w:eastAsiaTheme="minorEastAsia" w:cs="Calibri"/>
                <w:iCs/>
                <w:color w:val="FFFFFF"/>
                <w:szCs w:val="18"/>
                <w:lang w:eastAsia="en-AU"/>
              </w:rPr>
              <w:t>Mar</w:t>
            </w:r>
          </w:p>
        </w:tc>
        <w:tc>
          <w:tcPr>
            <w:tcW w:w="907" w:type="dxa"/>
            <w:tcBorders>
              <w:top w:val="nil"/>
              <w:left w:val="nil"/>
              <w:right w:val="nil"/>
            </w:tcBorders>
            <w:shd w:val="solid" w:color="000000" w:fill="auto"/>
          </w:tcPr>
          <w:p w:rsidR="001D590D" w:rsidRPr="002A44E3" w:rsidRDefault="001D590D" w:rsidP="002A44E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2A44E3">
              <w:rPr>
                <w:rFonts w:eastAsiaTheme="minorEastAsia" w:cs="Calibri"/>
                <w:iCs/>
                <w:color w:val="FFFFFF"/>
                <w:szCs w:val="18"/>
                <w:lang w:eastAsia="en-AU"/>
              </w:rPr>
              <w:t>Jun</w:t>
            </w:r>
          </w:p>
        </w:tc>
        <w:tc>
          <w:tcPr>
            <w:tcW w:w="907" w:type="dxa"/>
            <w:tcBorders>
              <w:top w:val="nil"/>
              <w:left w:val="nil"/>
              <w:right w:val="nil"/>
            </w:tcBorders>
            <w:shd w:val="solid" w:color="000000" w:fill="auto"/>
          </w:tcPr>
          <w:p w:rsidR="001D590D" w:rsidRPr="002A44E3" w:rsidRDefault="001D590D" w:rsidP="001D59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2A44E3">
              <w:rPr>
                <w:rFonts w:eastAsiaTheme="minorEastAsia" w:cs="Calibri"/>
                <w:iCs/>
                <w:color w:val="FFFFFF"/>
                <w:szCs w:val="16"/>
                <w:lang w:eastAsia="en-AU"/>
              </w:rPr>
              <w:t>2017-18</w:t>
            </w:r>
            <w:r>
              <w:rPr>
                <w:rFonts w:eastAsiaTheme="minorEastAsia" w:cs="Calibri"/>
                <w:iCs/>
                <w:color w:val="FFFFFF"/>
                <w:szCs w:val="16"/>
                <w:lang w:eastAsia="en-AU"/>
              </w:rPr>
              <w:br/>
            </w:r>
            <w:r w:rsidRPr="002A44E3">
              <w:rPr>
                <w:rFonts w:eastAsiaTheme="minorEastAsia" w:cs="Calibri"/>
                <w:iCs/>
                <w:color w:val="FFFFFF"/>
                <w:szCs w:val="18"/>
                <w:lang w:eastAsia="en-AU"/>
              </w:rPr>
              <w:t>Sep</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Cash flows from operating activities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 xml:space="preserve">Receipts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Taxes received</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5 078</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5 805</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5 121</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5 782</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5 491</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Grants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6 699</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6 621</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7 552</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6 670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6 902</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vertAlign w:val="superscript"/>
                <w:lang w:eastAsia="en-AU"/>
              </w:rPr>
            </w:pPr>
            <w:r w:rsidRPr="002A44E3">
              <w:rPr>
                <w:rFonts w:eastAsiaTheme="minorEastAsia" w:cs="Calibri"/>
                <w:color w:val="000000"/>
                <w:szCs w:val="16"/>
                <w:lang w:eastAsia="en-AU"/>
              </w:rPr>
              <w:t xml:space="preserve">Sales of goods and services </w:t>
            </w:r>
            <w:r w:rsidRPr="002A44E3">
              <w:rPr>
                <w:rFonts w:eastAsiaTheme="minorEastAsia" w:cs="Calibri"/>
                <w:color w:val="000000"/>
                <w:szCs w:val="16"/>
                <w:vertAlign w:val="superscript"/>
                <w:lang w:eastAsia="en-AU"/>
              </w:rPr>
              <w:t>(a)</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1 891</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1 890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2 031</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1 926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1 984</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 xml:space="preserve">Interest received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169</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208</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228</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257</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210</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Dividends, income tax equivalent and rate equivalent receipts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417</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Other receipts</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317</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515</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543</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469</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Total receipts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14 260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15 456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15 348</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15 341</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15 114</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 xml:space="preserve">Payments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Payments for employees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(5 227)</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(5 060)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(5 391)</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(5 288)</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(5 748)</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Superannuation</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(495)</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(1 054)</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(529)</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Interest paid</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(529)</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(499)</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(477)</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(476)</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Grants and subsidies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(2 670)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(2 417)</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(3 013)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(2 947)</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vertAlign w:val="superscript"/>
                <w:lang w:eastAsia="en-AU"/>
              </w:rPr>
            </w:pPr>
            <w:r w:rsidRPr="002A44E3">
              <w:rPr>
                <w:rFonts w:eastAsiaTheme="minorEastAsia" w:cs="Calibri"/>
                <w:color w:val="000000"/>
                <w:szCs w:val="16"/>
                <w:lang w:eastAsia="en-AU"/>
              </w:rPr>
              <w:t xml:space="preserve">Goods and services </w:t>
            </w:r>
            <w:r w:rsidRPr="002A44E3">
              <w:rPr>
                <w:rFonts w:eastAsiaTheme="minorEastAsia" w:cs="Calibri"/>
                <w:color w:val="000000"/>
                <w:szCs w:val="16"/>
                <w:vertAlign w:val="superscript"/>
                <w:lang w:eastAsia="en-AU"/>
              </w:rPr>
              <w:t>(a)</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(4 563)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(4 917)</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(4 106)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(4 462)</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(5 179)</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Other payments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(194)</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(179)</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(167)</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(207)</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Total payments</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(13 890)</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(13 595)</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(13 932)</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(13 463)</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(15 086)</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Net cash flows from operating activities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370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1 861</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1 416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1 878</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28</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Cash flows from investing activities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Cash flows from investments in non-financial assets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Purchases of non-financial assets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(1 564)</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(1 963)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(2 195)</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(1 881)</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Sales of non-financial assets</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173</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Net cash flows from investments in non-financial assets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(1 540)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(1 516)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(1 914)</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(2 022)</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(1 835)</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Net cash flows from investments in financial assets for policy purposes</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(760)</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485</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499</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672</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Sub-total</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(1 630)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(2 276)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(1 429)</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(1 523)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(1 163)</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Net cash flows from investments in financial assets for liquidity management purposes</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(2 454)</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(141)</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2 029</w:t>
            </w:r>
          </w:p>
        </w:tc>
        <w:tc>
          <w:tcPr>
            <w:tcW w:w="907" w:type="dxa"/>
            <w:tcBorders>
              <w:top w:val="nil"/>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(232)</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Net cash flows from investing activities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(1 813)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(4 730)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(1 570)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506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(1 395)</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Cash flows from financing activities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Advances received (net)</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9 592</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(718)</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(707)</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Net borrowings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(6 566)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214</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669</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Deposits received (net)</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(108)</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Net cash flows from financing activities</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750</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3 110</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(265)</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(754)</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 xml:space="preserve">Net increase/(decrease) in cash and cash equivalents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(693)</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240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(419)</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1 630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(1 384)</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FFFFFF" w:fill="FFFFFF"/>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Cash and cash equivalents at beginning of the reporting period</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4 772</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4 079</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4 319</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3 900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5 530</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shd w:val="solid" w:color="FFFFFF" w:fill="FFFFFF"/>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Cash and cash equivalents at end of the reporting period</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4 079</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4 319</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3 900</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5 530</w:t>
            </w:r>
          </w:p>
        </w:tc>
        <w:tc>
          <w:tcPr>
            <w:tcW w:w="907" w:type="dxa"/>
            <w:tcBorders>
              <w:top w:val="single" w:sz="6" w:space="0" w:color="000000"/>
              <w:left w:val="nil"/>
              <w:bottom w:val="single" w:sz="6" w:space="0" w:color="000000"/>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4 146</w:t>
            </w:r>
          </w:p>
        </w:tc>
      </w:tr>
      <w:tr w:rsidR="002A44E3" w:rsidRPr="002A44E3" w:rsidTr="002A44E3">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2A44E3" w:rsidRPr="002A44E3" w:rsidRDefault="002A44E3" w:rsidP="002A44E3">
            <w:pPr>
              <w:autoSpaceDE w:val="0"/>
              <w:autoSpaceDN w:val="0"/>
              <w:adjustRightInd w:val="0"/>
              <w:rPr>
                <w:rFonts w:eastAsiaTheme="minorEastAsia" w:cs="Calibri"/>
                <w:color w:val="000000"/>
                <w:lang w:eastAsia="en-AU"/>
              </w:rPr>
            </w:pPr>
            <w:r w:rsidRPr="002A44E3">
              <w:rPr>
                <w:rFonts w:eastAsiaTheme="minorEastAsia" w:cs="Calibri"/>
                <w:color w:val="000000"/>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2A44E3">
              <w:rPr>
                <w:rFonts w:eastAsiaTheme="minorEastAsia" w:cs="Calibri"/>
                <w:color w:val="000000"/>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2A44E3">
              <w:rPr>
                <w:rFonts w:eastAsiaTheme="minorEastAsia" w:cs="Calibri"/>
                <w:color w:val="000000"/>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2A44E3">
              <w:rPr>
                <w:rFonts w:eastAsiaTheme="minorEastAsia" w:cs="Calibri"/>
                <w:color w:val="000000"/>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2A44E3">
              <w:rPr>
                <w:rFonts w:eastAsiaTheme="minorEastAsia" w:cs="Calibri"/>
                <w:color w:val="000000"/>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2A44E3">
              <w:rPr>
                <w:rFonts w:eastAsiaTheme="minorEastAsia" w:cs="Calibri"/>
                <w:color w:val="000000"/>
                <w:lang w:eastAsia="en-AU"/>
              </w:rPr>
              <w:t xml:space="preserve"> </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2A44E3" w:rsidRPr="002A44E3" w:rsidRDefault="002A44E3" w:rsidP="002A44E3">
            <w:pPr>
              <w:autoSpaceDE w:val="0"/>
              <w:autoSpaceDN w:val="0"/>
              <w:adjustRightInd w:val="0"/>
              <w:rPr>
                <w:rFonts w:eastAsiaTheme="minorEastAsia" w:cs="Calibri"/>
                <w:b/>
                <w:bCs/>
                <w:color w:val="000000"/>
                <w:szCs w:val="16"/>
                <w:lang w:eastAsia="en-AU"/>
              </w:rPr>
            </w:pPr>
            <w:r w:rsidRPr="002A44E3">
              <w:rPr>
                <w:rFonts w:eastAsiaTheme="minorEastAsia" w:cs="Calibri"/>
                <w:b/>
                <w:bCs/>
                <w:color w:val="000000"/>
                <w:szCs w:val="16"/>
                <w:lang w:eastAsia="en-AU"/>
              </w:rPr>
              <w:t>FISCAL AGGREGATES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2A44E3">
              <w:rPr>
                <w:rFonts w:eastAsiaTheme="minorEastAsia" w:cs="Calibri"/>
                <w:b/>
                <w:bCs/>
                <w:color w:val="000000"/>
                <w:szCs w:val="18"/>
                <w:lang w:eastAsia="en-AU"/>
              </w:rPr>
              <w:t xml:space="preserve"> </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Net cash flows from operating activities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1 861</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1 416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2A44E3">
              <w:rPr>
                <w:rFonts w:eastAsiaTheme="minorEastAsia" w:cs="Calibri"/>
                <w:color w:val="000000"/>
                <w:szCs w:val="18"/>
                <w:lang w:eastAsia="en-AU"/>
              </w:rPr>
              <w:t>1 878</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r>
      <w:tr w:rsidR="002A44E3" w:rsidRPr="002A44E3" w:rsidTr="002A44E3">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2A44E3" w:rsidRPr="002A44E3" w:rsidRDefault="002A44E3" w:rsidP="002A44E3">
            <w:pPr>
              <w:autoSpaceDE w:val="0"/>
              <w:autoSpaceDN w:val="0"/>
              <w:adjustRightInd w:val="0"/>
              <w:rPr>
                <w:rFonts w:eastAsiaTheme="minorEastAsia" w:cs="Calibri"/>
                <w:color w:val="000000"/>
                <w:szCs w:val="16"/>
                <w:lang w:eastAsia="en-AU"/>
              </w:rPr>
            </w:pPr>
            <w:r w:rsidRPr="002A44E3">
              <w:rPr>
                <w:rFonts w:eastAsiaTheme="minorEastAsia" w:cs="Calibri"/>
                <w:color w:val="000000"/>
                <w:szCs w:val="16"/>
                <w:lang w:eastAsia="en-AU"/>
              </w:rPr>
              <w:t>Net cash flows from investments in non-financial assets</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(1 540)</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(1 516)</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(1 914)</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(2 022)</w:t>
            </w:r>
          </w:p>
        </w:tc>
        <w:tc>
          <w:tcPr>
            <w:tcW w:w="907" w:type="dxa"/>
            <w:tcBorders>
              <w:top w:val="nil"/>
              <w:left w:val="nil"/>
              <w:bottom w:val="nil"/>
              <w:right w:val="nil"/>
            </w:tcBorders>
          </w:tcPr>
          <w:p w:rsidR="002A44E3" w:rsidRPr="002A44E3" w:rsidRDefault="002A44E3" w:rsidP="002A44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(1 835)</w:t>
            </w:r>
          </w:p>
        </w:tc>
      </w:tr>
      <w:tr w:rsidR="002A44E3" w:rsidRPr="002A44E3" w:rsidTr="002A44E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bottom w:val="single" w:sz="12" w:space="0" w:color="000000"/>
            </w:tcBorders>
          </w:tcPr>
          <w:p w:rsidR="002A44E3" w:rsidRPr="002A44E3" w:rsidRDefault="002A44E3" w:rsidP="002A44E3">
            <w:pPr>
              <w:autoSpaceDE w:val="0"/>
              <w:autoSpaceDN w:val="0"/>
              <w:adjustRightInd w:val="0"/>
              <w:rPr>
                <w:rFonts w:eastAsiaTheme="minorEastAsia" w:cs="Calibri"/>
                <w:bCs/>
                <w:color w:val="000000"/>
                <w:szCs w:val="16"/>
                <w:lang w:eastAsia="en-AU"/>
              </w:rPr>
            </w:pPr>
            <w:r w:rsidRPr="002A44E3">
              <w:rPr>
                <w:rFonts w:eastAsiaTheme="minorEastAsia" w:cs="Calibri"/>
                <w:bCs/>
                <w:color w:val="000000"/>
                <w:szCs w:val="16"/>
                <w:lang w:eastAsia="en-AU"/>
              </w:rPr>
              <w:t>Cash surplus/(deficit)</w:t>
            </w:r>
          </w:p>
        </w:tc>
        <w:tc>
          <w:tcPr>
            <w:tcW w:w="907" w:type="dxa"/>
            <w:tcBorders>
              <w:top w:val="single" w:sz="6" w:space="0" w:color="000000"/>
              <w:bottom w:val="single" w:sz="12" w:space="0" w:color="000000"/>
            </w:tcBorders>
          </w:tcPr>
          <w:p w:rsidR="002A44E3" w:rsidRPr="002A44E3" w:rsidRDefault="002A44E3" w:rsidP="002A44E3">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(1 170)</w:t>
            </w:r>
          </w:p>
        </w:tc>
        <w:tc>
          <w:tcPr>
            <w:tcW w:w="907" w:type="dxa"/>
            <w:tcBorders>
              <w:top w:val="single" w:sz="6" w:space="0" w:color="000000"/>
              <w:bottom w:val="single" w:sz="12" w:space="0" w:color="000000"/>
            </w:tcBorders>
          </w:tcPr>
          <w:p w:rsidR="002A44E3" w:rsidRPr="002A44E3" w:rsidRDefault="002A44E3" w:rsidP="002A44E3">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345</w:t>
            </w:r>
          </w:p>
        </w:tc>
        <w:tc>
          <w:tcPr>
            <w:tcW w:w="907" w:type="dxa"/>
            <w:tcBorders>
              <w:top w:val="single" w:sz="6" w:space="0" w:color="000000"/>
              <w:bottom w:val="single" w:sz="12" w:space="0" w:color="000000"/>
            </w:tcBorders>
          </w:tcPr>
          <w:p w:rsidR="002A44E3" w:rsidRPr="002A44E3" w:rsidRDefault="002A44E3" w:rsidP="002A44E3">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(497)</w:t>
            </w:r>
          </w:p>
        </w:tc>
        <w:tc>
          <w:tcPr>
            <w:tcW w:w="907" w:type="dxa"/>
            <w:tcBorders>
              <w:top w:val="single" w:sz="6" w:space="0" w:color="000000"/>
              <w:bottom w:val="single" w:sz="12" w:space="0" w:color="000000"/>
            </w:tcBorders>
          </w:tcPr>
          <w:p w:rsidR="002A44E3" w:rsidRPr="002A44E3" w:rsidRDefault="002A44E3" w:rsidP="002A44E3">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(144)</w:t>
            </w:r>
          </w:p>
        </w:tc>
        <w:tc>
          <w:tcPr>
            <w:tcW w:w="907" w:type="dxa"/>
            <w:tcBorders>
              <w:top w:val="single" w:sz="6" w:space="0" w:color="000000"/>
              <w:bottom w:val="single" w:sz="12" w:space="0" w:color="000000"/>
            </w:tcBorders>
          </w:tcPr>
          <w:p w:rsidR="002A44E3" w:rsidRPr="002A44E3" w:rsidRDefault="002A44E3" w:rsidP="002A44E3">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(1 808)</w:t>
            </w:r>
          </w:p>
        </w:tc>
      </w:tr>
    </w:tbl>
    <w:p w:rsidR="006A7F6B" w:rsidRDefault="006A7F6B" w:rsidP="002A44E3">
      <w:pPr>
        <w:pStyle w:val="Note"/>
      </w:pPr>
      <w:r>
        <w:t>Note:</w:t>
      </w:r>
    </w:p>
    <w:p w:rsidR="006A7F6B" w:rsidRPr="00D13887" w:rsidRDefault="006A7F6B" w:rsidP="006A7F6B">
      <w:pPr>
        <w:pStyle w:val="Note"/>
      </w:pPr>
      <w:r>
        <w:t>(a)</w:t>
      </w:r>
      <w:r>
        <w:tab/>
        <w:t>These items are inclusive of goods and services tax.</w:t>
      </w:r>
    </w:p>
    <w:p w:rsidR="005B4BA6" w:rsidRDefault="005B4BA6" w:rsidP="006A7F6B"/>
    <w:p w:rsidR="005B4BA6" w:rsidRDefault="005B4BA6" w:rsidP="00180823"/>
    <w:p w:rsidR="00180823" w:rsidRDefault="00955520" w:rsidP="00955520">
      <w:pPr>
        <w:pStyle w:val="Heading10"/>
      </w:pPr>
      <w:bookmarkStart w:id="22" w:name="StyleConventions"/>
      <w:r>
        <w:lastRenderedPageBreak/>
        <w:t>Style conventions</w:t>
      </w:r>
    </w:p>
    <w:bookmarkEnd w:id="22"/>
    <w:p w:rsidR="005B4BA6" w:rsidRPr="0050132E" w:rsidRDefault="005B4BA6" w:rsidP="005B4BA6">
      <w:r w:rsidRPr="0050132E">
        <w:t>Figures in the tables and in the text have been rounded. Discrepancies in tables between totals and sums of components reflect rounding. Percentage changes in all tables are based on the underlying unrounded amounts.</w:t>
      </w:r>
    </w:p>
    <w:p w:rsidR="005B4BA6" w:rsidRPr="0050132E" w:rsidRDefault="005B4BA6" w:rsidP="005B4BA6">
      <w:r w:rsidRPr="0050132E">
        <w:t>The notation used in the tables is as follows:</w:t>
      </w:r>
    </w:p>
    <w:p w:rsidR="005B4BA6" w:rsidRPr="0050132E" w:rsidRDefault="00D3345D" w:rsidP="00D3345D">
      <w:pPr>
        <w:pStyle w:val="NormalIndent"/>
        <w:tabs>
          <w:tab w:val="left" w:pos="1985"/>
        </w:tabs>
        <w:ind w:left="284"/>
      </w:pPr>
      <w:proofErr w:type="spellStart"/>
      <w:r>
        <w:t>n.a</w:t>
      </w:r>
      <w:proofErr w:type="spellEnd"/>
      <w:r>
        <w:t>.</w:t>
      </w:r>
      <w:r w:rsidR="005B4BA6" w:rsidRPr="0050132E">
        <w:tab/>
        <w:t>not available or not applicable</w:t>
      </w:r>
    </w:p>
    <w:p w:rsidR="005B4BA6" w:rsidRPr="0050132E" w:rsidRDefault="005B4BA6" w:rsidP="00D3345D">
      <w:pPr>
        <w:pStyle w:val="NormalIndent"/>
        <w:tabs>
          <w:tab w:val="left" w:pos="1985"/>
        </w:tabs>
        <w:ind w:left="284"/>
      </w:pPr>
      <w:r w:rsidRPr="0050132E">
        <w:t>1 billion</w:t>
      </w:r>
      <w:r w:rsidRPr="0050132E">
        <w:tab/>
        <w:t>1 000 million</w:t>
      </w:r>
    </w:p>
    <w:p w:rsidR="005B4BA6" w:rsidRPr="0050132E" w:rsidRDefault="005B4BA6" w:rsidP="00D3345D">
      <w:pPr>
        <w:pStyle w:val="NormalIndent"/>
        <w:tabs>
          <w:tab w:val="left" w:pos="1985"/>
        </w:tabs>
        <w:ind w:left="284"/>
      </w:pPr>
      <w:r w:rsidRPr="0050132E">
        <w:t>1 basis point</w:t>
      </w:r>
      <w:r w:rsidRPr="0050132E">
        <w:tab/>
        <w:t>0.01 per cent</w:t>
      </w:r>
    </w:p>
    <w:p w:rsidR="005B4BA6" w:rsidRPr="0050132E" w:rsidRDefault="005B4BA6" w:rsidP="00D3345D">
      <w:pPr>
        <w:pStyle w:val="NormalIndent"/>
        <w:tabs>
          <w:tab w:val="left" w:pos="1985"/>
        </w:tabs>
        <w:ind w:left="284"/>
      </w:pPr>
      <w:r w:rsidRPr="0050132E">
        <w:t>..</w:t>
      </w:r>
      <w:r w:rsidRPr="0050132E">
        <w:tab/>
        <w:t>zero, or rounded to zero</w:t>
      </w:r>
    </w:p>
    <w:p w:rsidR="005B4BA6" w:rsidRPr="0050132E" w:rsidRDefault="005B4BA6" w:rsidP="00D3345D">
      <w:pPr>
        <w:pStyle w:val="NormalIndent"/>
        <w:tabs>
          <w:tab w:val="left" w:pos="1985"/>
        </w:tabs>
        <w:ind w:left="284"/>
      </w:pPr>
      <w:r w:rsidRPr="0050132E">
        <w:t>(</w:t>
      </w:r>
      <w:proofErr w:type="spellStart"/>
      <w:r w:rsidRPr="0050132E">
        <w:t>xxx.x</w:t>
      </w:r>
      <w:proofErr w:type="spellEnd"/>
      <w:r w:rsidRPr="0050132E">
        <w:t>)</w:t>
      </w:r>
      <w:r w:rsidRPr="0050132E">
        <w:tab/>
        <w:t xml:space="preserve">negative numbers </w:t>
      </w:r>
    </w:p>
    <w:p w:rsidR="005B4BA6" w:rsidRPr="005B4BA6" w:rsidRDefault="005B4BA6" w:rsidP="005B4BA6"/>
    <w:sectPr w:rsidR="005B4BA6" w:rsidRPr="005B4BA6" w:rsidSect="00CE372B">
      <w:type w:val="continuous"/>
      <w:pgSz w:w="11907" w:h="16839" w:code="9"/>
      <w:pgMar w:top="851" w:right="1134" w:bottom="851" w:left="1134" w:header="624" w:footer="567" w:gutter="0"/>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0F" w:rsidRDefault="008C5D0F" w:rsidP="00474C53">
      <w:r>
        <w:separator/>
      </w:r>
    </w:p>
  </w:endnote>
  <w:endnote w:type="continuationSeparator" w:id="0">
    <w:p w:rsidR="008C5D0F" w:rsidRDefault="008C5D0F"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E3A" w:rsidRPr="00D90086" w:rsidRDefault="00EF0E3A"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1B237B">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0F" w:rsidRDefault="008C5D0F" w:rsidP="005E1C50">
    <w:pPr>
      <w:pStyle w:val="Footerodd"/>
    </w:pPr>
    <w:r w:rsidRPr="00540207">
      <w:t xml:space="preserve">Quarterly Financial Report for the Victorian general government sector </w:t>
    </w:r>
    <w:r>
      <w:t>–</w:t>
    </w:r>
    <w:r w:rsidRPr="00540207">
      <w:t xml:space="preserve"> September 2017</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1B237B">
      <w:rPr>
        <w:rStyle w:val="PageNumber"/>
        <w:rFonts w:asciiTheme="majorHAnsi" w:hAnsiTheme="majorHAnsi"/>
        <w:noProof/>
      </w:rPr>
      <w:t>1</w:t>
    </w:r>
    <w:r w:rsidRPr="00BA26F2">
      <w:rPr>
        <w:rStyle w:val="PageNumber"/>
        <w:rFonts w:asciiTheme="majorHAnsi" w:hAnsiTheme="maj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E3A" w:rsidRDefault="00EF0E3A" w:rsidP="005E1C50">
    <w:pPr>
      <w:pStyle w:val="Footerodd"/>
    </w:pPr>
    <w:r w:rsidRPr="00540207">
      <w:t xml:space="preserve">Quarterly Financial Report for the Victorian general government sector </w:t>
    </w:r>
    <w:r>
      <w:t>–</w:t>
    </w:r>
    <w:r w:rsidRPr="00540207">
      <w:t xml:space="preserve"> September 2017</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1B237B">
      <w:rPr>
        <w:rStyle w:val="PageNumber"/>
        <w:rFonts w:asciiTheme="majorHAnsi" w:hAnsiTheme="majorHAnsi"/>
        <w:noProof/>
      </w:rPr>
      <w:t>3</w:t>
    </w:r>
    <w:r w:rsidRPr="00BA26F2">
      <w:rPr>
        <w:rStyle w:val="PageNumber"/>
        <w:rFonts w:asciiTheme="majorHAnsi" w:hAnsiTheme="maj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0F" w:rsidRDefault="008C5D0F" w:rsidP="00474C53">
      <w:r>
        <w:separator/>
      </w:r>
    </w:p>
  </w:footnote>
  <w:footnote w:type="continuationSeparator" w:id="0">
    <w:p w:rsidR="008C5D0F" w:rsidRDefault="008C5D0F" w:rsidP="00474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9E20A8"/>
    <w:lvl w:ilvl="0">
      <w:start w:val="1"/>
      <w:numFmt w:val="decimal"/>
      <w:lvlText w:val="%1."/>
      <w:lvlJc w:val="left"/>
      <w:pPr>
        <w:tabs>
          <w:tab w:val="num" w:pos="1492"/>
        </w:tabs>
        <w:ind w:left="1492" w:hanging="360"/>
      </w:pPr>
    </w:lvl>
  </w:abstractNum>
  <w:abstractNum w:abstractNumId="1">
    <w:nsid w:val="FFFFFF7D"/>
    <w:multiLevelType w:val="singleLevel"/>
    <w:tmpl w:val="D3C6E150"/>
    <w:lvl w:ilvl="0">
      <w:start w:val="1"/>
      <w:numFmt w:val="decimal"/>
      <w:lvlText w:val="%1."/>
      <w:lvlJc w:val="left"/>
      <w:pPr>
        <w:tabs>
          <w:tab w:val="num" w:pos="1209"/>
        </w:tabs>
        <w:ind w:left="1209" w:hanging="360"/>
      </w:pPr>
    </w:lvl>
  </w:abstractNum>
  <w:abstractNum w:abstractNumId="2">
    <w:nsid w:val="FFFFFF7E"/>
    <w:multiLevelType w:val="singleLevel"/>
    <w:tmpl w:val="1EE22E18"/>
    <w:lvl w:ilvl="0">
      <w:start w:val="1"/>
      <w:numFmt w:val="decimal"/>
      <w:lvlText w:val="%1."/>
      <w:lvlJc w:val="left"/>
      <w:pPr>
        <w:tabs>
          <w:tab w:val="num" w:pos="926"/>
        </w:tabs>
        <w:ind w:left="926" w:hanging="360"/>
      </w:pPr>
    </w:lvl>
  </w:abstractNum>
  <w:abstractNum w:abstractNumId="3">
    <w:nsid w:val="FFFFFF7F"/>
    <w:multiLevelType w:val="singleLevel"/>
    <w:tmpl w:val="1EDE706A"/>
    <w:lvl w:ilvl="0">
      <w:start w:val="1"/>
      <w:numFmt w:val="decimal"/>
      <w:lvlText w:val="%1."/>
      <w:lvlJc w:val="left"/>
      <w:pPr>
        <w:tabs>
          <w:tab w:val="num" w:pos="643"/>
        </w:tabs>
        <w:ind w:left="643" w:hanging="360"/>
      </w:pPr>
    </w:lvl>
  </w:abstractNum>
  <w:abstractNum w:abstractNumId="4">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A211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85FF4"/>
    <w:lvl w:ilvl="0">
      <w:start w:val="1"/>
      <w:numFmt w:val="lowerLetter"/>
      <w:lvlText w:val="(%1)"/>
      <w:lvlJc w:val="left"/>
      <w:pPr>
        <w:ind w:left="360" w:hanging="360"/>
      </w:pPr>
      <w:rPr>
        <w:rFonts w:hint="default"/>
      </w:rPr>
    </w:lvl>
  </w:abstractNum>
  <w:abstractNum w:abstractNumId="9">
    <w:nsid w:val="FFFFFF89"/>
    <w:multiLevelType w:val="singleLevel"/>
    <w:tmpl w:val="2D465D70"/>
    <w:lvl w:ilvl="0">
      <w:start w:val="1"/>
      <w:numFmt w:val="bullet"/>
      <w:lvlText w:val=""/>
      <w:lvlJc w:val="left"/>
      <w:pPr>
        <w:tabs>
          <w:tab w:val="num" w:pos="360"/>
        </w:tabs>
        <w:ind w:left="360" w:hanging="360"/>
      </w:pPr>
      <w:rPr>
        <w:rFonts w:ascii="Symbol" w:hAnsi="Symbol" w:hint="default"/>
      </w:rPr>
    </w:lvl>
  </w:abstractNum>
  <w:abstractNum w:abstractNumId="1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02A646B6"/>
    <w:multiLevelType w:val="multilevel"/>
    <w:tmpl w:val="7500EB92"/>
    <w:numStyleLink w:val="Number"/>
  </w:abstractNum>
  <w:abstractNum w:abstractNumId="12">
    <w:nsid w:val="06EE77F9"/>
    <w:multiLevelType w:val="multilevel"/>
    <w:tmpl w:val="F104AB12"/>
    <w:numStyleLink w:val="NumberedHeadings"/>
  </w:abstractNum>
  <w:abstractNum w:abstractNumId="13">
    <w:nsid w:val="074E70A1"/>
    <w:multiLevelType w:val="multilevel"/>
    <w:tmpl w:val="7500EB92"/>
    <w:numStyleLink w:val="Number"/>
  </w:abstractNum>
  <w:abstractNum w:abstractNumId="14">
    <w:nsid w:val="07A156A0"/>
    <w:multiLevelType w:val="multilevel"/>
    <w:tmpl w:val="5E22C0F8"/>
    <w:numStyleLink w:val="Bullet"/>
  </w:abstractNum>
  <w:abstractNum w:abstractNumId="15">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86425FB"/>
    <w:multiLevelType w:val="multilevel"/>
    <w:tmpl w:val="F104AB12"/>
    <w:numStyleLink w:val="NumberedHeadings"/>
  </w:abstractNum>
  <w:abstractNum w:abstractNumId="17">
    <w:nsid w:val="0A621573"/>
    <w:multiLevelType w:val="multilevel"/>
    <w:tmpl w:val="5E22C0F8"/>
    <w:numStyleLink w:val="Bullet"/>
  </w:abstractNum>
  <w:abstractNum w:abstractNumId="18">
    <w:nsid w:val="0A7F4C25"/>
    <w:multiLevelType w:val="multilevel"/>
    <w:tmpl w:val="5E22C0F8"/>
    <w:numStyleLink w:val="Bullet"/>
  </w:abstractNum>
  <w:abstractNum w:abstractNumId="19">
    <w:nsid w:val="0D4007B3"/>
    <w:multiLevelType w:val="multilevel"/>
    <w:tmpl w:val="42E253BE"/>
    <w:numStyleLink w:val="A"/>
  </w:abstractNum>
  <w:abstractNum w:abstractNumId="20">
    <w:nsid w:val="10A6703A"/>
    <w:multiLevelType w:val="hybridMultilevel"/>
    <w:tmpl w:val="3CC6F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309013F"/>
    <w:multiLevelType w:val="multilevel"/>
    <w:tmpl w:val="7500EB92"/>
    <w:numStyleLink w:val="Number"/>
  </w:abstractNum>
  <w:abstractNum w:abstractNumId="22">
    <w:nsid w:val="14594DE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08F57F2"/>
    <w:multiLevelType w:val="multilevel"/>
    <w:tmpl w:val="42E253BE"/>
    <w:numStyleLink w:val="A"/>
  </w:abstractNum>
  <w:abstractNum w:abstractNumId="24">
    <w:nsid w:val="25E502B5"/>
    <w:multiLevelType w:val="multilevel"/>
    <w:tmpl w:val="4C385FF4"/>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7ED5E27"/>
    <w:multiLevelType w:val="hybridMultilevel"/>
    <w:tmpl w:val="7B04D7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2B050B75"/>
    <w:multiLevelType w:val="multilevel"/>
    <w:tmpl w:val="03F678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306123F3"/>
    <w:multiLevelType w:val="multilevel"/>
    <w:tmpl w:val="5E22C0F8"/>
    <w:numStyleLink w:val="Bullet"/>
  </w:abstractNum>
  <w:abstractNum w:abstractNumId="30">
    <w:nsid w:val="30D81DD3"/>
    <w:multiLevelType w:val="multilevel"/>
    <w:tmpl w:val="5E22C0F8"/>
    <w:numStyleLink w:val="Bullet"/>
  </w:abstractNum>
  <w:abstractNum w:abstractNumId="31">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nsid w:val="36B50A7B"/>
    <w:multiLevelType w:val="multilevel"/>
    <w:tmpl w:val="42E253BE"/>
    <w:numStyleLink w:val="A"/>
  </w:abstractNum>
  <w:abstractNum w:abstractNumId="33">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4B695180"/>
    <w:multiLevelType w:val="multilevel"/>
    <w:tmpl w:val="5E22C0F8"/>
    <w:numStyleLink w:val="Bullet"/>
  </w:abstractNum>
  <w:abstractNum w:abstractNumId="37">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6CFF3731"/>
    <w:multiLevelType w:val="multilevel"/>
    <w:tmpl w:val="7500EB92"/>
    <w:numStyleLink w:val="Number"/>
  </w:abstractNum>
  <w:abstractNum w:abstractNumId="39">
    <w:nsid w:val="71755C89"/>
    <w:multiLevelType w:val="multilevel"/>
    <w:tmpl w:val="7500EB92"/>
    <w:numStyleLink w:val="Number"/>
  </w:abstractNum>
  <w:abstractNum w:abstractNumId="40">
    <w:nsid w:val="763118D5"/>
    <w:multiLevelType w:val="multilevel"/>
    <w:tmpl w:val="42E253BE"/>
    <w:numStyleLink w:val="A"/>
  </w:abstractNum>
  <w:abstractNum w:abstractNumId="41">
    <w:nsid w:val="77AA1739"/>
    <w:multiLevelType w:val="multilevel"/>
    <w:tmpl w:val="42E253BE"/>
    <w:numStyleLink w:val="A"/>
  </w:abstractNum>
  <w:abstractNum w:abstractNumId="42">
    <w:nsid w:val="797F561D"/>
    <w:multiLevelType w:val="multilevel"/>
    <w:tmpl w:val="7500EB92"/>
    <w:numStyleLink w:val="Number"/>
  </w:abstractNum>
  <w:abstractNum w:abstractNumId="43">
    <w:nsid w:val="7A1A1C18"/>
    <w:multiLevelType w:val="multilevel"/>
    <w:tmpl w:val="42E253BE"/>
    <w:numStyleLink w:val="A"/>
  </w:abstractNum>
  <w:abstractNum w:abstractNumId="44">
    <w:nsid w:val="7DE749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0"/>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7"/>
  </w:num>
  <w:num w:numId="9">
    <w:abstractNumId w:val="18"/>
  </w:num>
  <w:num w:numId="10">
    <w:abstractNumId w:val="30"/>
  </w:num>
  <w:num w:numId="11">
    <w:abstractNumId w:val="9"/>
  </w:num>
  <w:num w:numId="12">
    <w:abstractNumId w:val="44"/>
  </w:num>
  <w:num w:numId="13">
    <w:abstractNumId w:val="41"/>
  </w:num>
  <w:num w:numId="14">
    <w:abstractNumId w:val="32"/>
    <w:lvlOverride w:ilvl="1">
      <w:lvl w:ilvl="1">
        <w:start w:val="1"/>
        <w:numFmt w:val="lowerLetter"/>
        <w:lvlText w:val="(%2)"/>
        <w:lvlJc w:val="left"/>
        <w:pPr>
          <w:ind w:left="1080" w:hanging="360"/>
        </w:pPr>
        <w:rPr>
          <w:rFonts w:hint="default"/>
        </w:rPr>
      </w:lvl>
    </w:lvlOverride>
  </w:num>
  <w:num w:numId="15">
    <w:abstractNumId w:val="8"/>
  </w:num>
  <w:num w:numId="16">
    <w:abstractNumId w:val="19"/>
  </w:num>
  <w:num w:numId="17">
    <w:abstractNumId w:val="24"/>
  </w:num>
  <w:num w:numId="18">
    <w:abstractNumId w:val="34"/>
  </w:num>
  <w:num w:numId="19">
    <w:abstractNumId w:val="27"/>
  </w:num>
  <w:num w:numId="20">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6"/>
  </w:num>
  <w:num w:numId="24">
    <w:abstractNumId w:val="29"/>
  </w:num>
  <w:num w:numId="25">
    <w:abstractNumId w:val="17"/>
  </w:num>
  <w:num w:numId="26">
    <w:abstractNumId w:val="3"/>
  </w:num>
  <w:num w:numId="27">
    <w:abstractNumId w:val="33"/>
  </w:num>
  <w:num w:numId="28">
    <w:abstractNumId w:val="2"/>
  </w:num>
  <w:num w:numId="29">
    <w:abstractNumId w:val="1"/>
  </w:num>
  <w:num w:numId="30">
    <w:abstractNumId w:val="0"/>
  </w:num>
  <w:num w:numId="31">
    <w:abstractNumId w:val="42"/>
  </w:num>
  <w:num w:numId="32">
    <w:abstractNumId w:val="21"/>
  </w:num>
  <w:num w:numId="33">
    <w:abstractNumId w:val="13"/>
  </w:num>
  <w:num w:numId="34">
    <w:abstractNumId w:val="14"/>
  </w:num>
  <w:num w:numId="35">
    <w:abstractNumId w:val="39"/>
  </w:num>
  <w:num w:numId="36">
    <w:abstractNumId w:val="11"/>
  </w:num>
  <w:num w:numId="37">
    <w:abstractNumId w:val="28"/>
  </w:num>
  <w:num w:numId="38">
    <w:abstractNumId w:val="28"/>
  </w:num>
  <w:num w:numId="39">
    <w:abstractNumId w:val="35"/>
  </w:num>
  <w:num w:numId="40">
    <w:abstractNumId w:val="36"/>
  </w:num>
  <w:num w:numId="41">
    <w:abstractNumId w:val="38"/>
  </w:num>
  <w:num w:numId="42">
    <w:abstractNumId w:val="35"/>
  </w:num>
  <w:num w:numId="43">
    <w:abstractNumId w:val="5"/>
  </w:num>
  <w:num w:numId="44">
    <w:abstractNumId w:val="4"/>
  </w:num>
  <w:num w:numId="45">
    <w:abstractNumId w:val="26"/>
  </w:num>
  <w:num w:numId="46">
    <w:abstractNumId w:val="15"/>
  </w:num>
  <w:num w:numId="47">
    <w:abstractNumId w:val="37"/>
  </w:num>
  <w:num w:numId="48">
    <w:abstractNumId w:val="16"/>
  </w:num>
  <w:num w:numId="49">
    <w:abstractNumId w:val="1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14"/>
    <w:rsid w:val="00001A3C"/>
    <w:rsid w:val="000068BC"/>
    <w:rsid w:val="00007428"/>
    <w:rsid w:val="00017EF2"/>
    <w:rsid w:val="000206FE"/>
    <w:rsid w:val="00025107"/>
    <w:rsid w:val="000256AE"/>
    <w:rsid w:val="00033628"/>
    <w:rsid w:val="0003363B"/>
    <w:rsid w:val="00042ABE"/>
    <w:rsid w:val="00045814"/>
    <w:rsid w:val="00046AB9"/>
    <w:rsid w:val="00055A63"/>
    <w:rsid w:val="00056736"/>
    <w:rsid w:val="00057EFB"/>
    <w:rsid w:val="00064F49"/>
    <w:rsid w:val="00073219"/>
    <w:rsid w:val="00073EFA"/>
    <w:rsid w:val="00082872"/>
    <w:rsid w:val="00082D1F"/>
    <w:rsid w:val="0009147C"/>
    <w:rsid w:val="000915C9"/>
    <w:rsid w:val="000A03F9"/>
    <w:rsid w:val="000A07AD"/>
    <w:rsid w:val="000A2CDF"/>
    <w:rsid w:val="000A547A"/>
    <w:rsid w:val="000C1119"/>
    <w:rsid w:val="000C18FF"/>
    <w:rsid w:val="000C1B0B"/>
    <w:rsid w:val="000C43CD"/>
    <w:rsid w:val="000C68FD"/>
    <w:rsid w:val="000C6A23"/>
    <w:rsid w:val="000D0A50"/>
    <w:rsid w:val="000D0ECF"/>
    <w:rsid w:val="000D53D5"/>
    <w:rsid w:val="000D5949"/>
    <w:rsid w:val="000D716D"/>
    <w:rsid w:val="000E037E"/>
    <w:rsid w:val="000E04E7"/>
    <w:rsid w:val="000E1A6C"/>
    <w:rsid w:val="000E2126"/>
    <w:rsid w:val="000E28B3"/>
    <w:rsid w:val="000F140B"/>
    <w:rsid w:val="000F34B0"/>
    <w:rsid w:val="000F3A75"/>
    <w:rsid w:val="000F5295"/>
    <w:rsid w:val="000F5BCA"/>
    <w:rsid w:val="00100959"/>
    <w:rsid w:val="00103DE5"/>
    <w:rsid w:val="00103FCE"/>
    <w:rsid w:val="00104F1A"/>
    <w:rsid w:val="00106323"/>
    <w:rsid w:val="00113667"/>
    <w:rsid w:val="00120B97"/>
    <w:rsid w:val="001212DB"/>
    <w:rsid w:val="001213D6"/>
    <w:rsid w:val="00124F13"/>
    <w:rsid w:val="00132069"/>
    <w:rsid w:val="00132420"/>
    <w:rsid w:val="00150302"/>
    <w:rsid w:val="001506B1"/>
    <w:rsid w:val="00151EF3"/>
    <w:rsid w:val="00152A9B"/>
    <w:rsid w:val="00155173"/>
    <w:rsid w:val="00157D89"/>
    <w:rsid w:val="00160DB5"/>
    <w:rsid w:val="00166699"/>
    <w:rsid w:val="001675E6"/>
    <w:rsid w:val="00180823"/>
    <w:rsid w:val="001808F7"/>
    <w:rsid w:val="001845E1"/>
    <w:rsid w:val="00184A1B"/>
    <w:rsid w:val="00185B60"/>
    <w:rsid w:val="001921DD"/>
    <w:rsid w:val="001A0AED"/>
    <w:rsid w:val="001A46CF"/>
    <w:rsid w:val="001A5A3F"/>
    <w:rsid w:val="001B04ED"/>
    <w:rsid w:val="001B237B"/>
    <w:rsid w:val="001B3B72"/>
    <w:rsid w:val="001B5A5C"/>
    <w:rsid w:val="001B6D94"/>
    <w:rsid w:val="001D590D"/>
    <w:rsid w:val="001D7A51"/>
    <w:rsid w:val="001E6E6F"/>
    <w:rsid w:val="001F35A8"/>
    <w:rsid w:val="001F4835"/>
    <w:rsid w:val="001F4F51"/>
    <w:rsid w:val="00200802"/>
    <w:rsid w:val="00202468"/>
    <w:rsid w:val="002065D0"/>
    <w:rsid w:val="00210496"/>
    <w:rsid w:val="00212222"/>
    <w:rsid w:val="002128E9"/>
    <w:rsid w:val="002137AC"/>
    <w:rsid w:val="00214AB1"/>
    <w:rsid w:val="00220042"/>
    <w:rsid w:val="00220E35"/>
    <w:rsid w:val="00222883"/>
    <w:rsid w:val="00237563"/>
    <w:rsid w:val="00241BC9"/>
    <w:rsid w:val="00247670"/>
    <w:rsid w:val="00253619"/>
    <w:rsid w:val="00255A9A"/>
    <w:rsid w:val="0025669F"/>
    <w:rsid w:val="00257E89"/>
    <w:rsid w:val="00260DE7"/>
    <w:rsid w:val="00271E79"/>
    <w:rsid w:val="00294556"/>
    <w:rsid w:val="00295E0F"/>
    <w:rsid w:val="00296CF7"/>
    <w:rsid w:val="002A0391"/>
    <w:rsid w:val="002A44E3"/>
    <w:rsid w:val="002A57BB"/>
    <w:rsid w:val="002A65E1"/>
    <w:rsid w:val="002B0F2C"/>
    <w:rsid w:val="002B3B71"/>
    <w:rsid w:val="002B3E8C"/>
    <w:rsid w:val="002B526C"/>
    <w:rsid w:val="002B6496"/>
    <w:rsid w:val="002B7DE4"/>
    <w:rsid w:val="002C00FD"/>
    <w:rsid w:val="002C3386"/>
    <w:rsid w:val="002C3B94"/>
    <w:rsid w:val="002C3F78"/>
    <w:rsid w:val="002C5BE1"/>
    <w:rsid w:val="002C6EA8"/>
    <w:rsid w:val="002C7909"/>
    <w:rsid w:val="002D040C"/>
    <w:rsid w:val="002D0ADC"/>
    <w:rsid w:val="002D47C9"/>
    <w:rsid w:val="002E628D"/>
    <w:rsid w:val="002E7E33"/>
    <w:rsid w:val="002F7BBC"/>
    <w:rsid w:val="00301106"/>
    <w:rsid w:val="00306EAE"/>
    <w:rsid w:val="00322044"/>
    <w:rsid w:val="0033570E"/>
    <w:rsid w:val="0033621D"/>
    <w:rsid w:val="003371B4"/>
    <w:rsid w:val="00337317"/>
    <w:rsid w:val="0034185B"/>
    <w:rsid w:val="00343667"/>
    <w:rsid w:val="00347922"/>
    <w:rsid w:val="00357C4E"/>
    <w:rsid w:val="00360393"/>
    <w:rsid w:val="0036376A"/>
    <w:rsid w:val="00363B60"/>
    <w:rsid w:val="003703D1"/>
    <w:rsid w:val="00370421"/>
    <w:rsid w:val="003741F4"/>
    <w:rsid w:val="0037430B"/>
    <w:rsid w:val="00376E22"/>
    <w:rsid w:val="00377B81"/>
    <w:rsid w:val="003805EF"/>
    <w:rsid w:val="003825F8"/>
    <w:rsid w:val="00390A50"/>
    <w:rsid w:val="00390AB3"/>
    <w:rsid w:val="0039234B"/>
    <w:rsid w:val="00393A0A"/>
    <w:rsid w:val="00394286"/>
    <w:rsid w:val="00395FF7"/>
    <w:rsid w:val="00397E96"/>
    <w:rsid w:val="003A0816"/>
    <w:rsid w:val="003A1578"/>
    <w:rsid w:val="003A1BBB"/>
    <w:rsid w:val="003A5819"/>
    <w:rsid w:val="003C4492"/>
    <w:rsid w:val="003C5DBD"/>
    <w:rsid w:val="003C75BF"/>
    <w:rsid w:val="003D279B"/>
    <w:rsid w:val="003D7FD7"/>
    <w:rsid w:val="003E58E4"/>
    <w:rsid w:val="003E68E6"/>
    <w:rsid w:val="003E7CD9"/>
    <w:rsid w:val="00402880"/>
    <w:rsid w:val="00403881"/>
    <w:rsid w:val="004052CC"/>
    <w:rsid w:val="00407B77"/>
    <w:rsid w:val="00407F41"/>
    <w:rsid w:val="00410BF0"/>
    <w:rsid w:val="0042008E"/>
    <w:rsid w:val="00423170"/>
    <w:rsid w:val="00423FB1"/>
    <w:rsid w:val="00424473"/>
    <w:rsid w:val="00424959"/>
    <w:rsid w:val="00432BD8"/>
    <w:rsid w:val="004375F6"/>
    <w:rsid w:val="00441965"/>
    <w:rsid w:val="004419CD"/>
    <w:rsid w:val="00441FC3"/>
    <w:rsid w:val="00444736"/>
    <w:rsid w:val="00450141"/>
    <w:rsid w:val="00450637"/>
    <w:rsid w:val="00454513"/>
    <w:rsid w:val="00457575"/>
    <w:rsid w:val="00466E7D"/>
    <w:rsid w:val="00473782"/>
    <w:rsid w:val="00474C53"/>
    <w:rsid w:val="00475D53"/>
    <w:rsid w:val="0048771F"/>
    <w:rsid w:val="0049148D"/>
    <w:rsid w:val="00493C2E"/>
    <w:rsid w:val="004964EC"/>
    <w:rsid w:val="00496B0F"/>
    <w:rsid w:val="004A24D6"/>
    <w:rsid w:val="004A59F9"/>
    <w:rsid w:val="004B1258"/>
    <w:rsid w:val="004B1F1F"/>
    <w:rsid w:val="004B38B2"/>
    <w:rsid w:val="004C1F0B"/>
    <w:rsid w:val="004C59E7"/>
    <w:rsid w:val="004E4C4B"/>
    <w:rsid w:val="004E5C31"/>
    <w:rsid w:val="004F03F6"/>
    <w:rsid w:val="004F2F5C"/>
    <w:rsid w:val="004F3EFD"/>
    <w:rsid w:val="004F5AD4"/>
    <w:rsid w:val="004F6997"/>
    <w:rsid w:val="004F6DBA"/>
    <w:rsid w:val="004F738A"/>
    <w:rsid w:val="00500DAE"/>
    <w:rsid w:val="00501E92"/>
    <w:rsid w:val="0051596E"/>
    <w:rsid w:val="005235F5"/>
    <w:rsid w:val="005243EA"/>
    <w:rsid w:val="005266BD"/>
    <w:rsid w:val="005271FE"/>
    <w:rsid w:val="005307AA"/>
    <w:rsid w:val="0053103E"/>
    <w:rsid w:val="00531EF1"/>
    <w:rsid w:val="00532597"/>
    <w:rsid w:val="00532CAE"/>
    <w:rsid w:val="00533353"/>
    <w:rsid w:val="00535247"/>
    <w:rsid w:val="00536ACD"/>
    <w:rsid w:val="00540207"/>
    <w:rsid w:val="00541C6D"/>
    <w:rsid w:val="00542B89"/>
    <w:rsid w:val="00545C39"/>
    <w:rsid w:val="00552A56"/>
    <w:rsid w:val="005563E9"/>
    <w:rsid w:val="00556B3E"/>
    <w:rsid w:val="00560E01"/>
    <w:rsid w:val="00565394"/>
    <w:rsid w:val="005657B2"/>
    <w:rsid w:val="00566049"/>
    <w:rsid w:val="00566692"/>
    <w:rsid w:val="00571899"/>
    <w:rsid w:val="00573F75"/>
    <w:rsid w:val="00574728"/>
    <w:rsid w:val="00576C73"/>
    <w:rsid w:val="00580399"/>
    <w:rsid w:val="0058225C"/>
    <w:rsid w:val="005852CA"/>
    <w:rsid w:val="0058536D"/>
    <w:rsid w:val="005903BA"/>
    <w:rsid w:val="00594065"/>
    <w:rsid w:val="0059572B"/>
    <w:rsid w:val="00597959"/>
    <w:rsid w:val="005A0BEB"/>
    <w:rsid w:val="005A3B07"/>
    <w:rsid w:val="005B4BA6"/>
    <w:rsid w:val="005B655C"/>
    <w:rsid w:val="005C0288"/>
    <w:rsid w:val="005C09D4"/>
    <w:rsid w:val="005C0A64"/>
    <w:rsid w:val="005C3106"/>
    <w:rsid w:val="005C3B9F"/>
    <w:rsid w:val="005C62C6"/>
    <w:rsid w:val="005D108E"/>
    <w:rsid w:val="005D11FA"/>
    <w:rsid w:val="005D38EF"/>
    <w:rsid w:val="005E1C50"/>
    <w:rsid w:val="005F182C"/>
    <w:rsid w:val="00600C46"/>
    <w:rsid w:val="00605A27"/>
    <w:rsid w:val="00606611"/>
    <w:rsid w:val="00612683"/>
    <w:rsid w:val="006135D1"/>
    <w:rsid w:val="0061407E"/>
    <w:rsid w:val="00614C89"/>
    <w:rsid w:val="00617210"/>
    <w:rsid w:val="00617936"/>
    <w:rsid w:val="0062070B"/>
    <w:rsid w:val="00622A8D"/>
    <w:rsid w:val="006243FE"/>
    <w:rsid w:val="0062613A"/>
    <w:rsid w:val="00627C2B"/>
    <w:rsid w:val="00635722"/>
    <w:rsid w:val="00644B4A"/>
    <w:rsid w:val="006479D1"/>
    <w:rsid w:val="006517D1"/>
    <w:rsid w:val="00651946"/>
    <w:rsid w:val="0065280D"/>
    <w:rsid w:val="00660CF2"/>
    <w:rsid w:val="00662AB1"/>
    <w:rsid w:val="00664667"/>
    <w:rsid w:val="0066512E"/>
    <w:rsid w:val="00672F91"/>
    <w:rsid w:val="0067557C"/>
    <w:rsid w:val="00676AAC"/>
    <w:rsid w:val="006773B4"/>
    <w:rsid w:val="00677990"/>
    <w:rsid w:val="00680AB2"/>
    <w:rsid w:val="006836FE"/>
    <w:rsid w:val="00692CC0"/>
    <w:rsid w:val="006A1F6F"/>
    <w:rsid w:val="006A35C1"/>
    <w:rsid w:val="006A48F3"/>
    <w:rsid w:val="006A52FB"/>
    <w:rsid w:val="006A7F6B"/>
    <w:rsid w:val="006C00EB"/>
    <w:rsid w:val="006C1858"/>
    <w:rsid w:val="006C505F"/>
    <w:rsid w:val="006C61CC"/>
    <w:rsid w:val="006C6D1C"/>
    <w:rsid w:val="006D4F41"/>
    <w:rsid w:val="006E1EEA"/>
    <w:rsid w:val="006E2ADF"/>
    <w:rsid w:val="006E2BC5"/>
    <w:rsid w:val="006E400E"/>
    <w:rsid w:val="006E5056"/>
    <w:rsid w:val="006E6F37"/>
    <w:rsid w:val="006F02B5"/>
    <w:rsid w:val="006F1D47"/>
    <w:rsid w:val="006F1F28"/>
    <w:rsid w:val="006F23B1"/>
    <w:rsid w:val="007021B4"/>
    <w:rsid w:val="00705B7B"/>
    <w:rsid w:val="007107E0"/>
    <w:rsid w:val="007116A2"/>
    <w:rsid w:val="00720B4C"/>
    <w:rsid w:val="007223DD"/>
    <w:rsid w:val="00722C32"/>
    <w:rsid w:val="00722E77"/>
    <w:rsid w:val="00725696"/>
    <w:rsid w:val="00725906"/>
    <w:rsid w:val="00726975"/>
    <w:rsid w:val="00726F1F"/>
    <w:rsid w:val="00727E4F"/>
    <w:rsid w:val="00731598"/>
    <w:rsid w:val="00733171"/>
    <w:rsid w:val="007346C0"/>
    <w:rsid w:val="007349CB"/>
    <w:rsid w:val="007352B3"/>
    <w:rsid w:val="00737FCE"/>
    <w:rsid w:val="00741825"/>
    <w:rsid w:val="00743CE4"/>
    <w:rsid w:val="00751550"/>
    <w:rsid w:val="00753E64"/>
    <w:rsid w:val="007575FF"/>
    <w:rsid w:val="00757FE4"/>
    <w:rsid w:val="0076376B"/>
    <w:rsid w:val="00765E5C"/>
    <w:rsid w:val="007676F1"/>
    <w:rsid w:val="007712F6"/>
    <w:rsid w:val="00771A05"/>
    <w:rsid w:val="00773F07"/>
    <w:rsid w:val="00783ED9"/>
    <w:rsid w:val="007848F4"/>
    <w:rsid w:val="00790E40"/>
    <w:rsid w:val="00790FB8"/>
    <w:rsid w:val="007919BA"/>
    <w:rsid w:val="007925EF"/>
    <w:rsid w:val="00794C4A"/>
    <w:rsid w:val="0079507A"/>
    <w:rsid w:val="00795440"/>
    <w:rsid w:val="00797CD1"/>
    <w:rsid w:val="007A0D8B"/>
    <w:rsid w:val="007A11BE"/>
    <w:rsid w:val="007A4996"/>
    <w:rsid w:val="007A5BD1"/>
    <w:rsid w:val="007A7975"/>
    <w:rsid w:val="007B51DD"/>
    <w:rsid w:val="007C0AFE"/>
    <w:rsid w:val="007D6D1A"/>
    <w:rsid w:val="007E6EA8"/>
    <w:rsid w:val="007F1AAF"/>
    <w:rsid w:val="007F2F17"/>
    <w:rsid w:val="00801B7F"/>
    <w:rsid w:val="00803CF6"/>
    <w:rsid w:val="008041B0"/>
    <w:rsid w:val="0080479F"/>
    <w:rsid w:val="00804880"/>
    <w:rsid w:val="00813A48"/>
    <w:rsid w:val="00813DD5"/>
    <w:rsid w:val="00814957"/>
    <w:rsid w:val="00814A7C"/>
    <w:rsid w:val="008155D0"/>
    <w:rsid w:val="008160AA"/>
    <w:rsid w:val="00820AFD"/>
    <w:rsid w:val="00831AE5"/>
    <w:rsid w:val="0083463B"/>
    <w:rsid w:val="0086082D"/>
    <w:rsid w:val="00860E4F"/>
    <w:rsid w:val="0086442A"/>
    <w:rsid w:val="008653F6"/>
    <w:rsid w:val="0086647D"/>
    <w:rsid w:val="008738B1"/>
    <w:rsid w:val="00886DF7"/>
    <w:rsid w:val="00891986"/>
    <w:rsid w:val="0089207D"/>
    <w:rsid w:val="00893855"/>
    <w:rsid w:val="008A1A14"/>
    <w:rsid w:val="008A5A91"/>
    <w:rsid w:val="008A5F0E"/>
    <w:rsid w:val="008B48AE"/>
    <w:rsid w:val="008C0CFA"/>
    <w:rsid w:val="008C5D0F"/>
    <w:rsid w:val="008D128E"/>
    <w:rsid w:val="008D1EEE"/>
    <w:rsid w:val="008D29E5"/>
    <w:rsid w:val="008D37BD"/>
    <w:rsid w:val="008D5DD6"/>
    <w:rsid w:val="008E1571"/>
    <w:rsid w:val="008E3105"/>
    <w:rsid w:val="008E469A"/>
    <w:rsid w:val="008E554D"/>
    <w:rsid w:val="008F0D31"/>
    <w:rsid w:val="00900DF0"/>
    <w:rsid w:val="00901B8C"/>
    <w:rsid w:val="00903544"/>
    <w:rsid w:val="009046BD"/>
    <w:rsid w:val="009103EC"/>
    <w:rsid w:val="009146D5"/>
    <w:rsid w:val="009152B0"/>
    <w:rsid w:val="009161A3"/>
    <w:rsid w:val="0091730C"/>
    <w:rsid w:val="009174A7"/>
    <w:rsid w:val="00917D22"/>
    <w:rsid w:val="00921AE6"/>
    <w:rsid w:val="00924B15"/>
    <w:rsid w:val="00926239"/>
    <w:rsid w:val="00934FFB"/>
    <w:rsid w:val="00935170"/>
    <w:rsid w:val="009378BE"/>
    <w:rsid w:val="00941EFF"/>
    <w:rsid w:val="00943EAD"/>
    <w:rsid w:val="00947417"/>
    <w:rsid w:val="009479BF"/>
    <w:rsid w:val="00950409"/>
    <w:rsid w:val="00950FB1"/>
    <w:rsid w:val="00952665"/>
    <w:rsid w:val="00953503"/>
    <w:rsid w:val="00955520"/>
    <w:rsid w:val="009556A3"/>
    <w:rsid w:val="0096441C"/>
    <w:rsid w:val="009754F2"/>
    <w:rsid w:val="00975953"/>
    <w:rsid w:val="0098338B"/>
    <w:rsid w:val="00983AF0"/>
    <w:rsid w:val="009854A4"/>
    <w:rsid w:val="009862B3"/>
    <w:rsid w:val="009A7390"/>
    <w:rsid w:val="009B080A"/>
    <w:rsid w:val="009B185C"/>
    <w:rsid w:val="009B49A6"/>
    <w:rsid w:val="009B7B27"/>
    <w:rsid w:val="009C2F69"/>
    <w:rsid w:val="009C7E23"/>
    <w:rsid w:val="009D44E6"/>
    <w:rsid w:val="009D61EA"/>
    <w:rsid w:val="009E1F58"/>
    <w:rsid w:val="009E302E"/>
    <w:rsid w:val="009E4D30"/>
    <w:rsid w:val="009E6EDF"/>
    <w:rsid w:val="009E75D1"/>
    <w:rsid w:val="009F07A5"/>
    <w:rsid w:val="009F160B"/>
    <w:rsid w:val="009F3849"/>
    <w:rsid w:val="009F6886"/>
    <w:rsid w:val="009F6D73"/>
    <w:rsid w:val="00A015F0"/>
    <w:rsid w:val="00A105F2"/>
    <w:rsid w:val="00A119C9"/>
    <w:rsid w:val="00A12182"/>
    <w:rsid w:val="00A171DC"/>
    <w:rsid w:val="00A20782"/>
    <w:rsid w:val="00A2094F"/>
    <w:rsid w:val="00A20F1E"/>
    <w:rsid w:val="00A21C10"/>
    <w:rsid w:val="00A264FE"/>
    <w:rsid w:val="00A30D6D"/>
    <w:rsid w:val="00A34F0D"/>
    <w:rsid w:val="00A3630E"/>
    <w:rsid w:val="00A376D5"/>
    <w:rsid w:val="00A3770F"/>
    <w:rsid w:val="00A40680"/>
    <w:rsid w:val="00A42771"/>
    <w:rsid w:val="00A47629"/>
    <w:rsid w:val="00A50C8B"/>
    <w:rsid w:val="00A52CC3"/>
    <w:rsid w:val="00A545AB"/>
    <w:rsid w:val="00A63051"/>
    <w:rsid w:val="00A637FA"/>
    <w:rsid w:val="00A709FC"/>
    <w:rsid w:val="00A72634"/>
    <w:rsid w:val="00A75888"/>
    <w:rsid w:val="00A75FEE"/>
    <w:rsid w:val="00A85FA2"/>
    <w:rsid w:val="00A92651"/>
    <w:rsid w:val="00A9345E"/>
    <w:rsid w:val="00A94E87"/>
    <w:rsid w:val="00A977EF"/>
    <w:rsid w:val="00AA2BA5"/>
    <w:rsid w:val="00AA49E3"/>
    <w:rsid w:val="00AB0C55"/>
    <w:rsid w:val="00AB5FA5"/>
    <w:rsid w:val="00AB724F"/>
    <w:rsid w:val="00AC4001"/>
    <w:rsid w:val="00AC4FE6"/>
    <w:rsid w:val="00AD2AE8"/>
    <w:rsid w:val="00AE0E16"/>
    <w:rsid w:val="00AF3225"/>
    <w:rsid w:val="00AF5018"/>
    <w:rsid w:val="00AF6157"/>
    <w:rsid w:val="00AF652F"/>
    <w:rsid w:val="00AF7DCE"/>
    <w:rsid w:val="00B04832"/>
    <w:rsid w:val="00B04F67"/>
    <w:rsid w:val="00B121BD"/>
    <w:rsid w:val="00B146AC"/>
    <w:rsid w:val="00B17122"/>
    <w:rsid w:val="00B17565"/>
    <w:rsid w:val="00B21E8E"/>
    <w:rsid w:val="00B2750F"/>
    <w:rsid w:val="00B31B6A"/>
    <w:rsid w:val="00B34A89"/>
    <w:rsid w:val="00B371AC"/>
    <w:rsid w:val="00B4569C"/>
    <w:rsid w:val="00B4755F"/>
    <w:rsid w:val="00B5341B"/>
    <w:rsid w:val="00B54954"/>
    <w:rsid w:val="00B56791"/>
    <w:rsid w:val="00B56B25"/>
    <w:rsid w:val="00B56C73"/>
    <w:rsid w:val="00B70D99"/>
    <w:rsid w:val="00B72498"/>
    <w:rsid w:val="00B77344"/>
    <w:rsid w:val="00B804D5"/>
    <w:rsid w:val="00B809CD"/>
    <w:rsid w:val="00B83597"/>
    <w:rsid w:val="00B862F0"/>
    <w:rsid w:val="00B91C7F"/>
    <w:rsid w:val="00B936B8"/>
    <w:rsid w:val="00B97A98"/>
    <w:rsid w:val="00BA26F2"/>
    <w:rsid w:val="00BA32DD"/>
    <w:rsid w:val="00BB2087"/>
    <w:rsid w:val="00BB7D2B"/>
    <w:rsid w:val="00BC01CE"/>
    <w:rsid w:val="00BC1376"/>
    <w:rsid w:val="00BC21AD"/>
    <w:rsid w:val="00BC6329"/>
    <w:rsid w:val="00BC6724"/>
    <w:rsid w:val="00BD0D9B"/>
    <w:rsid w:val="00BD2A8E"/>
    <w:rsid w:val="00BD2AB3"/>
    <w:rsid w:val="00BE12EA"/>
    <w:rsid w:val="00BE2FBB"/>
    <w:rsid w:val="00BF07FE"/>
    <w:rsid w:val="00BF08BC"/>
    <w:rsid w:val="00BF6E17"/>
    <w:rsid w:val="00C00568"/>
    <w:rsid w:val="00C0462D"/>
    <w:rsid w:val="00C04F08"/>
    <w:rsid w:val="00C134E2"/>
    <w:rsid w:val="00C14875"/>
    <w:rsid w:val="00C2116C"/>
    <w:rsid w:val="00C32D27"/>
    <w:rsid w:val="00C342FF"/>
    <w:rsid w:val="00C36FCD"/>
    <w:rsid w:val="00C43968"/>
    <w:rsid w:val="00C461A9"/>
    <w:rsid w:val="00C4714D"/>
    <w:rsid w:val="00C50BB4"/>
    <w:rsid w:val="00C570E4"/>
    <w:rsid w:val="00C57272"/>
    <w:rsid w:val="00C573F8"/>
    <w:rsid w:val="00C65BE3"/>
    <w:rsid w:val="00C661B9"/>
    <w:rsid w:val="00C72D96"/>
    <w:rsid w:val="00C77D7E"/>
    <w:rsid w:val="00C80D95"/>
    <w:rsid w:val="00C8749B"/>
    <w:rsid w:val="00C90B98"/>
    <w:rsid w:val="00C95E39"/>
    <w:rsid w:val="00CA29CB"/>
    <w:rsid w:val="00CA41CF"/>
    <w:rsid w:val="00CA4410"/>
    <w:rsid w:val="00CA4F8B"/>
    <w:rsid w:val="00CA6435"/>
    <w:rsid w:val="00CB43A2"/>
    <w:rsid w:val="00CB4527"/>
    <w:rsid w:val="00CB5305"/>
    <w:rsid w:val="00CC2ABB"/>
    <w:rsid w:val="00CC3DD5"/>
    <w:rsid w:val="00CC55F7"/>
    <w:rsid w:val="00CC5CE9"/>
    <w:rsid w:val="00CD1FEA"/>
    <w:rsid w:val="00CD6B20"/>
    <w:rsid w:val="00CD6F54"/>
    <w:rsid w:val="00CE1830"/>
    <w:rsid w:val="00CE1EBB"/>
    <w:rsid w:val="00CE30BD"/>
    <w:rsid w:val="00CE372B"/>
    <w:rsid w:val="00CE44DE"/>
    <w:rsid w:val="00CE4B69"/>
    <w:rsid w:val="00CE5AA2"/>
    <w:rsid w:val="00CE5CF8"/>
    <w:rsid w:val="00CE6A19"/>
    <w:rsid w:val="00CE763C"/>
    <w:rsid w:val="00CF2B70"/>
    <w:rsid w:val="00CF5E6F"/>
    <w:rsid w:val="00D07E7D"/>
    <w:rsid w:val="00D106C3"/>
    <w:rsid w:val="00D11A1E"/>
    <w:rsid w:val="00D13887"/>
    <w:rsid w:val="00D25CC0"/>
    <w:rsid w:val="00D3317C"/>
    <w:rsid w:val="00D3345D"/>
    <w:rsid w:val="00D341DE"/>
    <w:rsid w:val="00D3519E"/>
    <w:rsid w:val="00D379C4"/>
    <w:rsid w:val="00D429FE"/>
    <w:rsid w:val="00D451B9"/>
    <w:rsid w:val="00D63655"/>
    <w:rsid w:val="00D71612"/>
    <w:rsid w:val="00D7231C"/>
    <w:rsid w:val="00D7558D"/>
    <w:rsid w:val="00D75608"/>
    <w:rsid w:val="00D75A85"/>
    <w:rsid w:val="00D760FE"/>
    <w:rsid w:val="00D8125E"/>
    <w:rsid w:val="00D8157A"/>
    <w:rsid w:val="00D827B1"/>
    <w:rsid w:val="00D83A07"/>
    <w:rsid w:val="00D90086"/>
    <w:rsid w:val="00D97443"/>
    <w:rsid w:val="00D977CF"/>
    <w:rsid w:val="00DA4CB5"/>
    <w:rsid w:val="00DA769F"/>
    <w:rsid w:val="00DB2A52"/>
    <w:rsid w:val="00DB7BB3"/>
    <w:rsid w:val="00DD1082"/>
    <w:rsid w:val="00DD308F"/>
    <w:rsid w:val="00DD5380"/>
    <w:rsid w:val="00DE1BA7"/>
    <w:rsid w:val="00DE3014"/>
    <w:rsid w:val="00DE38D7"/>
    <w:rsid w:val="00DE7ED9"/>
    <w:rsid w:val="00DF05FB"/>
    <w:rsid w:val="00DF06D8"/>
    <w:rsid w:val="00DF14C0"/>
    <w:rsid w:val="00DF3EC9"/>
    <w:rsid w:val="00DF4B2E"/>
    <w:rsid w:val="00E104E2"/>
    <w:rsid w:val="00E108FF"/>
    <w:rsid w:val="00E113DB"/>
    <w:rsid w:val="00E11618"/>
    <w:rsid w:val="00E173B6"/>
    <w:rsid w:val="00E23ACD"/>
    <w:rsid w:val="00E244F1"/>
    <w:rsid w:val="00E30AC0"/>
    <w:rsid w:val="00E32FD9"/>
    <w:rsid w:val="00E33011"/>
    <w:rsid w:val="00E34095"/>
    <w:rsid w:val="00E34AC7"/>
    <w:rsid w:val="00E369C4"/>
    <w:rsid w:val="00E36DAC"/>
    <w:rsid w:val="00E40EDA"/>
    <w:rsid w:val="00E41328"/>
    <w:rsid w:val="00E42052"/>
    <w:rsid w:val="00E43B96"/>
    <w:rsid w:val="00E46DD4"/>
    <w:rsid w:val="00E46E4F"/>
    <w:rsid w:val="00E52A0F"/>
    <w:rsid w:val="00E56971"/>
    <w:rsid w:val="00E64CBF"/>
    <w:rsid w:val="00E65539"/>
    <w:rsid w:val="00E709BA"/>
    <w:rsid w:val="00E7185E"/>
    <w:rsid w:val="00E73BF7"/>
    <w:rsid w:val="00E75212"/>
    <w:rsid w:val="00E815F9"/>
    <w:rsid w:val="00E8244C"/>
    <w:rsid w:val="00EA4E6B"/>
    <w:rsid w:val="00EA5C53"/>
    <w:rsid w:val="00EA5C59"/>
    <w:rsid w:val="00EA775F"/>
    <w:rsid w:val="00EB0619"/>
    <w:rsid w:val="00EB22C5"/>
    <w:rsid w:val="00EB2DF9"/>
    <w:rsid w:val="00EB3C76"/>
    <w:rsid w:val="00EB4924"/>
    <w:rsid w:val="00EB68A5"/>
    <w:rsid w:val="00EC3EAA"/>
    <w:rsid w:val="00EC462F"/>
    <w:rsid w:val="00EC7040"/>
    <w:rsid w:val="00ED06E6"/>
    <w:rsid w:val="00ED07D6"/>
    <w:rsid w:val="00ED3271"/>
    <w:rsid w:val="00ED5415"/>
    <w:rsid w:val="00ED5DFC"/>
    <w:rsid w:val="00ED6855"/>
    <w:rsid w:val="00ED6C85"/>
    <w:rsid w:val="00EE0ACF"/>
    <w:rsid w:val="00EE3840"/>
    <w:rsid w:val="00EE7653"/>
    <w:rsid w:val="00EF0A38"/>
    <w:rsid w:val="00EF0E3A"/>
    <w:rsid w:val="00EF28F9"/>
    <w:rsid w:val="00EF3C02"/>
    <w:rsid w:val="00F0128E"/>
    <w:rsid w:val="00F110B5"/>
    <w:rsid w:val="00F12718"/>
    <w:rsid w:val="00F15DE6"/>
    <w:rsid w:val="00F21C61"/>
    <w:rsid w:val="00F21FA9"/>
    <w:rsid w:val="00F270C7"/>
    <w:rsid w:val="00F3421F"/>
    <w:rsid w:val="00F36C92"/>
    <w:rsid w:val="00F4185A"/>
    <w:rsid w:val="00F476D0"/>
    <w:rsid w:val="00F55D36"/>
    <w:rsid w:val="00F619DB"/>
    <w:rsid w:val="00F6286D"/>
    <w:rsid w:val="00F63115"/>
    <w:rsid w:val="00F65FF9"/>
    <w:rsid w:val="00F74BC1"/>
    <w:rsid w:val="00F76D21"/>
    <w:rsid w:val="00F8170E"/>
    <w:rsid w:val="00F84B81"/>
    <w:rsid w:val="00F858E5"/>
    <w:rsid w:val="00F86C0B"/>
    <w:rsid w:val="00F91FC1"/>
    <w:rsid w:val="00F9559A"/>
    <w:rsid w:val="00F95B0B"/>
    <w:rsid w:val="00FA3262"/>
    <w:rsid w:val="00FA68DF"/>
    <w:rsid w:val="00FB1BDF"/>
    <w:rsid w:val="00FB2A00"/>
    <w:rsid w:val="00FC05D4"/>
    <w:rsid w:val="00FC5E1B"/>
    <w:rsid w:val="00FC6199"/>
    <w:rsid w:val="00FD1F90"/>
    <w:rsid w:val="00FD279A"/>
    <w:rsid w:val="00FD4336"/>
    <w:rsid w:val="00FE2D0B"/>
    <w:rsid w:val="00FE4401"/>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39" w:unhideWhenUsed="0"/>
    <w:lsdException w:name="toc 5" w:uiPriority="96" w:unhideWhenUsed="0"/>
    <w:lsdException w:name="toc 6" w:uiPriority="96" w:unhideWhenUsed="0"/>
    <w:lsdException w:name="toc 7" w:uiPriority="96" w:unhideWhenUsed="0"/>
    <w:lsdException w:name="toc 8" w:uiPriority="96" w:unhideWhenUsed="0"/>
    <w:lsdException w:name="toc 9" w:uiPriority="91"/>
    <w:lsdException w:name="Normal Indent" w:uiPriority="0"/>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7F2F17"/>
  </w:style>
  <w:style w:type="paragraph" w:styleId="Heading10">
    <w:name w:val="heading 1"/>
    <w:next w:val="Normal"/>
    <w:link w:val="Heading1Char"/>
    <w:uiPriority w:val="9"/>
    <w:qFormat/>
    <w:rsid w:val="00180823"/>
    <w:pPr>
      <w:keepNext/>
      <w:keepLines/>
      <w:pageBreakBefore/>
      <w:pBdr>
        <w:bottom w:val="single" w:sz="12" w:space="1" w:color="auto"/>
      </w:pBdr>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180823"/>
    <w:pPr>
      <w:pageBreakBefore w:val="0"/>
      <w:numPr>
        <w:ilvl w:val="1"/>
      </w:numPr>
      <w:pBdr>
        <w:bottom w:val="none" w:sz="0" w:space="0" w:color="auto"/>
      </w:pBd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6836FE"/>
    <w:pPr>
      <w:numPr>
        <w:ilvl w:val="2"/>
      </w:numPr>
      <w:pBdr>
        <w:bottom w:val="single" w:sz="6" w:space="1" w:color="auto"/>
      </w:pBdr>
      <w:outlineLvl w:val="2"/>
    </w:pPr>
    <w:rPr>
      <w:bCs/>
      <w:sz w:val="23"/>
    </w:rPr>
  </w:style>
  <w:style w:type="paragraph" w:styleId="Heading4">
    <w:name w:val="heading 4"/>
    <w:basedOn w:val="Heading30"/>
    <w:next w:val="Normal"/>
    <w:link w:val="Heading4Char"/>
    <w:uiPriority w:val="9"/>
    <w:rsid w:val="00BA32DD"/>
    <w:pPr>
      <w:numPr>
        <w:ilvl w:val="3"/>
      </w:numPr>
      <w:pBdr>
        <w:bottom w:val="none" w:sz="0" w:space="0" w:color="auto"/>
      </w:pBd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19"/>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180823"/>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6836FE"/>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18082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BA32DD"/>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180823"/>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2"/>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45"/>
      </w:numPr>
    </w:pPr>
  </w:style>
  <w:style w:type="character" w:customStyle="1" w:styleId="FooteroddChar">
    <w:name w:val="Footer (odd) Char"/>
    <w:basedOn w:val="DefaultParagraphFont"/>
    <w:link w:val="Footerodd"/>
    <w:uiPriority w:val="84"/>
    <w:rsid w:val="008155D0"/>
    <w:rPr>
      <w:rFonts w:asciiTheme="majorHAnsi" w:hAnsiTheme="majorHAnsi"/>
      <w:sz w:val="18"/>
    </w:rPr>
  </w:style>
  <w:style w:type="paragraph" w:customStyle="1" w:styleId="Footerodd">
    <w:name w:val="Footer (odd)"/>
    <w:basedOn w:val="Footer"/>
    <w:link w:val="FooteroddChar"/>
    <w:uiPriority w:val="84"/>
    <w:rsid w:val="008155D0"/>
    <w:pPr>
      <w:pBdr>
        <w:top w:val="single" w:sz="6" w:space="1" w:color="auto"/>
      </w:pBdr>
      <w:tabs>
        <w:tab w:val="clear" w:pos="4513"/>
        <w:tab w:val="clear" w:pos="9026"/>
        <w:tab w:val="center" w:pos="4819"/>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18"/>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955520"/>
    <w:pPr>
      <w:tabs>
        <w:tab w:val="left" w:pos="284"/>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7"/>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40"/>
      </w:numPr>
      <w:spacing w:before="60"/>
    </w:pPr>
  </w:style>
  <w:style w:type="paragraph" w:styleId="List">
    <w:name w:val="List"/>
    <w:basedOn w:val="Normal"/>
    <w:uiPriority w:val="29"/>
    <w:unhideWhenUsed/>
    <w:rsid w:val="008A5A91"/>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41"/>
      </w:numPr>
      <w:spacing w:before="60"/>
    </w:pPr>
  </w:style>
  <w:style w:type="paragraph" w:styleId="Footer">
    <w:name w:val="footer"/>
    <w:basedOn w:val="Normal"/>
    <w:link w:val="FooterChar"/>
    <w:uiPriority w:val="84"/>
    <w:semiHidden/>
    <w:rsid w:val="004419CD"/>
    <w:pPr>
      <w:tabs>
        <w:tab w:val="center" w:pos="4513"/>
        <w:tab w:val="right" w:pos="9026"/>
      </w:tabs>
      <w:spacing w:before="0"/>
    </w:p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sz w:val="20"/>
      <w:szCs w:val="20"/>
    </w:rPr>
  </w:style>
  <w:style w:type="paragraph" w:customStyle="1" w:styleId="TableHeading">
    <w:name w:val="Table Heading"/>
    <w:basedOn w:val="Normal"/>
    <w:next w:val="Normal"/>
    <w:uiPriority w:val="49"/>
    <w:qFormat/>
    <w:rsid w:val="00180823"/>
    <w:pPr>
      <w:keepNext/>
      <w:tabs>
        <w:tab w:val="left" w:pos="567"/>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27"/>
      </w:numPr>
    </w:pPr>
  </w:style>
  <w:style w:type="character" w:customStyle="1" w:styleId="Heading1Char0">
    <w:name w:val="Heading 1 (#) Char"/>
    <w:basedOn w:val="Heading1Char"/>
    <w:link w:val="Heading1"/>
    <w:uiPriority w:val="14"/>
    <w:rsid w:val="00180823"/>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8155D0"/>
    <w:pPr>
      <w:pBdr>
        <w:top w:val="single" w:sz="6" w:space="1" w:color="auto"/>
      </w:pBdr>
      <w:tabs>
        <w:tab w:val="clear" w:pos="4513"/>
        <w:tab w:val="clear" w:pos="9026"/>
        <w:tab w:val="center" w:pos="283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41"/>
      </w:numPr>
      <w:spacing w:before="60"/>
      <w:ind w:left="851"/>
    </w:pPr>
  </w:style>
  <w:style w:type="paragraph" w:styleId="ListNumber4">
    <w:name w:val="List Number 4"/>
    <w:basedOn w:val="Normal"/>
    <w:uiPriority w:val="19"/>
    <w:semiHidden/>
    <w:unhideWhenUsed/>
    <w:rsid w:val="00CE5CF8"/>
    <w:pPr>
      <w:numPr>
        <w:ilvl w:val="3"/>
        <w:numId w:val="41"/>
      </w:numPr>
      <w:contextualSpacing/>
    </w:pPr>
  </w:style>
  <w:style w:type="paragraph" w:styleId="ListNumber5">
    <w:name w:val="List Number 5"/>
    <w:basedOn w:val="Normal"/>
    <w:uiPriority w:val="19"/>
    <w:semiHidden/>
    <w:unhideWhenUsed/>
    <w:rsid w:val="00CE5CF8"/>
    <w:pPr>
      <w:numPr>
        <w:ilvl w:val="4"/>
        <w:numId w:val="41"/>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180823"/>
    <w:pPr>
      <w:numPr>
        <w:numId w:val="49"/>
      </w:numPr>
    </w:pPr>
  </w:style>
  <w:style w:type="paragraph" w:customStyle="1" w:styleId="Heading2">
    <w:name w:val="Heading 2 (#)"/>
    <w:basedOn w:val="Heading20"/>
    <w:link w:val="Heading2Char0"/>
    <w:uiPriority w:val="14"/>
    <w:qFormat/>
    <w:rsid w:val="00180823"/>
    <w:pPr>
      <w:numPr>
        <w:numId w:val="49"/>
      </w:numPr>
      <w:tabs>
        <w:tab w:val="left" w:pos="567"/>
      </w:tabs>
    </w:pPr>
  </w:style>
  <w:style w:type="numbering" w:customStyle="1" w:styleId="NumberedHeadings">
    <w:name w:val="Numbered Headings"/>
    <w:uiPriority w:val="99"/>
    <w:rsid w:val="004B1258"/>
    <w:pPr>
      <w:numPr>
        <w:numId w:val="39"/>
      </w:numPr>
    </w:pPr>
  </w:style>
  <w:style w:type="paragraph" w:customStyle="1" w:styleId="Heading3">
    <w:name w:val="Heading 3 (#)"/>
    <w:basedOn w:val="Heading30"/>
    <w:next w:val="Normal"/>
    <w:link w:val="Heading3Char0"/>
    <w:uiPriority w:val="14"/>
    <w:rsid w:val="006836FE"/>
    <w:pPr>
      <w:numPr>
        <w:numId w:val="49"/>
      </w:numPr>
      <w:pBdr>
        <w:bottom w:val="none" w:sz="0" w:space="0" w:color="auto"/>
      </w:pBdr>
      <w:spacing w:after="120"/>
    </w:pPr>
  </w:style>
  <w:style w:type="character" w:customStyle="1" w:styleId="Heading3Char0">
    <w:name w:val="Heading 3 (#) Char"/>
    <w:basedOn w:val="Heading3Char"/>
    <w:link w:val="Heading3"/>
    <w:uiPriority w:val="14"/>
    <w:rsid w:val="006836FE"/>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43"/>
      </w:numPr>
      <w:contextualSpacing/>
    </w:pPr>
  </w:style>
  <w:style w:type="paragraph" w:styleId="ListBullet5">
    <w:name w:val="List Bullet 5"/>
    <w:basedOn w:val="Normal"/>
    <w:uiPriority w:val="19"/>
    <w:semiHidden/>
    <w:unhideWhenUsed/>
    <w:rsid w:val="002F7BBC"/>
    <w:pPr>
      <w:numPr>
        <w:numId w:val="44"/>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semiHidden/>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46"/>
      </w:numPr>
    </w:pPr>
  </w:style>
  <w:style w:type="numbering" w:styleId="ArticleSection">
    <w:name w:val="Outline List 3"/>
    <w:basedOn w:val="NoList"/>
    <w:uiPriority w:val="99"/>
    <w:semiHidden/>
    <w:unhideWhenUsed/>
    <w:rsid w:val="00C00568"/>
    <w:pPr>
      <w:numPr>
        <w:numId w:val="47"/>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8155D0"/>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ControlledEntitiesDepartment">
    <w:name w:val="Controlled Entities Department"/>
    <w:basedOn w:val="Normal"/>
    <w:next w:val="Normal"/>
    <w:uiPriority w:val="97"/>
    <w:qFormat/>
    <w:rsid w:val="005B4BA6"/>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TableUnits">
    <w:name w:val="Table Units"/>
    <w:basedOn w:val="Normal"/>
    <w:next w:val="Normal"/>
    <w:uiPriority w:val="50"/>
    <w:qFormat/>
    <w:rsid w:val="00457575"/>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ControlledEntitiesSector">
    <w:name w:val="Controlled Entities Sector"/>
    <w:basedOn w:val="Normal"/>
    <w:next w:val="ControlledEntitiesDepartment"/>
    <w:uiPriority w:val="98"/>
    <w:qFormat/>
    <w:rsid w:val="005B4BA6"/>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paragraph" w:customStyle="1" w:styleId="TableofContentsheading">
    <w:name w:val="Table of Contents heading"/>
    <w:basedOn w:val="Normal"/>
    <w:next w:val="Normal"/>
    <w:rsid w:val="006836FE"/>
    <w:pPr>
      <w:keepNext/>
      <w:pBdr>
        <w:bottom w:val="single" w:sz="12" w:space="7" w:color="auto"/>
      </w:pBdr>
      <w:spacing w:before="1440" w:after="360"/>
    </w:pPr>
    <w:rPr>
      <w:rFonts w:ascii="Calibri" w:eastAsia="Times New Roman" w:hAnsi="Calibri" w:cs="Times New Roman"/>
      <w:b/>
      <w:caps/>
      <w:sz w:val="38"/>
      <w:szCs w:val="28"/>
    </w:rPr>
  </w:style>
  <w:style w:type="table" w:customStyle="1" w:styleId="DTFTable1">
    <w:name w:val="DTF Table1"/>
    <w:basedOn w:val="TableNormal"/>
    <w:uiPriority w:val="99"/>
    <w:rsid w:val="005B4BA6"/>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HighlightBoxListContinue2">
    <w:name w:val="Highlight Box List Continue 2"/>
    <w:basedOn w:val="ListContinue2"/>
    <w:next w:val="HighlightBoxBullet"/>
    <w:uiPriority w:val="61"/>
    <w:qFormat/>
    <w:rsid w:val="007F2F17"/>
    <w:pPr>
      <w:pBdr>
        <w:top w:val="single" w:sz="6" w:space="3" w:color="auto"/>
        <w:left w:val="single" w:sz="6" w:space="5" w:color="auto"/>
        <w:bottom w:val="single" w:sz="6" w:space="3" w:color="auto"/>
        <w:right w:val="single" w:sz="6" w:space="5" w:color="auto"/>
      </w:pBdr>
      <w:shd w:val="clear" w:color="auto" w:fill="F2F2F2" w:themeFill="background1" w:themeFillShade="F2"/>
      <w:tabs>
        <w:tab w:val="left" w:pos="567"/>
      </w:tabs>
      <w:ind w:left="284"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39" w:unhideWhenUsed="0"/>
    <w:lsdException w:name="toc 5" w:uiPriority="96" w:unhideWhenUsed="0"/>
    <w:lsdException w:name="toc 6" w:uiPriority="96" w:unhideWhenUsed="0"/>
    <w:lsdException w:name="toc 7" w:uiPriority="96" w:unhideWhenUsed="0"/>
    <w:lsdException w:name="toc 8" w:uiPriority="96" w:unhideWhenUsed="0"/>
    <w:lsdException w:name="toc 9" w:uiPriority="91"/>
    <w:lsdException w:name="Normal Indent" w:uiPriority="0"/>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7F2F17"/>
  </w:style>
  <w:style w:type="paragraph" w:styleId="Heading10">
    <w:name w:val="heading 1"/>
    <w:next w:val="Normal"/>
    <w:link w:val="Heading1Char"/>
    <w:uiPriority w:val="9"/>
    <w:qFormat/>
    <w:rsid w:val="00180823"/>
    <w:pPr>
      <w:keepNext/>
      <w:keepLines/>
      <w:pageBreakBefore/>
      <w:pBdr>
        <w:bottom w:val="single" w:sz="12" w:space="1" w:color="auto"/>
      </w:pBdr>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180823"/>
    <w:pPr>
      <w:pageBreakBefore w:val="0"/>
      <w:numPr>
        <w:ilvl w:val="1"/>
      </w:numPr>
      <w:pBdr>
        <w:bottom w:val="none" w:sz="0" w:space="0" w:color="auto"/>
      </w:pBd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6836FE"/>
    <w:pPr>
      <w:numPr>
        <w:ilvl w:val="2"/>
      </w:numPr>
      <w:pBdr>
        <w:bottom w:val="single" w:sz="6" w:space="1" w:color="auto"/>
      </w:pBdr>
      <w:outlineLvl w:val="2"/>
    </w:pPr>
    <w:rPr>
      <w:bCs/>
      <w:sz w:val="23"/>
    </w:rPr>
  </w:style>
  <w:style w:type="paragraph" w:styleId="Heading4">
    <w:name w:val="heading 4"/>
    <w:basedOn w:val="Heading30"/>
    <w:next w:val="Normal"/>
    <w:link w:val="Heading4Char"/>
    <w:uiPriority w:val="9"/>
    <w:rsid w:val="00BA32DD"/>
    <w:pPr>
      <w:numPr>
        <w:ilvl w:val="3"/>
      </w:numPr>
      <w:pBdr>
        <w:bottom w:val="none" w:sz="0" w:space="0" w:color="auto"/>
      </w:pBd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19"/>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180823"/>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6836FE"/>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18082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BA32DD"/>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180823"/>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2"/>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45"/>
      </w:numPr>
    </w:pPr>
  </w:style>
  <w:style w:type="character" w:customStyle="1" w:styleId="FooteroddChar">
    <w:name w:val="Footer (odd) Char"/>
    <w:basedOn w:val="DefaultParagraphFont"/>
    <w:link w:val="Footerodd"/>
    <w:uiPriority w:val="84"/>
    <w:rsid w:val="008155D0"/>
    <w:rPr>
      <w:rFonts w:asciiTheme="majorHAnsi" w:hAnsiTheme="majorHAnsi"/>
      <w:sz w:val="18"/>
    </w:rPr>
  </w:style>
  <w:style w:type="paragraph" w:customStyle="1" w:styleId="Footerodd">
    <w:name w:val="Footer (odd)"/>
    <w:basedOn w:val="Footer"/>
    <w:link w:val="FooteroddChar"/>
    <w:uiPriority w:val="84"/>
    <w:rsid w:val="008155D0"/>
    <w:pPr>
      <w:pBdr>
        <w:top w:val="single" w:sz="6" w:space="1" w:color="auto"/>
      </w:pBdr>
      <w:tabs>
        <w:tab w:val="clear" w:pos="4513"/>
        <w:tab w:val="clear" w:pos="9026"/>
        <w:tab w:val="center" w:pos="4819"/>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18"/>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955520"/>
    <w:pPr>
      <w:tabs>
        <w:tab w:val="left" w:pos="284"/>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7"/>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40"/>
      </w:numPr>
      <w:spacing w:before="60"/>
    </w:pPr>
  </w:style>
  <w:style w:type="paragraph" w:styleId="List">
    <w:name w:val="List"/>
    <w:basedOn w:val="Normal"/>
    <w:uiPriority w:val="29"/>
    <w:unhideWhenUsed/>
    <w:rsid w:val="008A5A91"/>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41"/>
      </w:numPr>
      <w:spacing w:before="60"/>
    </w:pPr>
  </w:style>
  <w:style w:type="paragraph" w:styleId="Footer">
    <w:name w:val="footer"/>
    <w:basedOn w:val="Normal"/>
    <w:link w:val="FooterChar"/>
    <w:uiPriority w:val="84"/>
    <w:semiHidden/>
    <w:rsid w:val="004419CD"/>
    <w:pPr>
      <w:tabs>
        <w:tab w:val="center" w:pos="4513"/>
        <w:tab w:val="right" w:pos="9026"/>
      </w:tabs>
      <w:spacing w:before="0"/>
    </w:p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sz w:val="20"/>
      <w:szCs w:val="20"/>
    </w:rPr>
  </w:style>
  <w:style w:type="paragraph" w:customStyle="1" w:styleId="TableHeading">
    <w:name w:val="Table Heading"/>
    <w:basedOn w:val="Normal"/>
    <w:next w:val="Normal"/>
    <w:uiPriority w:val="49"/>
    <w:qFormat/>
    <w:rsid w:val="00180823"/>
    <w:pPr>
      <w:keepNext/>
      <w:tabs>
        <w:tab w:val="left" w:pos="567"/>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27"/>
      </w:numPr>
    </w:pPr>
  </w:style>
  <w:style w:type="character" w:customStyle="1" w:styleId="Heading1Char0">
    <w:name w:val="Heading 1 (#) Char"/>
    <w:basedOn w:val="Heading1Char"/>
    <w:link w:val="Heading1"/>
    <w:uiPriority w:val="14"/>
    <w:rsid w:val="00180823"/>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8155D0"/>
    <w:pPr>
      <w:pBdr>
        <w:top w:val="single" w:sz="6" w:space="1" w:color="auto"/>
      </w:pBdr>
      <w:tabs>
        <w:tab w:val="clear" w:pos="4513"/>
        <w:tab w:val="clear" w:pos="9026"/>
        <w:tab w:val="center" w:pos="283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41"/>
      </w:numPr>
      <w:spacing w:before="60"/>
      <w:ind w:left="851"/>
    </w:pPr>
  </w:style>
  <w:style w:type="paragraph" w:styleId="ListNumber4">
    <w:name w:val="List Number 4"/>
    <w:basedOn w:val="Normal"/>
    <w:uiPriority w:val="19"/>
    <w:semiHidden/>
    <w:unhideWhenUsed/>
    <w:rsid w:val="00CE5CF8"/>
    <w:pPr>
      <w:numPr>
        <w:ilvl w:val="3"/>
        <w:numId w:val="41"/>
      </w:numPr>
      <w:contextualSpacing/>
    </w:pPr>
  </w:style>
  <w:style w:type="paragraph" w:styleId="ListNumber5">
    <w:name w:val="List Number 5"/>
    <w:basedOn w:val="Normal"/>
    <w:uiPriority w:val="19"/>
    <w:semiHidden/>
    <w:unhideWhenUsed/>
    <w:rsid w:val="00CE5CF8"/>
    <w:pPr>
      <w:numPr>
        <w:ilvl w:val="4"/>
        <w:numId w:val="41"/>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180823"/>
    <w:pPr>
      <w:numPr>
        <w:numId w:val="49"/>
      </w:numPr>
    </w:pPr>
  </w:style>
  <w:style w:type="paragraph" w:customStyle="1" w:styleId="Heading2">
    <w:name w:val="Heading 2 (#)"/>
    <w:basedOn w:val="Heading20"/>
    <w:link w:val="Heading2Char0"/>
    <w:uiPriority w:val="14"/>
    <w:qFormat/>
    <w:rsid w:val="00180823"/>
    <w:pPr>
      <w:numPr>
        <w:numId w:val="49"/>
      </w:numPr>
      <w:tabs>
        <w:tab w:val="left" w:pos="567"/>
      </w:tabs>
    </w:pPr>
  </w:style>
  <w:style w:type="numbering" w:customStyle="1" w:styleId="NumberedHeadings">
    <w:name w:val="Numbered Headings"/>
    <w:uiPriority w:val="99"/>
    <w:rsid w:val="004B1258"/>
    <w:pPr>
      <w:numPr>
        <w:numId w:val="39"/>
      </w:numPr>
    </w:pPr>
  </w:style>
  <w:style w:type="paragraph" w:customStyle="1" w:styleId="Heading3">
    <w:name w:val="Heading 3 (#)"/>
    <w:basedOn w:val="Heading30"/>
    <w:next w:val="Normal"/>
    <w:link w:val="Heading3Char0"/>
    <w:uiPriority w:val="14"/>
    <w:rsid w:val="006836FE"/>
    <w:pPr>
      <w:numPr>
        <w:numId w:val="49"/>
      </w:numPr>
      <w:pBdr>
        <w:bottom w:val="none" w:sz="0" w:space="0" w:color="auto"/>
      </w:pBdr>
      <w:spacing w:after="120"/>
    </w:pPr>
  </w:style>
  <w:style w:type="character" w:customStyle="1" w:styleId="Heading3Char0">
    <w:name w:val="Heading 3 (#) Char"/>
    <w:basedOn w:val="Heading3Char"/>
    <w:link w:val="Heading3"/>
    <w:uiPriority w:val="14"/>
    <w:rsid w:val="006836FE"/>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43"/>
      </w:numPr>
      <w:contextualSpacing/>
    </w:pPr>
  </w:style>
  <w:style w:type="paragraph" w:styleId="ListBullet5">
    <w:name w:val="List Bullet 5"/>
    <w:basedOn w:val="Normal"/>
    <w:uiPriority w:val="19"/>
    <w:semiHidden/>
    <w:unhideWhenUsed/>
    <w:rsid w:val="002F7BBC"/>
    <w:pPr>
      <w:numPr>
        <w:numId w:val="44"/>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semiHidden/>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46"/>
      </w:numPr>
    </w:pPr>
  </w:style>
  <w:style w:type="numbering" w:styleId="ArticleSection">
    <w:name w:val="Outline List 3"/>
    <w:basedOn w:val="NoList"/>
    <w:uiPriority w:val="99"/>
    <w:semiHidden/>
    <w:unhideWhenUsed/>
    <w:rsid w:val="00C00568"/>
    <w:pPr>
      <w:numPr>
        <w:numId w:val="47"/>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8155D0"/>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ControlledEntitiesDepartment">
    <w:name w:val="Controlled Entities Department"/>
    <w:basedOn w:val="Normal"/>
    <w:next w:val="Normal"/>
    <w:uiPriority w:val="97"/>
    <w:qFormat/>
    <w:rsid w:val="005B4BA6"/>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TableUnits">
    <w:name w:val="Table Units"/>
    <w:basedOn w:val="Normal"/>
    <w:next w:val="Normal"/>
    <w:uiPriority w:val="50"/>
    <w:qFormat/>
    <w:rsid w:val="00457575"/>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ControlledEntitiesSector">
    <w:name w:val="Controlled Entities Sector"/>
    <w:basedOn w:val="Normal"/>
    <w:next w:val="ControlledEntitiesDepartment"/>
    <w:uiPriority w:val="98"/>
    <w:qFormat/>
    <w:rsid w:val="005B4BA6"/>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paragraph" w:customStyle="1" w:styleId="TableofContentsheading">
    <w:name w:val="Table of Contents heading"/>
    <w:basedOn w:val="Normal"/>
    <w:next w:val="Normal"/>
    <w:rsid w:val="006836FE"/>
    <w:pPr>
      <w:keepNext/>
      <w:pBdr>
        <w:bottom w:val="single" w:sz="12" w:space="7" w:color="auto"/>
      </w:pBdr>
      <w:spacing w:before="1440" w:after="360"/>
    </w:pPr>
    <w:rPr>
      <w:rFonts w:ascii="Calibri" w:eastAsia="Times New Roman" w:hAnsi="Calibri" w:cs="Times New Roman"/>
      <w:b/>
      <w:caps/>
      <w:sz w:val="38"/>
      <w:szCs w:val="28"/>
    </w:rPr>
  </w:style>
  <w:style w:type="table" w:customStyle="1" w:styleId="DTFTable1">
    <w:name w:val="DTF Table1"/>
    <w:basedOn w:val="TableNormal"/>
    <w:uiPriority w:val="99"/>
    <w:rsid w:val="005B4BA6"/>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HighlightBoxListContinue2">
    <w:name w:val="Highlight Box List Continue 2"/>
    <w:basedOn w:val="ListContinue2"/>
    <w:next w:val="HighlightBoxBullet"/>
    <w:uiPriority w:val="61"/>
    <w:qFormat/>
    <w:rsid w:val="007F2F17"/>
    <w:pPr>
      <w:pBdr>
        <w:top w:val="single" w:sz="6" w:space="3" w:color="auto"/>
        <w:left w:val="single" w:sz="6" w:space="5" w:color="auto"/>
        <w:bottom w:val="single" w:sz="6" w:space="3" w:color="auto"/>
        <w:right w:val="single" w:sz="6" w:space="5" w:color="auto"/>
      </w:pBdr>
      <w:shd w:val="clear" w:color="auto" w:fill="F2F2F2" w:themeFill="background1" w:themeFillShade="F2"/>
      <w:tabs>
        <w:tab w:val="left" w:pos="567"/>
      </w:tabs>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D05C-9566-4673-8001-99E4EA5A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2296</TotalTime>
  <Pages>32</Pages>
  <Words>7570</Words>
  <Characters>43151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Quarterly Financial Report No. 1</vt:lpstr>
    </vt:vector>
  </TitlesOfParts>
  <Company>Victorian Government</Company>
  <LinksUpToDate>false</LinksUpToDate>
  <CharactersWithSpaces>50620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No. 1</dc:title>
  <dc:subject>Quarterly Financial Report for the Victorian general government sector - September 2017</dc:subject>
  <dc:creator>Leigh Anlezark</dc:creator>
  <cp:lastModifiedBy>Leigh Anlezark</cp:lastModifiedBy>
  <cp:revision>196</cp:revision>
  <cp:lastPrinted>2017-11-03T00:50:00Z</cp:lastPrinted>
  <dcterms:created xsi:type="dcterms:W3CDTF">2017-09-21T02:33:00Z</dcterms:created>
  <dcterms:modified xsi:type="dcterms:W3CDTF">2017-11-14T04:24:00Z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September Quarterly</vt:lpwstr>
  </property>
  <property fmtid="{D5CDD505-2E9C-101B-9397-08002B2CF9AE}" pid="3" name="TitusGUID">
    <vt:lpwstr>7dfb49e1-7b5f-4e8c-b3d2-17d05a77b075</vt:lpwstr>
  </property>
  <property fmtid="{D5CDD505-2E9C-101B-9397-08002B2CF9AE}" pid="4" name="PSPFClassification">
    <vt:lpwstr>Do Not Mark</vt:lpwstr>
  </property>
</Properties>
</file>